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INFORMATION TO BE INCLUDED IN STATEMENTS PURSUANT TO RULES 13d-1(b),(c) AND (d) AND AMENDMENTS THERETO FILED PURSUANT TO 13d-2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Pharvaris N.V.</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N69605108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48895</wp:posOffset>
            </wp:positionV>
            <wp:extent cx="2143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00" w:hanging="209"/>
        <w:spacing w:after="0"/>
        <w:tabs>
          <w:tab w:leader="none" w:pos="52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200" w:hanging="204"/>
        <w:spacing w:after="0"/>
        <w:tabs>
          <w:tab w:leader="none" w:pos="520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220" w:hanging="207"/>
        <w:spacing w:after="0"/>
        <w:tabs>
          <w:tab w:leader="none" w:pos="5220" w:val="left"/>
        </w:tabs>
        <w:numPr>
          <w:ilvl w:val="3"/>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ind w:left="120"/>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31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-164465</wp:posOffset>
            </wp:positionV>
            <wp:extent cx="7132320" cy="6549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549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2</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2" w:lineRule="exact"/>
        <w:rPr>
          <w:sz w:val="20"/>
          <w:szCs w:val="20"/>
          <w:color w:val="auto"/>
        </w:rPr>
      </w:pPr>
    </w:p>
    <w:p>
      <w:pPr>
        <w:sectPr>
          <w:pgSz w:w="11900" w:h="16838" w:orient="portrait"/>
          <w:cols w:equalWidth="0" w:num="3">
            <w:col w:w="4760" w:space="720"/>
            <w:col w:w="3500" w:space="720"/>
            <w:col w:w="1540"/>
          </w:cols>
          <w:pgMar w:left="320" w:top="1026" w:right="339" w:bottom="1440" w:gutter="0" w:footer="0" w:header="0"/>
        </w:sectPr>
      </w:pPr>
    </w:p>
    <w:p>
      <w:pPr>
        <w:ind w:left="800" w:hanging="681"/>
        <w:spacing w:after="0" w:line="182" w:lineRule="auto"/>
        <w:tabs>
          <w:tab w:leader="none" w:pos="800" w:val="left"/>
        </w:tabs>
        <w:numPr>
          <w:ilvl w:val="0"/>
          <w:numId w:val="2"/>
        </w:numPr>
        <w:rPr>
          <w:rFonts w:ascii="Arial" w:cs="Arial" w:eastAsia="Arial" w:hAnsi="Arial"/>
          <w:sz w:val="32"/>
          <w:szCs w:val="32"/>
          <w:color w:val="auto"/>
          <w:vertAlign w:val="subscript"/>
        </w:rPr>
      </w:pPr>
      <w:r>
        <w:rPr>
          <w:rFonts w:ascii="Arial" w:cs="Arial" w:eastAsia="Arial" w:hAnsi="Arial"/>
          <w:sz w:val="16"/>
          <w:szCs w:val="16"/>
          <w:color w:val="auto"/>
        </w:rPr>
        <w:t>NAME OF REPORTING PERSON</w:t>
      </w:r>
    </w:p>
    <w:p>
      <w:pPr>
        <w:spacing w:after="0" w:line="2" w:lineRule="exact"/>
        <w:rPr>
          <w:rFonts w:ascii="Arial" w:cs="Arial" w:eastAsia="Arial" w:hAnsi="Arial"/>
          <w:sz w:val="32"/>
          <w:szCs w:val="32"/>
          <w:color w:val="auto"/>
          <w:vertAlign w:val="subscript"/>
        </w:rPr>
      </w:pPr>
    </w:p>
    <w:p>
      <w:pPr>
        <w:ind w:left="800"/>
        <w:spacing w:after="0"/>
        <w:rPr>
          <w:rFonts w:ascii="Arial" w:cs="Arial" w:eastAsia="Arial" w:hAnsi="Arial"/>
          <w:sz w:val="32"/>
          <w:szCs w:val="32"/>
          <w:color w:val="auto"/>
          <w:vertAlign w:val="subscript"/>
        </w:rPr>
      </w:pPr>
      <w:r>
        <w:rPr>
          <w:rFonts w:ascii="Arial" w:cs="Arial" w:eastAsia="Arial" w:hAnsi="Arial"/>
          <w:sz w:val="18"/>
          <w:szCs w:val="18"/>
          <w:color w:val="auto"/>
        </w:rPr>
        <w:t>S.S. OR I.R.S. IDENTIFICATION NO. OF ABOVE PERSON (ENTITIES ONLY)</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Viking Global Investors LP</w:t>
      </w:r>
    </w:p>
    <w:p>
      <w:pPr>
        <w:ind w:left="800" w:hanging="681"/>
        <w:spacing w:after="0" w:line="188" w:lineRule="auto"/>
        <w:tabs>
          <w:tab w:leader="none" w:pos="80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20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10900"/>
        <w:spacing w:after="0"/>
        <w:rPr>
          <w:sz w:val="20"/>
          <w:szCs w:val="20"/>
          <w:color w:val="auto"/>
        </w:rPr>
      </w:pPr>
      <w:r>
        <w:rPr>
          <w:rFonts w:ascii="Arial" w:cs="Arial" w:eastAsia="Arial" w:hAnsi="Arial"/>
          <w:sz w:val="18"/>
          <w:szCs w:val="18"/>
          <w:color w:val="auto"/>
        </w:rPr>
        <w:t>(b)</w:t>
      </w:r>
    </w:p>
    <w:p>
      <w:pPr>
        <w:ind w:left="800" w:hanging="681"/>
        <w:spacing w:after="0" w:line="184" w:lineRule="auto"/>
        <w:tabs>
          <w:tab w:leader="none" w:pos="800" w:val="left"/>
        </w:tabs>
        <w:numPr>
          <w:ilvl w:val="0"/>
          <w:numId w:val="4"/>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73" w:lineRule="exact"/>
        <w:rPr>
          <w:sz w:val="20"/>
          <w:szCs w:val="20"/>
          <w:color w:val="auto"/>
        </w:rPr>
      </w:pPr>
    </w:p>
    <w:p>
      <w:pPr>
        <w:ind w:left="800" w:hanging="681"/>
        <w:spacing w:after="0"/>
        <w:tabs>
          <w:tab w:leader="none" w:pos="80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5</w:t>
            </w:r>
          </w:p>
        </w:tc>
        <w:tc>
          <w:tcPr>
            <w:tcW w:w="8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0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20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5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85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9"/>
        </w:trPr>
        <w:tc>
          <w:tcPr>
            <w:tcW w:w="20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8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8520" w:type="dxa"/>
            <w:vAlign w:val="bottom"/>
            <w:vMerge w:val="restart"/>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right w:val="single" w:sz="8" w:color="auto"/>
            </w:tcBorders>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60" w:type="dxa"/>
            <w:vAlign w:val="bottom"/>
            <w:tcBorders>
              <w:bottom w:val="single" w:sz="8" w:color="auto"/>
              <w:right w:val="single" w:sz="8" w:color="auto"/>
            </w:tcBorders>
          </w:tcPr>
          <w:p>
            <w:pPr>
              <w:spacing w:after="0"/>
              <w:rPr>
                <w:sz w:val="10"/>
                <w:szCs w:val="10"/>
                <w:color w:val="auto"/>
              </w:rPr>
            </w:pPr>
          </w:p>
        </w:tc>
        <w:tc>
          <w:tcPr>
            <w:tcW w:w="8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85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vMerge w:val="continue"/>
          </w:tcPr>
          <w:p>
            <w:pPr>
              <w:spacing w:after="0"/>
              <w:rPr>
                <w:sz w:val="13"/>
                <w:szCs w:val="13"/>
                <w:color w:val="auto"/>
              </w:rPr>
            </w:pPr>
          </w:p>
        </w:tc>
        <w:tc>
          <w:tcPr>
            <w:tcW w:w="8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tcPr>
          <w:p>
            <w:pPr>
              <w:spacing w:after="0"/>
              <w:rPr>
                <w:sz w:val="20"/>
                <w:szCs w:val="20"/>
                <w:color w:val="auto"/>
              </w:rPr>
            </w:pPr>
          </w:p>
        </w:tc>
        <w:tc>
          <w:tcPr>
            <w:tcW w:w="852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6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8</w:t>
            </w:r>
          </w:p>
        </w:tc>
        <w:tc>
          <w:tcPr>
            <w:tcW w:w="85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7"/>
        </w:trPr>
        <w:tc>
          <w:tcPr>
            <w:tcW w:w="20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52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800" w:right="3880" w:hanging="681"/>
        <w:spacing w:after="0" w:line="271" w:lineRule="auto"/>
        <w:tabs>
          <w:tab w:leader="none" w:pos="80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 2,420,155*</w:t>
      </w:r>
    </w:p>
    <w:p>
      <w:pPr>
        <w:ind w:left="800" w:hanging="681"/>
        <w:spacing w:after="0" w:line="227" w:lineRule="auto"/>
        <w:tabs>
          <w:tab w:leader="none" w:pos="800" w:val="left"/>
        </w:tabs>
        <w:numPr>
          <w:ilvl w:val="1"/>
          <w:numId w:val="7"/>
        </w:numPr>
        <w:rPr>
          <w:rFonts w:ascii="Arial" w:cs="Arial" w:eastAsia="Arial" w:hAnsi="Arial"/>
          <w:sz w:val="36"/>
          <w:szCs w:val="36"/>
          <w:color w:val="auto"/>
          <w:vertAlign w:val="subscript"/>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p>
      <w:pPr>
        <w:spacing w:after="0" w:line="256" w:lineRule="exact"/>
        <w:rPr>
          <w:rFonts w:ascii="Arial" w:cs="Arial" w:eastAsia="Arial" w:hAnsi="Arial"/>
          <w:sz w:val="36"/>
          <w:szCs w:val="36"/>
          <w:color w:val="auto"/>
          <w:vertAlign w:val="subscript"/>
        </w:rPr>
      </w:pPr>
    </w:p>
    <w:p>
      <w:pPr>
        <w:ind w:left="800" w:right="5500" w:hanging="681"/>
        <w:spacing w:after="0" w:line="277" w:lineRule="auto"/>
        <w:tabs>
          <w:tab w:leader="none" w:pos="800" w:val="left"/>
        </w:tabs>
        <w:numPr>
          <w:ilvl w:val="1"/>
          <w:numId w:val="7"/>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7.6%*</w:t>
      </w:r>
    </w:p>
    <w:p>
      <w:pPr>
        <w:spacing w:after="0" w:line="160" w:lineRule="exact"/>
        <w:rPr>
          <w:rFonts w:ascii="Arial" w:cs="Arial" w:eastAsia="Arial" w:hAnsi="Arial"/>
          <w:sz w:val="36"/>
          <w:szCs w:val="36"/>
          <w:color w:val="auto"/>
          <w:vertAlign w:val="subscript"/>
        </w:rPr>
      </w:pPr>
    </w:p>
    <w:p>
      <w:pPr>
        <w:ind w:left="800" w:right="7940" w:hanging="681"/>
        <w:spacing w:after="0" w:line="288" w:lineRule="auto"/>
        <w:tabs>
          <w:tab w:leader="none" w:pos="800" w:val="left"/>
        </w:tabs>
        <w:numPr>
          <w:ilvl w:val="1"/>
          <w:numId w:val="7"/>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PN</w:t>
      </w:r>
    </w:p>
    <w:p>
      <w:pPr>
        <w:spacing w:after="0" w:line="132"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34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N69605108</w:t>
            </w: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tcBorders>
            <w:gridSpan w:val="5"/>
          </w:tcPr>
          <w:p>
            <w:pPr>
              <w:ind w:left="1820"/>
              <w:spacing w:after="0"/>
              <w:rPr>
                <w:sz w:val="20"/>
                <w:szCs w:val="20"/>
                <w:color w:val="auto"/>
              </w:rPr>
            </w:pPr>
            <w:r>
              <w:rPr>
                <w:rFonts w:ascii="Arial" w:cs="Arial" w:eastAsia="Arial" w:hAnsi="Arial"/>
                <w:sz w:val="18"/>
                <w:szCs w:val="18"/>
                <w:b w:val="1"/>
                <w:bCs w:val="1"/>
                <w:color w:val="auto"/>
                <w:w w:val="93"/>
              </w:rPr>
              <w:t>Page 3 of 15 Pages</w:t>
            </w:r>
          </w:p>
        </w:tc>
      </w:tr>
      <w:tr>
        <w:trPr>
          <w:trHeight w:val="21"/>
        </w:trPr>
        <w:tc>
          <w:tcPr>
            <w:tcW w:w="340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ind w:left="800" w:hanging="681"/>
        <w:spacing w:after="0" w:line="180" w:lineRule="auto"/>
        <w:tabs>
          <w:tab w:leader="none" w:pos="800" w:val="left"/>
        </w:tabs>
        <w:numPr>
          <w:ilvl w:val="0"/>
          <w:numId w:val="8"/>
        </w:numPr>
        <w:rPr>
          <w:rFonts w:ascii="Arial" w:cs="Arial" w:eastAsia="Arial" w:hAnsi="Arial"/>
          <w:sz w:val="25"/>
          <w:szCs w:val="25"/>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6823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823710"/>
                    </a:xfrm>
                    <a:prstGeom prst="rect">
                      <a:avLst/>
                    </a:prstGeom>
                    <a:noFill/>
                  </pic:spPr>
                </pic:pic>
              </a:graphicData>
            </a:graphic>
          </wp:anchor>
        </w:drawing>
        <w:t>NAME OF REPORTING PERSON</w:t>
      </w:r>
    </w:p>
    <w:p>
      <w:pPr>
        <w:spacing w:after="0" w:line="2" w:lineRule="exact"/>
        <w:rPr>
          <w:rFonts w:ascii="Arial" w:cs="Arial" w:eastAsia="Arial" w:hAnsi="Arial"/>
          <w:sz w:val="25"/>
          <w:szCs w:val="25"/>
          <w:color w:val="auto"/>
          <w:vertAlign w:val="subscript"/>
        </w:rPr>
      </w:pPr>
    </w:p>
    <w:p>
      <w:pPr>
        <w:ind w:left="800"/>
        <w:spacing w:after="0"/>
        <w:rPr>
          <w:rFonts w:ascii="Arial" w:cs="Arial" w:eastAsia="Arial" w:hAnsi="Arial"/>
          <w:sz w:val="25"/>
          <w:szCs w:val="25"/>
          <w:color w:val="auto"/>
          <w:vertAlign w:val="subscript"/>
        </w:rPr>
      </w:pPr>
      <w:r>
        <w:rPr>
          <w:rFonts w:ascii="Arial" w:cs="Arial" w:eastAsia="Arial" w:hAnsi="Arial"/>
          <w:sz w:val="18"/>
          <w:szCs w:val="18"/>
          <w:color w:val="auto"/>
        </w:rPr>
        <w:t>S.S. OR I.R.S. IDENTIFICATION NO. OF ABOVE PERSON (ENTITIES ONLY)</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Viking Global Opportunities GP LLC</w:t>
      </w:r>
    </w:p>
    <w:p>
      <w:pPr>
        <w:ind w:left="800" w:hanging="681"/>
        <w:spacing w:after="0" w:line="188" w:lineRule="auto"/>
        <w:tabs>
          <w:tab w:leader="none" w:pos="800" w:val="left"/>
        </w:tabs>
        <w:numPr>
          <w:ilvl w:val="0"/>
          <w:numId w:val="9"/>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202"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(b)</w:t>
      </w:r>
    </w:p>
    <w:p>
      <w:pPr>
        <w:ind w:left="800" w:hanging="681"/>
        <w:spacing w:after="0" w:line="184" w:lineRule="auto"/>
        <w:tabs>
          <w:tab w:leader="none" w:pos="800" w:val="left"/>
        </w:tabs>
        <w:numPr>
          <w:ilvl w:val="0"/>
          <w:numId w:val="10"/>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73" w:lineRule="exact"/>
        <w:rPr>
          <w:sz w:val="20"/>
          <w:szCs w:val="20"/>
          <w:color w:val="auto"/>
        </w:rPr>
      </w:pPr>
    </w:p>
    <w:p>
      <w:pPr>
        <w:ind w:left="800" w:hanging="681"/>
        <w:spacing w:after="0"/>
        <w:tabs>
          <w:tab w:leader="none" w:pos="8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Delaware</w:t>
      </w:r>
    </w:p>
    <w:p>
      <w:pPr>
        <w:ind w:left="2820" w:hanging="676"/>
        <w:spacing w:after="0" w:line="182" w:lineRule="auto"/>
        <w:tabs>
          <w:tab w:leader="none" w:pos="2820" w:val="left"/>
        </w:tabs>
        <w:numPr>
          <w:ilvl w:val="0"/>
          <w:numId w:val="12"/>
        </w:numPr>
        <w:rPr>
          <w:rFonts w:ascii="Arial" w:cs="Arial" w:eastAsia="Arial" w:hAnsi="Arial"/>
          <w:sz w:val="32"/>
          <w:szCs w:val="32"/>
          <w:color w:val="auto"/>
          <w:vertAlign w:val="subscript"/>
        </w:rPr>
      </w:pPr>
      <w:r>
        <w:rPr>
          <w:rFonts w:ascii="Arial" w:cs="Arial" w:eastAsia="Arial" w:hAnsi="Arial"/>
          <w:sz w:val="16"/>
          <w:szCs w:val="16"/>
          <w:color w:val="auto"/>
        </w:rPr>
        <w:t>SOLE VOTING POWER</w:t>
      </w:r>
    </w:p>
    <w:p>
      <w:pPr>
        <w:spacing w:after="0" w:line="200" w:lineRule="exact"/>
        <w:rPr>
          <w:sz w:val="20"/>
          <w:szCs w:val="20"/>
          <w:color w:val="auto"/>
        </w:rPr>
      </w:pPr>
    </w:p>
    <w:p>
      <w:pPr>
        <w:spacing w:after="0" w:line="21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0</w:t>
      </w:r>
    </w:p>
    <w:p>
      <w:pPr>
        <w:spacing w:after="0" w:line="55" w:lineRule="exact"/>
        <w:rPr>
          <w:sz w:val="20"/>
          <w:szCs w:val="20"/>
          <w:color w:val="auto"/>
        </w:rPr>
      </w:pPr>
    </w:p>
    <w:p>
      <w:pPr>
        <w:ind w:left="2820" w:hanging="676"/>
        <w:spacing w:after="0"/>
        <w:tabs>
          <w:tab w:leader="none" w:pos="282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SHARED VOTING POWER</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NUMBER OF</w:t>
      </w:r>
    </w:p>
    <w:p>
      <w:pPr>
        <w:ind w:left="660"/>
        <w:spacing w:after="0" w:line="180" w:lineRule="auto"/>
        <w:tabs>
          <w:tab w:leader="none" w:pos="2800" w:val="left"/>
        </w:tabs>
        <w:rPr>
          <w:sz w:val="20"/>
          <w:szCs w:val="20"/>
          <w:color w:val="auto"/>
        </w:rPr>
      </w:pPr>
      <w:r>
        <w:rPr>
          <w:rFonts w:ascii="Arial" w:cs="Arial" w:eastAsia="Arial" w:hAnsi="Arial"/>
          <w:sz w:val="17"/>
          <w:szCs w:val="17"/>
          <w:color w:val="auto"/>
          <w:vertAlign w:val="superscript"/>
        </w:rPr>
        <w:t>SHARES</w:t>
      </w:r>
      <w:r>
        <w:rPr>
          <w:sz w:val="20"/>
          <w:szCs w:val="20"/>
          <w:color w:val="auto"/>
        </w:rPr>
        <w:tab/>
      </w:r>
      <w:r>
        <w:rPr>
          <w:rFonts w:ascii="Arial" w:cs="Arial" w:eastAsia="Arial" w:hAnsi="Arial"/>
          <w:sz w:val="11"/>
          <w:szCs w:val="11"/>
          <w:color w:val="auto"/>
        </w:rPr>
        <w:t>2,420,155*</w:t>
      </w:r>
    </w:p>
    <w:p>
      <w:pPr>
        <w:spacing w:after="0" w:line="94" w:lineRule="exact"/>
        <w:rPr>
          <w:sz w:val="20"/>
          <w:szCs w:val="20"/>
          <w:color w:val="auto"/>
        </w:rPr>
      </w:pPr>
    </w:p>
    <w:p>
      <w:pPr>
        <w:jc w:val="center"/>
        <w:ind w:right="9200"/>
        <w:spacing w:after="0"/>
        <w:rPr>
          <w:sz w:val="20"/>
          <w:szCs w:val="20"/>
          <w:color w:val="auto"/>
        </w:rPr>
      </w:pPr>
      <w:r>
        <w:rPr>
          <w:rFonts w:ascii="Arial" w:cs="Arial" w:eastAsia="Arial" w:hAnsi="Arial"/>
          <w:sz w:val="18"/>
          <w:szCs w:val="18"/>
          <w:color w:val="auto"/>
        </w:rPr>
        <w:t>BENEFICIALLY</w:t>
      </w:r>
    </w:p>
    <w:p>
      <w:pPr>
        <w:spacing w:after="0" w:line="7" w:lineRule="exact"/>
        <w:rPr>
          <w:sz w:val="20"/>
          <w:szCs w:val="20"/>
          <w:color w:val="auto"/>
        </w:rPr>
      </w:pPr>
    </w:p>
    <w:p>
      <w:pPr>
        <w:jc w:val="center"/>
        <w:ind w:right="9200"/>
        <w:spacing w:after="0"/>
        <w:rPr>
          <w:sz w:val="20"/>
          <w:szCs w:val="20"/>
          <w:color w:val="auto"/>
        </w:rPr>
      </w:pPr>
      <w:r>
        <w:rPr>
          <w:rFonts w:ascii="Arial" w:cs="Arial" w:eastAsia="Arial" w:hAnsi="Arial"/>
          <w:sz w:val="18"/>
          <w:szCs w:val="18"/>
          <w:color w:val="auto"/>
        </w:rPr>
        <w:t>OWNED BY</w:t>
      </w:r>
    </w:p>
    <w:p>
      <w:pPr>
        <w:jc w:val="center"/>
        <w:ind w:right="9220"/>
        <w:spacing w:after="0" w:line="183" w:lineRule="auto"/>
        <w:rPr>
          <w:sz w:val="20"/>
          <w:szCs w:val="20"/>
          <w:color w:val="auto"/>
        </w:rPr>
      </w:pPr>
      <w:r>
        <w:rPr>
          <w:rFonts w:ascii="Arial" w:cs="Arial" w:eastAsia="Arial" w:hAnsi="Arial"/>
          <w:sz w:val="15"/>
          <w:szCs w:val="15"/>
          <w:color w:val="auto"/>
        </w:rPr>
        <w:t>EACH</w:t>
      </w:r>
    </w:p>
    <w:p>
      <w:pPr>
        <w:ind w:left="500"/>
        <w:spacing w:after="0"/>
        <w:tabs>
          <w:tab w:leader="none" w:pos="2120" w:val="left"/>
          <w:tab w:leader="none" w:pos="2800" w:val="left"/>
        </w:tabs>
        <w:rPr>
          <w:sz w:val="20"/>
          <w:szCs w:val="20"/>
          <w:color w:val="auto"/>
        </w:rPr>
      </w:pPr>
      <w:r>
        <w:rPr>
          <w:rFonts w:ascii="Arial" w:cs="Arial" w:eastAsia="Arial" w:hAnsi="Arial"/>
          <w:sz w:val="34"/>
          <w:szCs w:val="34"/>
          <w:color w:val="auto"/>
          <w:vertAlign w:val="subscript"/>
        </w:rPr>
        <w:t>REPORTING</w:t>
      </w:r>
      <w:r>
        <w:rPr>
          <w:sz w:val="20"/>
          <w:szCs w:val="20"/>
          <w:color w:val="auto"/>
        </w:rPr>
        <w:tab/>
      </w:r>
      <w:r>
        <w:rPr>
          <w:rFonts w:ascii="Arial" w:cs="Arial" w:eastAsia="Arial" w:hAnsi="Arial"/>
          <w:sz w:val="33"/>
          <w:szCs w:val="33"/>
          <w:color w:val="auto"/>
          <w:vertAlign w:val="subscript"/>
        </w:rPr>
        <w:t>7</w:t>
      </w:r>
      <w:r>
        <w:rPr>
          <w:sz w:val="20"/>
          <w:szCs w:val="20"/>
          <w:color w:val="auto"/>
        </w:rPr>
        <w:tab/>
      </w:r>
      <w:r>
        <w:rPr>
          <w:rFonts w:ascii="Arial" w:cs="Arial" w:eastAsia="Arial" w:hAnsi="Arial"/>
          <w:sz w:val="17"/>
          <w:szCs w:val="17"/>
          <w:color w:val="auto"/>
        </w:rPr>
        <w:t>SOLE DISPOSITIVE POWER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w:t>
      </w:r>
    </w:p>
    <w:p>
      <w:pPr>
        <w:ind w:left="800"/>
        <w:spacing w:after="0" w:line="183" w:lineRule="auto"/>
        <w:rPr>
          <w:sz w:val="20"/>
          <w:szCs w:val="20"/>
          <w:color w:val="auto"/>
        </w:rPr>
      </w:pPr>
      <w:r>
        <w:rPr>
          <w:rFonts w:ascii="Arial" w:cs="Arial" w:eastAsia="Arial" w:hAnsi="Arial"/>
          <w:sz w:val="15"/>
          <w:szCs w:val="15"/>
          <w:color w:val="auto"/>
        </w:rPr>
        <w:t>WITH</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39" w:lineRule="exact"/>
        <w:rPr>
          <w:sz w:val="20"/>
          <w:szCs w:val="20"/>
          <w:color w:val="auto"/>
        </w:rPr>
      </w:pPr>
    </w:p>
    <w:p>
      <w:pPr>
        <w:ind w:left="2820" w:right="5880" w:hanging="676"/>
        <w:spacing w:after="0" w:line="277" w:lineRule="auto"/>
        <w:tabs>
          <w:tab w:leader="none" w:pos="28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SHARED DISPOSITIVE POWER 2,420,155*</w:t>
      </w:r>
    </w:p>
    <w:p>
      <w:pPr>
        <w:spacing w:after="0" w:line="161" w:lineRule="exact"/>
        <w:rPr>
          <w:sz w:val="20"/>
          <w:szCs w:val="20"/>
          <w:color w:val="auto"/>
        </w:rPr>
      </w:pPr>
    </w:p>
    <w:p>
      <w:pPr>
        <w:ind w:left="800" w:right="3880" w:hanging="681"/>
        <w:spacing w:after="0" w:line="277" w:lineRule="auto"/>
        <w:tabs>
          <w:tab w:leader="none" w:pos="800" w:val="left"/>
        </w:tabs>
        <w:numPr>
          <w:ilvl w:val="0"/>
          <w:numId w:val="15"/>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 2,420,155*</w:t>
      </w:r>
    </w:p>
    <w:p>
      <w:pPr>
        <w:ind w:left="800" w:hanging="681"/>
        <w:spacing w:after="0" w:line="226" w:lineRule="auto"/>
        <w:tabs>
          <w:tab w:leader="none" w:pos="800" w:val="left"/>
        </w:tabs>
        <w:numPr>
          <w:ilvl w:val="1"/>
          <w:numId w:val="16"/>
        </w:numPr>
        <w:rPr>
          <w:rFonts w:ascii="Arial" w:cs="Arial" w:eastAsia="Arial" w:hAnsi="Arial"/>
          <w:sz w:val="36"/>
          <w:szCs w:val="36"/>
          <w:color w:val="auto"/>
          <w:vertAlign w:val="subscript"/>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p>
      <w:pPr>
        <w:spacing w:after="0" w:line="257" w:lineRule="exact"/>
        <w:rPr>
          <w:rFonts w:ascii="Arial" w:cs="Arial" w:eastAsia="Arial" w:hAnsi="Arial"/>
          <w:sz w:val="36"/>
          <w:szCs w:val="36"/>
          <w:color w:val="auto"/>
          <w:vertAlign w:val="subscript"/>
        </w:rPr>
      </w:pPr>
    </w:p>
    <w:p>
      <w:pPr>
        <w:ind w:left="800" w:right="5500" w:hanging="681"/>
        <w:spacing w:after="0" w:line="277" w:lineRule="auto"/>
        <w:tabs>
          <w:tab w:leader="none" w:pos="800" w:val="left"/>
        </w:tabs>
        <w:numPr>
          <w:ilvl w:val="1"/>
          <w:numId w:val="16"/>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7.6%*</w:t>
      </w:r>
    </w:p>
    <w:p>
      <w:pPr>
        <w:spacing w:after="0" w:line="160" w:lineRule="exact"/>
        <w:rPr>
          <w:rFonts w:ascii="Arial" w:cs="Arial" w:eastAsia="Arial" w:hAnsi="Arial"/>
          <w:sz w:val="36"/>
          <w:szCs w:val="36"/>
          <w:color w:val="auto"/>
          <w:vertAlign w:val="subscript"/>
        </w:rPr>
      </w:pPr>
    </w:p>
    <w:p>
      <w:pPr>
        <w:ind w:left="800" w:right="7940" w:hanging="681"/>
        <w:spacing w:after="0" w:line="288" w:lineRule="auto"/>
        <w:tabs>
          <w:tab w:leader="none" w:pos="800" w:val="left"/>
        </w:tabs>
        <w:numPr>
          <w:ilvl w:val="1"/>
          <w:numId w:val="16"/>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OO</w:t>
      </w:r>
    </w:p>
    <w:p>
      <w:pPr>
        <w:spacing w:after="0" w:line="132" w:lineRule="exact"/>
        <w:rPr>
          <w:rFonts w:ascii="Arial" w:cs="Arial" w:eastAsia="Arial" w:hAnsi="Arial"/>
          <w:sz w:val="36"/>
          <w:szCs w:val="36"/>
          <w:color w:val="auto"/>
          <w:vertAlign w:val="subscript"/>
        </w:rPr>
      </w:pPr>
    </w:p>
    <w:p>
      <w:pPr>
        <w:ind w:left="60"/>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34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N69605108</w:t>
            </w: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tcBorders>
            <w:gridSpan w:val="5"/>
          </w:tcPr>
          <w:p>
            <w:pPr>
              <w:ind w:left="1820"/>
              <w:spacing w:after="0"/>
              <w:rPr>
                <w:sz w:val="20"/>
                <w:szCs w:val="20"/>
                <w:color w:val="auto"/>
              </w:rPr>
            </w:pPr>
            <w:r>
              <w:rPr>
                <w:rFonts w:ascii="Arial" w:cs="Arial" w:eastAsia="Arial" w:hAnsi="Arial"/>
                <w:sz w:val="18"/>
                <w:szCs w:val="18"/>
                <w:b w:val="1"/>
                <w:bCs w:val="1"/>
                <w:color w:val="auto"/>
                <w:w w:val="93"/>
              </w:rPr>
              <w:t>Page 4 of 15 Pages</w:t>
            </w:r>
          </w:p>
        </w:tc>
      </w:tr>
      <w:tr>
        <w:trPr>
          <w:trHeight w:val="20"/>
        </w:trPr>
        <w:tc>
          <w:tcPr>
            <w:tcW w:w="340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ind w:left="800" w:hanging="681"/>
        <w:spacing w:after="0" w:line="180" w:lineRule="auto"/>
        <w:tabs>
          <w:tab w:leader="none" w:pos="800" w:val="left"/>
        </w:tabs>
        <w:numPr>
          <w:ilvl w:val="0"/>
          <w:numId w:val="17"/>
        </w:numPr>
        <w:rPr>
          <w:rFonts w:ascii="Arial" w:cs="Arial" w:eastAsia="Arial" w:hAnsi="Arial"/>
          <w:sz w:val="25"/>
          <w:szCs w:val="25"/>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6686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86550"/>
                    </a:xfrm>
                    <a:prstGeom prst="rect">
                      <a:avLst/>
                    </a:prstGeom>
                    <a:noFill/>
                  </pic:spPr>
                </pic:pic>
              </a:graphicData>
            </a:graphic>
          </wp:anchor>
        </w:drawing>
        <w:t>NAME OF REPORTING PERSON</w:t>
      </w:r>
    </w:p>
    <w:p>
      <w:pPr>
        <w:spacing w:after="0" w:line="2" w:lineRule="exact"/>
        <w:rPr>
          <w:rFonts w:ascii="Arial" w:cs="Arial" w:eastAsia="Arial" w:hAnsi="Arial"/>
          <w:sz w:val="25"/>
          <w:szCs w:val="25"/>
          <w:color w:val="auto"/>
          <w:vertAlign w:val="subscript"/>
        </w:rPr>
      </w:pPr>
    </w:p>
    <w:p>
      <w:pPr>
        <w:ind w:left="800"/>
        <w:spacing w:after="0"/>
        <w:rPr>
          <w:rFonts w:ascii="Arial" w:cs="Arial" w:eastAsia="Arial" w:hAnsi="Arial"/>
          <w:sz w:val="25"/>
          <w:szCs w:val="25"/>
          <w:color w:val="auto"/>
          <w:vertAlign w:val="subscript"/>
        </w:rPr>
      </w:pPr>
      <w:r>
        <w:rPr>
          <w:rFonts w:ascii="Arial" w:cs="Arial" w:eastAsia="Arial" w:hAnsi="Arial"/>
          <w:sz w:val="18"/>
          <w:szCs w:val="18"/>
          <w:color w:val="auto"/>
        </w:rPr>
        <w:t>S.S. OR I.R.S. IDENTIFICATION NO. OF ABOVE PERSON (ENTITIES ONLY)</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Viking Global Opportunities Portfolio GP LLC</w:t>
      </w:r>
    </w:p>
    <w:p>
      <w:pPr>
        <w:ind w:left="800" w:hanging="681"/>
        <w:spacing w:after="0" w:line="188" w:lineRule="auto"/>
        <w:tabs>
          <w:tab w:leader="none" w:pos="800" w:val="left"/>
        </w:tabs>
        <w:numPr>
          <w:ilvl w:val="0"/>
          <w:numId w:val="18"/>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20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10900"/>
        <w:spacing w:after="0"/>
        <w:rPr>
          <w:sz w:val="20"/>
          <w:szCs w:val="20"/>
          <w:color w:val="auto"/>
        </w:rPr>
      </w:pPr>
      <w:r>
        <w:rPr>
          <w:rFonts w:ascii="Arial" w:cs="Arial" w:eastAsia="Arial" w:hAnsi="Arial"/>
          <w:sz w:val="18"/>
          <w:szCs w:val="18"/>
          <w:color w:val="auto"/>
        </w:rPr>
        <w:t>(b)</w:t>
      </w:r>
    </w:p>
    <w:p>
      <w:pPr>
        <w:ind w:left="800" w:hanging="681"/>
        <w:spacing w:after="0" w:line="184" w:lineRule="auto"/>
        <w:tabs>
          <w:tab w:leader="none" w:pos="800" w:val="left"/>
        </w:tabs>
        <w:numPr>
          <w:ilvl w:val="0"/>
          <w:numId w:val="19"/>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73" w:lineRule="exact"/>
        <w:rPr>
          <w:sz w:val="20"/>
          <w:szCs w:val="20"/>
          <w:color w:val="auto"/>
        </w:rPr>
      </w:pPr>
    </w:p>
    <w:p>
      <w:pPr>
        <w:ind w:left="800" w:hanging="681"/>
        <w:spacing w:after="0"/>
        <w:tabs>
          <w:tab w:leader="none" w:pos="800" w:val="left"/>
        </w:tabs>
        <w:numPr>
          <w:ilvl w:val="0"/>
          <w:numId w:val="20"/>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5</w:t>
            </w:r>
          </w:p>
        </w:tc>
        <w:tc>
          <w:tcPr>
            <w:tcW w:w="8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0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20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5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85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9"/>
        </w:trPr>
        <w:tc>
          <w:tcPr>
            <w:tcW w:w="20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8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8520" w:type="dxa"/>
            <w:vAlign w:val="bottom"/>
            <w:vMerge w:val="restart"/>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60" w:type="dxa"/>
            <w:vAlign w:val="bottom"/>
            <w:tcBorders>
              <w:right w:val="single" w:sz="8" w:color="auto"/>
            </w:tcBorders>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60" w:type="dxa"/>
            <w:vAlign w:val="bottom"/>
            <w:tcBorders>
              <w:bottom w:val="single" w:sz="8" w:color="auto"/>
              <w:right w:val="single" w:sz="8" w:color="auto"/>
            </w:tcBorders>
          </w:tcPr>
          <w:p>
            <w:pPr>
              <w:spacing w:after="0"/>
              <w:rPr>
                <w:sz w:val="10"/>
                <w:szCs w:val="10"/>
                <w:color w:val="auto"/>
              </w:rPr>
            </w:pPr>
          </w:p>
        </w:tc>
        <w:tc>
          <w:tcPr>
            <w:tcW w:w="8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85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vMerge w:val="continue"/>
          </w:tcPr>
          <w:p>
            <w:pPr>
              <w:spacing w:after="0"/>
              <w:rPr>
                <w:sz w:val="13"/>
                <w:szCs w:val="13"/>
                <w:color w:val="auto"/>
              </w:rPr>
            </w:pPr>
          </w:p>
        </w:tc>
        <w:tc>
          <w:tcPr>
            <w:tcW w:w="8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tcPr>
          <w:p>
            <w:pPr>
              <w:spacing w:after="0"/>
              <w:rPr>
                <w:sz w:val="20"/>
                <w:szCs w:val="20"/>
                <w:color w:val="auto"/>
              </w:rPr>
            </w:pPr>
          </w:p>
        </w:tc>
        <w:tc>
          <w:tcPr>
            <w:tcW w:w="852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6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8</w:t>
            </w:r>
          </w:p>
        </w:tc>
        <w:tc>
          <w:tcPr>
            <w:tcW w:w="85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7"/>
        </w:trPr>
        <w:tc>
          <w:tcPr>
            <w:tcW w:w="20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52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800" w:right="3880" w:hanging="681"/>
        <w:spacing w:after="0" w:line="271" w:lineRule="auto"/>
        <w:tabs>
          <w:tab w:leader="none" w:pos="800" w:val="left"/>
        </w:tabs>
        <w:numPr>
          <w:ilvl w:val="0"/>
          <w:numId w:val="21"/>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 2,420,155*</w:t>
      </w:r>
    </w:p>
    <w:p>
      <w:pPr>
        <w:ind w:left="800" w:hanging="681"/>
        <w:spacing w:after="0" w:line="227" w:lineRule="auto"/>
        <w:tabs>
          <w:tab w:leader="none" w:pos="800" w:val="left"/>
        </w:tabs>
        <w:numPr>
          <w:ilvl w:val="1"/>
          <w:numId w:val="22"/>
        </w:numPr>
        <w:rPr>
          <w:rFonts w:ascii="Arial" w:cs="Arial" w:eastAsia="Arial" w:hAnsi="Arial"/>
          <w:sz w:val="36"/>
          <w:szCs w:val="36"/>
          <w:color w:val="auto"/>
          <w:vertAlign w:val="subscript"/>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p>
      <w:pPr>
        <w:spacing w:after="0" w:line="200" w:lineRule="exact"/>
        <w:rPr>
          <w:rFonts w:ascii="Arial" w:cs="Arial" w:eastAsia="Arial" w:hAnsi="Arial"/>
          <w:sz w:val="36"/>
          <w:szCs w:val="36"/>
          <w:color w:val="auto"/>
          <w:vertAlign w:val="subscript"/>
        </w:rPr>
      </w:pPr>
    </w:p>
    <w:p>
      <w:pPr>
        <w:spacing w:after="0" w:line="272" w:lineRule="exact"/>
        <w:rPr>
          <w:rFonts w:ascii="Arial" w:cs="Arial" w:eastAsia="Arial" w:hAnsi="Arial"/>
          <w:sz w:val="36"/>
          <w:szCs w:val="36"/>
          <w:color w:val="auto"/>
          <w:vertAlign w:val="subscript"/>
        </w:rPr>
      </w:pPr>
    </w:p>
    <w:p>
      <w:pPr>
        <w:ind w:left="800" w:right="5500" w:hanging="681"/>
        <w:spacing w:after="0" w:line="277" w:lineRule="auto"/>
        <w:tabs>
          <w:tab w:leader="none" w:pos="800" w:val="left"/>
        </w:tabs>
        <w:numPr>
          <w:ilvl w:val="1"/>
          <w:numId w:val="22"/>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7.6%*</w:t>
      </w:r>
    </w:p>
    <w:p>
      <w:pPr>
        <w:spacing w:after="0" w:line="160" w:lineRule="exact"/>
        <w:rPr>
          <w:rFonts w:ascii="Arial" w:cs="Arial" w:eastAsia="Arial" w:hAnsi="Arial"/>
          <w:sz w:val="36"/>
          <w:szCs w:val="36"/>
          <w:color w:val="auto"/>
          <w:vertAlign w:val="subscript"/>
        </w:rPr>
      </w:pPr>
    </w:p>
    <w:p>
      <w:pPr>
        <w:ind w:left="800" w:right="7940" w:hanging="681"/>
        <w:spacing w:after="0" w:line="288" w:lineRule="auto"/>
        <w:tabs>
          <w:tab w:leader="none" w:pos="800" w:val="left"/>
        </w:tabs>
        <w:numPr>
          <w:ilvl w:val="1"/>
          <w:numId w:val="22"/>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OO</w:t>
      </w:r>
    </w:p>
    <w:p>
      <w:pPr>
        <w:spacing w:after="0" w:line="132"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324"/>
        </w:trPr>
        <w:tc>
          <w:tcPr>
            <w:tcW w:w="32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CUSIP No. N69605108</w:t>
            </w:r>
          </w:p>
        </w:tc>
        <w:tc>
          <w:tcPr>
            <w:tcW w:w="2400" w:type="dxa"/>
            <w:vAlign w:val="bottom"/>
          </w:tcPr>
          <w:p>
            <w:pPr>
              <w:ind w:left="2080"/>
              <w:spacing w:after="0"/>
              <w:rPr>
                <w:sz w:val="20"/>
                <w:szCs w:val="20"/>
                <w:color w:val="auto"/>
              </w:rPr>
            </w:pPr>
            <w:r>
              <w:rPr>
                <w:rFonts w:ascii="Arial" w:cs="Arial" w:eastAsia="Arial" w:hAnsi="Arial"/>
                <w:sz w:val="18"/>
                <w:szCs w:val="18"/>
                <w:b w:val="1"/>
                <w:bCs w:val="1"/>
                <w:color w:val="auto"/>
                <w:w w:val="88"/>
              </w:rPr>
              <w:t>13G</w:t>
            </w:r>
          </w:p>
        </w:tc>
      </w:tr>
    </w:tbl>
    <w:p>
      <w:pPr>
        <w:ind w:left="800" w:hanging="681"/>
        <w:spacing w:after="0" w:line="180" w:lineRule="auto"/>
        <w:tabs>
          <w:tab w:leader="none" w:pos="800" w:val="left"/>
        </w:tabs>
        <w:numPr>
          <w:ilvl w:val="0"/>
          <w:numId w:val="23"/>
        </w:numPr>
        <w:rPr>
          <w:rFonts w:ascii="Arial" w:cs="Arial" w:eastAsia="Arial" w:hAnsi="Arial"/>
          <w:sz w:val="25"/>
          <w:szCs w:val="25"/>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829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29300"/>
                    </a:xfrm>
                    <a:prstGeom prst="rect">
                      <a:avLst/>
                    </a:prstGeom>
                    <a:noFill/>
                  </pic:spPr>
                </pic:pic>
              </a:graphicData>
            </a:graphic>
          </wp:anchor>
        </w:drawing>
        <w:t>NAME OF REPORTING PERSON</w:t>
      </w:r>
    </w:p>
    <w:p>
      <w:pPr>
        <w:spacing w:after="0" w:line="2" w:lineRule="exact"/>
        <w:rPr>
          <w:rFonts w:ascii="Arial" w:cs="Arial" w:eastAsia="Arial" w:hAnsi="Arial"/>
          <w:sz w:val="25"/>
          <w:szCs w:val="25"/>
          <w:color w:val="auto"/>
          <w:vertAlign w:val="subscript"/>
        </w:rPr>
      </w:pPr>
    </w:p>
    <w:p>
      <w:pPr>
        <w:ind w:left="800"/>
        <w:spacing w:after="0"/>
        <w:rPr>
          <w:rFonts w:ascii="Arial" w:cs="Arial" w:eastAsia="Arial" w:hAnsi="Arial"/>
          <w:sz w:val="25"/>
          <w:szCs w:val="25"/>
          <w:color w:val="auto"/>
          <w:vertAlign w:val="subscript"/>
        </w:rPr>
      </w:pPr>
      <w:r>
        <w:rPr>
          <w:rFonts w:ascii="Arial" w:cs="Arial" w:eastAsia="Arial" w:hAnsi="Arial"/>
          <w:sz w:val="17"/>
          <w:szCs w:val="17"/>
          <w:color w:val="auto"/>
        </w:rPr>
        <w:t>I.R.S. IDENTIFICATION NO. OF ABOVE PERSON (ENTITIES ONLY)</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Viking Global Opportunities Illiquid Investments Sub-Master LP</w:t>
      </w:r>
    </w:p>
    <w:p>
      <w:pPr>
        <w:ind w:left="800" w:hanging="681"/>
        <w:spacing w:after="0" w:line="188" w:lineRule="auto"/>
        <w:tabs>
          <w:tab w:leader="none" w:pos="800" w:val="left"/>
        </w:tabs>
        <w:numPr>
          <w:ilvl w:val="0"/>
          <w:numId w:val="24"/>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64" w:lineRule="exact"/>
        <w:rPr>
          <w:sz w:val="20"/>
          <w:szCs w:val="20"/>
          <w:color w:val="auto"/>
        </w:rPr>
      </w:pPr>
    </w:p>
    <w:p>
      <w:pPr>
        <w:ind w:left="800" w:hanging="681"/>
        <w:spacing w:after="0"/>
        <w:tabs>
          <w:tab w:leader="none" w:pos="800" w:val="left"/>
        </w:tabs>
        <w:numPr>
          <w:ilvl w:val="0"/>
          <w:numId w:val="25"/>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72" w:lineRule="exact"/>
        <w:rPr>
          <w:sz w:val="20"/>
          <w:szCs w:val="20"/>
          <w:color w:val="auto"/>
        </w:rPr>
      </w:pPr>
    </w:p>
    <w:p>
      <w:pPr>
        <w:ind w:left="800" w:hanging="681"/>
        <w:spacing w:after="0"/>
        <w:tabs>
          <w:tab w:leader="none" w:pos="800" w:val="left"/>
        </w:tabs>
        <w:numPr>
          <w:ilvl w:val="0"/>
          <w:numId w:val="26"/>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Cayman Islands</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50"/>
        </w:trPr>
        <w:tc>
          <w:tcPr>
            <w:tcW w:w="168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5</w:t>
            </w:r>
          </w:p>
        </w:tc>
        <w:tc>
          <w:tcPr>
            <w:tcW w:w="26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0"/>
        </w:trPr>
        <w:tc>
          <w:tcPr>
            <w:tcW w:w="16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26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680" w:type="dxa"/>
            <w:vAlign w:val="bottom"/>
            <w:tcBorders>
              <w:right w:val="single" w:sz="8" w:color="auto"/>
            </w:tcBorders>
            <w:vMerge w:val="restart"/>
          </w:tcPr>
          <w:p>
            <w:pPr>
              <w:jc w:val="center"/>
              <w:ind w:right="350"/>
              <w:spacing w:after="0" w:line="201" w:lineRule="exact"/>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vMerge w:val="continue"/>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68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202"/>
        </w:trPr>
        <w:tc>
          <w:tcPr>
            <w:tcW w:w="1680" w:type="dxa"/>
            <w:vAlign w:val="bottom"/>
            <w:tcBorders>
              <w:right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9"/>
              </w:rPr>
              <w:t>OWNED BY</w:t>
            </w:r>
          </w:p>
        </w:tc>
        <w:tc>
          <w:tcPr>
            <w:tcW w:w="660" w:type="dxa"/>
            <w:vAlign w:val="bottom"/>
            <w:tcBorders>
              <w:right w:val="single" w:sz="8" w:color="auto"/>
            </w:tcBorders>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26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6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68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262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68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6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8</w:t>
            </w:r>
          </w:p>
        </w:tc>
        <w:tc>
          <w:tcPr>
            <w:tcW w:w="2620" w:type="dxa"/>
            <w:vAlign w:val="bottom"/>
          </w:tcPr>
          <w:p>
            <w:pPr>
              <w:ind w:left="10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32"/>
        </w:trPr>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41"/>
        </w:trPr>
        <w:tc>
          <w:tcPr>
            <w:tcW w:w="168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5</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w:t>
      </w:r>
    </w:p>
    <w:p>
      <w:pPr>
        <w:spacing w:after="0" w:line="4600" w:lineRule="exact"/>
        <w:rPr>
          <w:sz w:val="20"/>
          <w:szCs w:val="20"/>
          <w:color w:val="auto"/>
        </w:rPr>
      </w:pPr>
    </w:p>
    <w:p>
      <w:pPr>
        <w:sectPr>
          <w:pgSz w:w="11900" w:h="16838" w:orient="portrait"/>
          <w:cols w:equalWidth="0" w:num="2">
            <w:col w:w="8980" w:space="720"/>
            <w:col w:w="1420"/>
          </w:cols>
          <w:pgMar w:left="320" w:top="815" w:right="459" w:bottom="1440" w:gutter="0" w:footer="0" w:header="0"/>
        </w:sectPr>
      </w:pPr>
    </w:p>
    <w:p>
      <w:pPr>
        <w:ind w:left="800" w:hanging="681"/>
        <w:spacing w:after="0" w:line="180" w:lineRule="auto"/>
        <w:tabs>
          <w:tab w:leader="none" w:pos="80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2,420,155*</w:t>
      </w:r>
    </w:p>
    <w:p>
      <w:pPr>
        <w:ind w:left="800" w:hanging="681"/>
        <w:spacing w:after="0" w:line="182" w:lineRule="auto"/>
        <w:tabs>
          <w:tab w:leader="none" w:pos="800" w:val="left"/>
        </w:tabs>
        <w:numPr>
          <w:ilvl w:val="1"/>
          <w:numId w:val="28"/>
        </w:numPr>
        <w:rPr>
          <w:rFonts w:ascii="Arial" w:cs="Arial" w:eastAsia="Arial" w:hAnsi="Arial"/>
          <w:sz w:val="32"/>
          <w:szCs w:val="32"/>
          <w:color w:val="auto"/>
          <w:vertAlign w:val="subscript"/>
        </w:rPr>
      </w:pPr>
      <w:r>
        <w:rPr>
          <w:rFonts w:ascii="Arial" w:cs="Arial" w:eastAsia="Arial" w:hAnsi="Arial"/>
          <w:sz w:val="16"/>
          <w:szCs w:val="16"/>
          <w:color w:val="auto"/>
        </w:rPr>
        <w:t>CHECK BOX IF THE AGGREGATE AMOUNT IN ROW (9) EXCLUDES CERTAIN SHARES</w:t>
      </w:r>
      <w:r>
        <w:rPr>
          <w:rFonts w:ascii="Arial" w:cs="Arial" w:eastAsia="Arial" w:hAnsi="Arial"/>
          <w:sz w:val="16"/>
          <w:szCs w:val="16"/>
          <w:b w:val="1"/>
          <w:bCs w:val="1"/>
          <w:color w:val="auto"/>
        </w:rPr>
        <w:t>*</w:t>
      </w:r>
    </w:p>
    <w:p>
      <w:pPr>
        <w:spacing w:after="0" w:line="256" w:lineRule="exact"/>
        <w:rPr>
          <w:rFonts w:ascii="Arial" w:cs="Arial" w:eastAsia="Arial" w:hAnsi="Arial"/>
          <w:sz w:val="32"/>
          <w:szCs w:val="32"/>
          <w:color w:val="auto"/>
          <w:vertAlign w:val="subscript"/>
        </w:rPr>
      </w:pPr>
    </w:p>
    <w:p>
      <w:pPr>
        <w:ind w:left="800" w:right="5380" w:hanging="681"/>
        <w:spacing w:after="0" w:line="256" w:lineRule="auto"/>
        <w:tabs>
          <w:tab w:leader="none" w:pos="800" w:val="left"/>
        </w:tabs>
        <w:numPr>
          <w:ilvl w:val="1"/>
          <w:numId w:val="28"/>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7.6%*</w:t>
      </w:r>
    </w:p>
    <w:p>
      <w:pPr>
        <w:spacing w:after="0" w:line="22" w:lineRule="exact"/>
        <w:rPr>
          <w:rFonts w:ascii="Arial" w:cs="Arial" w:eastAsia="Arial" w:hAnsi="Arial"/>
          <w:sz w:val="36"/>
          <w:szCs w:val="36"/>
          <w:color w:val="auto"/>
          <w:vertAlign w:val="subscript"/>
        </w:rPr>
      </w:pPr>
    </w:p>
    <w:p>
      <w:pPr>
        <w:ind w:left="800" w:right="7720" w:hanging="681"/>
        <w:spacing w:after="0" w:line="292" w:lineRule="auto"/>
        <w:tabs>
          <w:tab w:leader="none" w:pos="800" w:val="left"/>
        </w:tabs>
        <w:numPr>
          <w:ilvl w:val="1"/>
          <w:numId w:val="28"/>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PN</w:t>
      </w:r>
    </w:p>
    <w:p>
      <w:pPr>
        <w:spacing w:after="0" w:line="126"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15" w:right="459" w:bottom="1440" w:gutter="0" w:footer="0" w:header="0"/>
          <w:type w:val="continuous"/>
        </w:sectPr>
      </w:pPr>
    </w:p>
    <w:bookmarkStart w:id="5" w:name="page6"/>
    <w:bookmarkEnd w:id="5"/>
    <w:tbl>
      <w:tblPr>
        <w:tblLayout w:type="fixed"/>
        <w:tblInd w:w="120" w:type="dxa"/>
        <w:tblCellMar>
          <w:top w:w="0" w:type="dxa"/>
          <w:left w:w="0" w:type="dxa"/>
          <w:bottom w:w="0" w:type="dxa"/>
          <w:right w:w="0" w:type="dxa"/>
        </w:tblCellMar>
      </w:tblPr>
      <w:tr>
        <w:trPr>
          <w:trHeight w:val="324"/>
        </w:trPr>
        <w:tc>
          <w:tcPr>
            <w:tcW w:w="3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CUSIP No. N69605108</w:t>
            </w:r>
          </w:p>
        </w:tc>
        <w:tc>
          <w:tcPr>
            <w:tcW w:w="2400" w:type="dxa"/>
            <w:vAlign w:val="bottom"/>
          </w:tcPr>
          <w:p>
            <w:pPr>
              <w:ind w:left="2080"/>
              <w:spacing w:after="0"/>
              <w:rPr>
                <w:sz w:val="20"/>
                <w:szCs w:val="20"/>
                <w:color w:val="auto"/>
              </w:rPr>
            </w:pPr>
            <w:r>
              <w:rPr>
                <w:rFonts w:ascii="Arial" w:cs="Arial" w:eastAsia="Arial" w:hAnsi="Arial"/>
                <w:sz w:val="18"/>
                <w:szCs w:val="18"/>
                <w:b w:val="1"/>
                <w:bCs w:val="1"/>
                <w:color w:val="auto"/>
                <w:w w:val="88"/>
              </w:rPr>
              <w:t>13G</w:t>
            </w:r>
          </w:p>
        </w:tc>
      </w:tr>
    </w:tbl>
    <w:p>
      <w:pPr>
        <w:ind w:left="800" w:hanging="681"/>
        <w:spacing w:after="0" w:line="180" w:lineRule="auto"/>
        <w:tabs>
          <w:tab w:leader="none" w:pos="800" w:val="left"/>
        </w:tabs>
        <w:numPr>
          <w:ilvl w:val="0"/>
          <w:numId w:val="29"/>
        </w:numPr>
        <w:rPr>
          <w:rFonts w:ascii="Arial" w:cs="Arial" w:eastAsia="Arial" w:hAnsi="Arial"/>
          <w:sz w:val="25"/>
          <w:szCs w:val="25"/>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897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t>NAME OF REPORTING PERSON</w:t>
      </w:r>
    </w:p>
    <w:p>
      <w:pPr>
        <w:spacing w:after="0" w:line="2" w:lineRule="exact"/>
        <w:rPr>
          <w:rFonts w:ascii="Arial" w:cs="Arial" w:eastAsia="Arial" w:hAnsi="Arial"/>
          <w:sz w:val="25"/>
          <w:szCs w:val="25"/>
          <w:color w:val="auto"/>
          <w:vertAlign w:val="subscript"/>
        </w:rPr>
      </w:pPr>
    </w:p>
    <w:p>
      <w:pPr>
        <w:ind w:left="800"/>
        <w:spacing w:after="0"/>
        <w:rPr>
          <w:rFonts w:ascii="Arial" w:cs="Arial" w:eastAsia="Arial" w:hAnsi="Arial"/>
          <w:sz w:val="25"/>
          <w:szCs w:val="25"/>
          <w:color w:val="auto"/>
          <w:vertAlign w:val="subscript"/>
        </w:rPr>
      </w:pPr>
      <w:r>
        <w:rPr>
          <w:rFonts w:ascii="Arial" w:cs="Arial" w:eastAsia="Arial" w:hAnsi="Arial"/>
          <w:sz w:val="17"/>
          <w:szCs w:val="17"/>
          <w:color w:val="auto"/>
        </w:rPr>
        <w:t>I.R.S. IDENTIFICATION NO. OF ABOVE PERSON (ENTITIES ONLY)</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 Andreas Halvorsen</w:t>
      </w:r>
    </w:p>
    <w:p>
      <w:pPr>
        <w:ind w:left="800" w:hanging="681"/>
        <w:spacing w:after="0" w:line="188" w:lineRule="auto"/>
        <w:tabs>
          <w:tab w:leader="none" w:pos="800" w:val="left"/>
        </w:tabs>
        <w:numPr>
          <w:ilvl w:val="0"/>
          <w:numId w:val="30"/>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64" w:lineRule="exact"/>
        <w:rPr>
          <w:sz w:val="20"/>
          <w:szCs w:val="20"/>
          <w:color w:val="auto"/>
        </w:rPr>
      </w:pPr>
    </w:p>
    <w:p>
      <w:pPr>
        <w:ind w:left="800" w:hanging="681"/>
        <w:spacing w:after="0"/>
        <w:tabs>
          <w:tab w:leader="none" w:pos="800" w:val="left"/>
        </w:tabs>
        <w:numPr>
          <w:ilvl w:val="0"/>
          <w:numId w:val="31"/>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72" w:lineRule="exact"/>
        <w:rPr>
          <w:sz w:val="20"/>
          <w:szCs w:val="20"/>
          <w:color w:val="auto"/>
        </w:rPr>
      </w:pPr>
    </w:p>
    <w:p>
      <w:pPr>
        <w:ind w:left="800" w:hanging="681"/>
        <w:spacing w:after="0"/>
        <w:tabs>
          <w:tab w:leader="none" w:pos="800" w:val="left"/>
        </w:tabs>
        <w:numPr>
          <w:ilvl w:val="0"/>
          <w:numId w:val="32"/>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Norway</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50"/>
        </w:trPr>
        <w:tc>
          <w:tcPr>
            <w:tcW w:w="168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5</w:t>
            </w:r>
          </w:p>
        </w:tc>
        <w:tc>
          <w:tcPr>
            <w:tcW w:w="26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0"/>
        </w:trPr>
        <w:tc>
          <w:tcPr>
            <w:tcW w:w="16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46"/>
        </w:trPr>
        <w:tc>
          <w:tcPr>
            <w:tcW w:w="16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26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6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68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9"/>
              </w:rPr>
              <w:t>OWNED BY</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26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6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8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8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8</w:t>
            </w:r>
          </w:p>
        </w:tc>
        <w:tc>
          <w:tcPr>
            <w:tcW w:w="2640" w:type="dxa"/>
            <w:vAlign w:val="bottom"/>
          </w:tcPr>
          <w:p>
            <w:pPr>
              <w:ind w:left="100"/>
              <w:spacing w:after="0"/>
              <w:rPr>
                <w:sz w:val="20"/>
                <w:szCs w:val="20"/>
                <w:color w:val="auto"/>
              </w:rPr>
            </w:pPr>
            <w:r>
              <w:rPr>
                <w:rFonts w:ascii="Arial" w:cs="Arial" w:eastAsia="Arial" w:hAnsi="Arial"/>
                <w:sz w:val="18"/>
                <w:szCs w:val="18"/>
                <w:color w:val="auto"/>
                <w:w w:val="94"/>
              </w:rPr>
              <w:t>SHARED DISPOSITIVE POWER</w:t>
            </w:r>
          </w:p>
        </w:tc>
        <w:tc>
          <w:tcPr>
            <w:tcW w:w="0" w:type="dxa"/>
            <w:vAlign w:val="bottom"/>
          </w:tcPr>
          <w:p>
            <w:pPr>
              <w:spacing w:after="0"/>
              <w:rPr>
                <w:sz w:val="1"/>
                <w:szCs w:val="1"/>
                <w:color w:val="auto"/>
              </w:rPr>
            </w:pPr>
          </w:p>
        </w:tc>
      </w:tr>
      <w:tr>
        <w:trPr>
          <w:trHeight w:val="81"/>
        </w:trPr>
        <w:tc>
          <w:tcPr>
            <w:tcW w:w="1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229"/>
        </w:trPr>
        <w:tc>
          <w:tcPr>
            <w:tcW w:w="168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6</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w:t>
      </w:r>
    </w:p>
    <w:p>
      <w:pPr>
        <w:spacing w:after="0" w:line="4708" w:lineRule="exact"/>
        <w:rPr>
          <w:sz w:val="20"/>
          <w:szCs w:val="20"/>
          <w:color w:val="auto"/>
        </w:rPr>
      </w:pPr>
    </w:p>
    <w:p>
      <w:pPr>
        <w:sectPr>
          <w:pgSz w:w="11900" w:h="16838" w:orient="portrait"/>
          <w:cols w:equalWidth="0" w:num="2">
            <w:col w:w="8980" w:space="720"/>
            <w:col w:w="1420"/>
          </w:cols>
          <w:pgMar w:left="320" w:top="815" w:right="459" w:bottom="1440" w:gutter="0" w:footer="0" w:header="0"/>
        </w:sectPr>
      </w:pPr>
    </w:p>
    <w:p>
      <w:pPr>
        <w:ind w:left="800" w:hanging="681"/>
        <w:spacing w:after="0" w:line="180" w:lineRule="auto"/>
        <w:tabs>
          <w:tab w:leader="none" w:pos="800" w:val="left"/>
        </w:tabs>
        <w:numPr>
          <w:ilvl w:val="0"/>
          <w:numId w:val="33"/>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2,420,155*</w:t>
      </w:r>
    </w:p>
    <w:p>
      <w:pPr>
        <w:ind w:left="800" w:hanging="681"/>
        <w:spacing w:after="0" w:line="182" w:lineRule="auto"/>
        <w:tabs>
          <w:tab w:leader="none" w:pos="800" w:val="left"/>
        </w:tabs>
        <w:numPr>
          <w:ilvl w:val="1"/>
          <w:numId w:val="34"/>
        </w:numPr>
        <w:rPr>
          <w:rFonts w:ascii="Arial" w:cs="Arial" w:eastAsia="Arial" w:hAnsi="Arial"/>
          <w:sz w:val="32"/>
          <w:szCs w:val="32"/>
          <w:color w:val="auto"/>
          <w:vertAlign w:val="subscript"/>
        </w:rPr>
      </w:pPr>
      <w:r>
        <w:rPr>
          <w:rFonts w:ascii="Arial" w:cs="Arial" w:eastAsia="Arial" w:hAnsi="Arial"/>
          <w:sz w:val="16"/>
          <w:szCs w:val="16"/>
          <w:color w:val="auto"/>
        </w:rPr>
        <w:t>CHECK BOX IF THE AGGREGATE AMOUNT IN ROW (9) EXCLUDES CERTAIN SHARES</w:t>
      </w:r>
      <w:r>
        <w:rPr>
          <w:rFonts w:ascii="Arial" w:cs="Arial" w:eastAsia="Arial" w:hAnsi="Arial"/>
          <w:sz w:val="16"/>
          <w:szCs w:val="16"/>
          <w:b w:val="1"/>
          <w:bCs w:val="1"/>
          <w:color w:val="auto"/>
        </w:rPr>
        <w:t>*</w:t>
      </w:r>
    </w:p>
    <w:p>
      <w:pPr>
        <w:spacing w:after="0" w:line="256" w:lineRule="exact"/>
        <w:rPr>
          <w:rFonts w:ascii="Arial" w:cs="Arial" w:eastAsia="Arial" w:hAnsi="Arial"/>
          <w:sz w:val="32"/>
          <w:szCs w:val="32"/>
          <w:color w:val="auto"/>
          <w:vertAlign w:val="subscript"/>
        </w:rPr>
      </w:pPr>
    </w:p>
    <w:p>
      <w:pPr>
        <w:ind w:left="800" w:right="5380" w:hanging="681"/>
        <w:spacing w:after="0" w:line="256" w:lineRule="auto"/>
        <w:tabs>
          <w:tab w:leader="none" w:pos="800" w:val="left"/>
        </w:tabs>
        <w:numPr>
          <w:ilvl w:val="1"/>
          <w:numId w:val="34"/>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7.6%*</w:t>
      </w:r>
    </w:p>
    <w:p>
      <w:pPr>
        <w:spacing w:after="0" w:line="22" w:lineRule="exact"/>
        <w:rPr>
          <w:rFonts w:ascii="Arial" w:cs="Arial" w:eastAsia="Arial" w:hAnsi="Arial"/>
          <w:sz w:val="36"/>
          <w:szCs w:val="36"/>
          <w:color w:val="auto"/>
          <w:vertAlign w:val="subscript"/>
        </w:rPr>
      </w:pPr>
    </w:p>
    <w:p>
      <w:pPr>
        <w:ind w:left="800" w:right="7720" w:hanging="681"/>
        <w:spacing w:after="0" w:line="292" w:lineRule="auto"/>
        <w:tabs>
          <w:tab w:leader="none" w:pos="800" w:val="left"/>
        </w:tabs>
        <w:numPr>
          <w:ilvl w:val="1"/>
          <w:numId w:val="34"/>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IN</w:t>
      </w:r>
    </w:p>
    <w:p>
      <w:pPr>
        <w:spacing w:after="0" w:line="126"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15" w:right="459" w:bottom="1440" w:gutter="0" w:footer="0" w:header="0"/>
          <w:type w:val="continuous"/>
        </w:sectPr>
      </w:pPr>
    </w:p>
    <w:bookmarkStart w:id="6" w:name="page7"/>
    <w:bookmarkEnd w:id="6"/>
    <w:tbl>
      <w:tblPr>
        <w:tblLayout w:type="fixed"/>
        <w:tblInd w:w="120" w:type="dxa"/>
        <w:tblCellMar>
          <w:top w:w="0" w:type="dxa"/>
          <w:left w:w="0" w:type="dxa"/>
          <w:bottom w:w="0" w:type="dxa"/>
          <w:right w:w="0" w:type="dxa"/>
        </w:tblCellMar>
      </w:tblPr>
      <w:tr>
        <w:trPr>
          <w:trHeight w:val="324"/>
        </w:trPr>
        <w:tc>
          <w:tcPr>
            <w:tcW w:w="3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CUSIP No. N69605108</w:t>
            </w:r>
          </w:p>
        </w:tc>
        <w:tc>
          <w:tcPr>
            <w:tcW w:w="2400" w:type="dxa"/>
            <w:vAlign w:val="bottom"/>
          </w:tcPr>
          <w:p>
            <w:pPr>
              <w:ind w:left="2080"/>
              <w:spacing w:after="0"/>
              <w:rPr>
                <w:sz w:val="20"/>
                <w:szCs w:val="20"/>
                <w:color w:val="auto"/>
              </w:rPr>
            </w:pPr>
            <w:r>
              <w:rPr>
                <w:rFonts w:ascii="Arial" w:cs="Arial" w:eastAsia="Arial" w:hAnsi="Arial"/>
                <w:sz w:val="18"/>
                <w:szCs w:val="18"/>
                <w:b w:val="1"/>
                <w:bCs w:val="1"/>
                <w:color w:val="auto"/>
                <w:w w:val="88"/>
              </w:rPr>
              <w:t>13G</w:t>
            </w:r>
          </w:p>
        </w:tc>
      </w:tr>
    </w:tbl>
    <w:p>
      <w:pPr>
        <w:ind w:left="800" w:hanging="681"/>
        <w:spacing w:after="0" w:line="180" w:lineRule="auto"/>
        <w:tabs>
          <w:tab w:leader="none" w:pos="800" w:val="left"/>
        </w:tabs>
        <w:numPr>
          <w:ilvl w:val="0"/>
          <w:numId w:val="35"/>
        </w:numPr>
        <w:rPr>
          <w:rFonts w:ascii="Arial" w:cs="Arial" w:eastAsia="Arial" w:hAnsi="Arial"/>
          <w:sz w:val="25"/>
          <w:szCs w:val="25"/>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6035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t>NAME OF REPORTING PERSON</w:t>
      </w:r>
    </w:p>
    <w:p>
      <w:pPr>
        <w:spacing w:after="0" w:line="2" w:lineRule="exact"/>
        <w:rPr>
          <w:rFonts w:ascii="Arial" w:cs="Arial" w:eastAsia="Arial" w:hAnsi="Arial"/>
          <w:sz w:val="25"/>
          <w:szCs w:val="25"/>
          <w:color w:val="auto"/>
          <w:vertAlign w:val="subscript"/>
        </w:rPr>
      </w:pPr>
    </w:p>
    <w:p>
      <w:pPr>
        <w:ind w:left="800"/>
        <w:spacing w:after="0"/>
        <w:rPr>
          <w:rFonts w:ascii="Arial" w:cs="Arial" w:eastAsia="Arial" w:hAnsi="Arial"/>
          <w:sz w:val="25"/>
          <w:szCs w:val="25"/>
          <w:color w:val="auto"/>
          <w:vertAlign w:val="subscript"/>
        </w:rPr>
      </w:pPr>
      <w:r>
        <w:rPr>
          <w:rFonts w:ascii="Arial" w:cs="Arial" w:eastAsia="Arial" w:hAnsi="Arial"/>
          <w:sz w:val="17"/>
          <w:szCs w:val="17"/>
          <w:color w:val="auto"/>
        </w:rPr>
        <w:t>I.R.S. IDENTIFICATION NO. OF ABOVE PERSON (ENTITIES ONLY)</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David C. Ott</w:t>
      </w:r>
    </w:p>
    <w:p>
      <w:pPr>
        <w:ind w:left="800" w:hanging="681"/>
        <w:spacing w:after="0" w:line="188" w:lineRule="auto"/>
        <w:tabs>
          <w:tab w:leader="none" w:pos="800" w:val="left"/>
        </w:tabs>
        <w:numPr>
          <w:ilvl w:val="0"/>
          <w:numId w:val="36"/>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64" w:lineRule="exact"/>
        <w:rPr>
          <w:sz w:val="20"/>
          <w:szCs w:val="20"/>
          <w:color w:val="auto"/>
        </w:rPr>
      </w:pPr>
    </w:p>
    <w:p>
      <w:pPr>
        <w:ind w:left="800" w:hanging="681"/>
        <w:spacing w:after="0"/>
        <w:tabs>
          <w:tab w:leader="none" w:pos="800" w:val="left"/>
        </w:tabs>
        <w:numPr>
          <w:ilvl w:val="0"/>
          <w:numId w:val="37"/>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288" w:lineRule="exact"/>
        <w:rPr>
          <w:sz w:val="20"/>
          <w:szCs w:val="20"/>
          <w:color w:val="auto"/>
        </w:rPr>
      </w:pPr>
    </w:p>
    <w:p>
      <w:pPr>
        <w:ind w:left="800" w:hanging="681"/>
        <w:spacing w:after="0"/>
        <w:tabs>
          <w:tab w:leader="none" w:pos="800" w:val="left"/>
        </w:tabs>
        <w:numPr>
          <w:ilvl w:val="0"/>
          <w:numId w:val="38"/>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United States</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50"/>
        </w:trPr>
        <w:tc>
          <w:tcPr>
            <w:tcW w:w="168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5</w:t>
            </w:r>
          </w:p>
        </w:tc>
        <w:tc>
          <w:tcPr>
            <w:tcW w:w="26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0"/>
        </w:trPr>
        <w:tc>
          <w:tcPr>
            <w:tcW w:w="16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46"/>
        </w:trPr>
        <w:tc>
          <w:tcPr>
            <w:tcW w:w="16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26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68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122"/>
        </w:trPr>
        <w:tc>
          <w:tcPr>
            <w:tcW w:w="168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0"/>
                <w:szCs w:val="10"/>
                <w:color w:val="auto"/>
              </w:rPr>
            </w:pPr>
          </w:p>
        </w:tc>
        <w:tc>
          <w:tcPr>
            <w:tcW w:w="2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8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9"/>
              </w:rPr>
              <w:t>OWNED BY</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6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6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1"/>
                <w:szCs w:val="11"/>
                <w:color w:val="auto"/>
              </w:rPr>
            </w:pP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8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8</w:t>
            </w: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w w:val="94"/>
              </w:rPr>
              <w:t>SHARED DISPOSITIVE POWER</w:t>
            </w:r>
          </w:p>
        </w:tc>
        <w:tc>
          <w:tcPr>
            <w:tcW w:w="0" w:type="dxa"/>
            <w:vAlign w:val="bottom"/>
          </w:tcPr>
          <w:p>
            <w:pPr>
              <w:spacing w:after="0"/>
              <w:rPr>
                <w:sz w:val="1"/>
                <w:szCs w:val="1"/>
                <w:color w:val="auto"/>
              </w:rPr>
            </w:pPr>
          </w:p>
        </w:tc>
      </w:tr>
      <w:tr>
        <w:trPr>
          <w:trHeight w:val="135"/>
        </w:trPr>
        <w:tc>
          <w:tcPr>
            <w:tcW w:w="1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229"/>
        </w:trPr>
        <w:tc>
          <w:tcPr>
            <w:tcW w:w="168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7</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w:t>
      </w:r>
    </w:p>
    <w:p>
      <w:pPr>
        <w:spacing w:after="0" w:line="4924" w:lineRule="exact"/>
        <w:rPr>
          <w:sz w:val="20"/>
          <w:szCs w:val="20"/>
          <w:color w:val="auto"/>
        </w:rPr>
      </w:pPr>
    </w:p>
    <w:p>
      <w:pPr>
        <w:sectPr>
          <w:pgSz w:w="11900" w:h="16838" w:orient="portrait"/>
          <w:cols w:equalWidth="0" w:num="2">
            <w:col w:w="8980" w:space="720"/>
            <w:col w:w="1420"/>
          </w:cols>
          <w:pgMar w:left="320" w:top="814" w:right="459" w:bottom="1440" w:gutter="0" w:footer="0" w:header="0"/>
        </w:sectPr>
      </w:pPr>
    </w:p>
    <w:p>
      <w:pPr>
        <w:ind w:left="800" w:hanging="681"/>
        <w:spacing w:after="0" w:line="180" w:lineRule="auto"/>
        <w:tabs>
          <w:tab w:leader="none" w:pos="800" w:val="left"/>
        </w:tabs>
        <w:numPr>
          <w:ilvl w:val="0"/>
          <w:numId w:val="39"/>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2,420,155*</w:t>
      </w:r>
    </w:p>
    <w:p>
      <w:pPr>
        <w:ind w:left="800" w:hanging="681"/>
        <w:spacing w:after="0" w:line="182" w:lineRule="auto"/>
        <w:tabs>
          <w:tab w:leader="none" w:pos="800" w:val="left"/>
        </w:tabs>
        <w:numPr>
          <w:ilvl w:val="1"/>
          <w:numId w:val="40"/>
        </w:numPr>
        <w:rPr>
          <w:rFonts w:ascii="Arial" w:cs="Arial" w:eastAsia="Arial" w:hAnsi="Arial"/>
          <w:sz w:val="32"/>
          <w:szCs w:val="32"/>
          <w:color w:val="auto"/>
          <w:vertAlign w:val="subscript"/>
        </w:rPr>
      </w:pPr>
      <w:r>
        <w:rPr>
          <w:rFonts w:ascii="Arial" w:cs="Arial" w:eastAsia="Arial" w:hAnsi="Arial"/>
          <w:sz w:val="16"/>
          <w:szCs w:val="16"/>
          <w:color w:val="auto"/>
        </w:rPr>
        <w:t>CHECK BOX IF THE AGGREGATE AMOUNT IN ROW (9) EXCLUDES CERTAIN SHARES</w:t>
      </w:r>
      <w:r>
        <w:rPr>
          <w:rFonts w:ascii="Arial" w:cs="Arial" w:eastAsia="Arial" w:hAnsi="Arial"/>
          <w:sz w:val="16"/>
          <w:szCs w:val="16"/>
          <w:b w:val="1"/>
          <w:bCs w:val="1"/>
          <w:color w:val="auto"/>
        </w:rPr>
        <w:t>*</w:t>
      </w:r>
    </w:p>
    <w:p>
      <w:pPr>
        <w:spacing w:after="0" w:line="256" w:lineRule="exact"/>
        <w:rPr>
          <w:rFonts w:ascii="Arial" w:cs="Arial" w:eastAsia="Arial" w:hAnsi="Arial"/>
          <w:sz w:val="32"/>
          <w:szCs w:val="32"/>
          <w:color w:val="auto"/>
          <w:vertAlign w:val="subscript"/>
        </w:rPr>
      </w:pPr>
    </w:p>
    <w:p>
      <w:pPr>
        <w:ind w:left="800" w:right="5380" w:hanging="681"/>
        <w:spacing w:after="0" w:line="256" w:lineRule="auto"/>
        <w:tabs>
          <w:tab w:leader="none" w:pos="800" w:val="left"/>
        </w:tabs>
        <w:numPr>
          <w:ilvl w:val="1"/>
          <w:numId w:val="40"/>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7.6%*</w:t>
      </w:r>
    </w:p>
    <w:p>
      <w:pPr>
        <w:spacing w:after="0" w:line="22" w:lineRule="exact"/>
        <w:rPr>
          <w:rFonts w:ascii="Arial" w:cs="Arial" w:eastAsia="Arial" w:hAnsi="Arial"/>
          <w:sz w:val="36"/>
          <w:szCs w:val="36"/>
          <w:color w:val="auto"/>
          <w:vertAlign w:val="subscript"/>
        </w:rPr>
      </w:pPr>
    </w:p>
    <w:p>
      <w:pPr>
        <w:ind w:left="800" w:right="7720" w:hanging="681"/>
        <w:spacing w:after="0" w:line="292" w:lineRule="auto"/>
        <w:tabs>
          <w:tab w:leader="none" w:pos="800" w:val="left"/>
        </w:tabs>
        <w:numPr>
          <w:ilvl w:val="1"/>
          <w:numId w:val="40"/>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IN</w:t>
      </w:r>
    </w:p>
    <w:p>
      <w:pPr>
        <w:spacing w:after="0" w:line="126"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14" w:right="459" w:bottom="1440" w:gutter="0" w:footer="0" w:header="0"/>
          <w:type w:val="continuous"/>
        </w:sectPr>
      </w:pPr>
    </w:p>
    <w:bookmarkStart w:id="7" w:name="page8"/>
    <w:bookmarkEnd w:id="7"/>
    <w:tbl>
      <w:tblPr>
        <w:tblLayout w:type="fixed"/>
        <w:tblInd w:w="120" w:type="dxa"/>
        <w:tblCellMar>
          <w:top w:w="0" w:type="dxa"/>
          <w:left w:w="0" w:type="dxa"/>
          <w:bottom w:w="0" w:type="dxa"/>
          <w:right w:w="0" w:type="dxa"/>
        </w:tblCellMar>
      </w:tblPr>
      <w:tr>
        <w:trPr>
          <w:trHeight w:val="324"/>
        </w:trPr>
        <w:tc>
          <w:tcPr>
            <w:tcW w:w="3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CUSIP No. N69605108</w:t>
            </w:r>
          </w:p>
        </w:tc>
        <w:tc>
          <w:tcPr>
            <w:tcW w:w="2400" w:type="dxa"/>
            <w:vAlign w:val="bottom"/>
          </w:tcPr>
          <w:p>
            <w:pPr>
              <w:ind w:left="2080"/>
              <w:spacing w:after="0"/>
              <w:rPr>
                <w:sz w:val="20"/>
                <w:szCs w:val="20"/>
                <w:color w:val="auto"/>
              </w:rPr>
            </w:pPr>
            <w:r>
              <w:rPr>
                <w:rFonts w:ascii="Arial" w:cs="Arial" w:eastAsia="Arial" w:hAnsi="Arial"/>
                <w:sz w:val="18"/>
                <w:szCs w:val="18"/>
                <w:b w:val="1"/>
                <w:bCs w:val="1"/>
                <w:color w:val="auto"/>
                <w:w w:val="88"/>
              </w:rPr>
              <w:t>13G</w:t>
            </w:r>
          </w:p>
        </w:tc>
      </w:tr>
    </w:tbl>
    <w:p>
      <w:pPr>
        <w:ind w:left="800" w:hanging="681"/>
        <w:spacing w:after="0" w:line="180" w:lineRule="auto"/>
        <w:tabs>
          <w:tab w:leader="none" w:pos="800" w:val="left"/>
        </w:tabs>
        <w:numPr>
          <w:ilvl w:val="0"/>
          <w:numId w:val="41"/>
        </w:numPr>
        <w:rPr>
          <w:rFonts w:ascii="Arial" w:cs="Arial" w:eastAsia="Arial" w:hAnsi="Arial"/>
          <w:sz w:val="25"/>
          <w:szCs w:val="25"/>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932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932170"/>
                    </a:xfrm>
                    <a:prstGeom prst="rect">
                      <a:avLst/>
                    </a:prstGeom>
                    <a:noFill/>
                  </pic:spPr>
                </pic:pic>
              </a:graphicData>
            </a:graphic>
          </wp:anchor>
        </w:drawing>
        <w:t>NAME OF REPORTING PERSON</w:t>
      </w:r>
    </w:p>
    <w:p>
      <w:pPr>
        <w:spacing w:after="0" w:line="2" w:lineRule="exact"/>
        <w:rPr>
          <w:rFonts w:ascii="Arial" w:cs="Arial" w:eastAsia="Arial" w:hAnsi="Arial"/>
          <w:sz w:val="25"/>
          <w:szCs w:val="25"/>
          <w:color w:val="auto"/>
          <w:vertAlign w:val="subscript"/>
        </w:rPr>
      </w:pPr>
    </w:p>
    <w:p>
      <w:pPr>
        <w:ind w:left="800"/>
        <w:spacing w:after="0"/>
        <w:rPr>
          <w:rFonts w:ascii="Arial" w:cs="Arial" w:eastAsia="Arial" w:hAnsi="Arial"/>
          <w:sz w:val="25"/>
          <w:szCs w:val="25"/>
          <w:color w:val="auto"/>
          <w:vertAlign w:val="subscript"/>
        </w:rPr>
      </w:pPr>
      <w:r>
        <w:rPr>
          <w:rFonts w:ascii="Arial" w:cs="Arial" w:eastAsia="Arial" w:hAnsi="Arial"/>
          <w:sz w:val="17"/>
          <w:szCs w:val="17"/>
          <w:color w:val="auto"/>
        </w:rPr>
        <w:t>I.R.S. IDENTIFICATION NO. OF ABOVE PERSON (ENTITIES ONLY)</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Rose S. Shabet</w:t>
      </w:r>
    </w:p>
    <w:p>
      <w:pPr>
        <w:ind w:left="800" w:hanging="681"/>
        <w:spacing w:after="0" w:line="188" w:lineRule="auto"/>
        <w:tabs>
          <w:tab w:leader="none" w:pos="800" w:val="left"/>
        </w:tabs>
        <w:numPr>
          <w:ilvl w:val="0"/>
          <w:numId w:val="42"/>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64" w:lineRule="exact"/>
        <w:rPr>
          <w:sz w:val="20"/>
          <w:szCs w:val="20"/>
          <w:color w:val="auto"/>
        </w:rPr>
      </w:pPr>
    </w:p>
    <w:p>
      <w:pPr>
        <w:ind w:left="800" w:hanging="681"/>
        <w:spacing w:after="0"/>
        <w:tabs>
          <w:tab w:leader="none" w:pos="800" w:val="left"/>
        </w:tabs>
        <w:numPr>
          <w:ilvl w:val="0"/>
          <w:numId w:val="43"/>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72" w:lineRule="exact"/>
        <w:rPr>
          <w:sz w:val="20"/>
          <w:szCs w:val="20"/>
          <w:color w:val="auto"/>
        </w:rPr>
      </w:pPr>
    </w:p>
    <w:p>
      <w:pPr>
        <w:ind w:left="800" w:hanging="681"/>
        <w:spacing w:after="0"/>
        <w:tabs>
          <w:tab w:leader="none" w:pos="800" w:val="left"/>
        </w:tabs>
        <w:numPr>
          <w:ilvl w:val="0"/>
          <w:numId w:val="44"/>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United States</w:t>
      </w:r>
    </w:p>
    <w:p>
      <w:pPr>
        <w:spacing w:after="0" w:line="50" w:lineRule="exact"/>
        <w:rPr>
          <w:sz w:val="20"/>
          <w:szCs w:val="20"/>
          <w:color w:val="auto"/>
        </w:rPr>
      </w:pPr>
    </w:p>
    <w:tbl>
      <w:tblPr>
        <w:tblLayout w:type="fixed"/>
        <w:tblInd w:w="400" w:type="dxa"/>
        <w:tblCellMar>
          <w:top w:w="0" w:type="dxa"/>
          <w:left w:w="0" w:type="dxa"/>
          <w:bottom w:w="0" w:type="dxa"/>
          <w:right w:w="0" w:type="dxa"/>
        </w:tblCellMar>
      </w:tblPr>
      <w:tr>
        <w:trPr>
          <w:trHeight w:val="250"/>
        </w:trPr>
        <w:tc>
          <w:tcPr>
            <w:tcW w:w="16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5</w:t>
            </w:r>
          </w:p>
        </w:tc>
        <w:tc>
          <w:tcPr>
            <w:tcW w:w="26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0"/>
        </w:trPr>
        <w:tc>
          <w:tcPr>
            <w:tcW w:w="16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166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26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6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122"/>
        </w:trPr>
        <w:tc>
          <w:tcPr>
            <w:tcW w:w="1660" w:type="dxa"/>
            <w:vAlign w:val="bottom"/>
            <w:tcBorders>
              <w:right w:val="single" w:sz="8" w:color="auto"/>
            </w:tcBorders>
            <w:vMerge w:val="restart"/>
          </w:tcPr>
          <w:p>
            <w:pPr>
              <w:jc w:val="center"/>
              <w:ind w:right="3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0"/>
                <w:szCs w:val="10"/>
                <w:color w:val="auto"/>
              </w:rPr>
            </w:pPr>
          </w:p>
        </w:tc>
        <w:tc>
          <w:tcPr>
            <w:tcW w:w="2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7"/>
              </w:rPr>
              <w:t>OWNED BY</w:t>
            </w:r>
          </w:p>
        </w:tc>
        <w:tc>
          <w:tcPr>
            <w:tcW w:w="66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660" w:type="dxa"/>
            <w:vAlign w:val="bottom"/>
            <w:tcBorders>
              <w:right w:val="single" w:sz="8" w:color="auto"/>
            </w:tcBorders>
            <w:vMerge w:val="restart"/>
          </w:tcPr>
          <w:p>
            <w:pPr>
              <w:jc w:val="center"/>
              <w:ind w:right="310"/>
              <w:spacing w:after="0"/>
              <w:rPr>
                <w:sz w:val="20"/>
                <w:szCs w:val="20"/>
                <w:color w:val="auto"/>
              </w:rPr>
            </w:pPr>
            <w:r>
              <w:rPr>
                <w:rFonts w:ascii="Arial" w:cs="Arial" w:eastAsia="Arial" w:hAnsi="Arial"/>
                <w:sz w:val="18"/>
                <w:szCs w:val="18"/>
                <w:color w:val="auto"/>
                <w:w w:val="99"/>
              </w:rPr>
              <w:t>EACH</w:t>
            </w:r>
          </w:p>
        </w:tc>
        <w:tc>
          <w:tcPr>
            <w:tcW w:w="660" w:type="dxa"/>
            <w:vAlign w:val="bottom"/>
            <w:tcBorders>
              <w:right w:val="single" w:sz="8" w:color="auto"/>
            </w:tcBorders>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660" w:type="dxa"/>
            <w:vAlign w:val="bottom"/>
            <w:tcBorders>
              <w:right w:val="single" w:sz="8" w:color="auto"/>
            </w:tcBorders>
            <w:vMerge w:val="restart"/>
          </w:tcPr>
          <w:p>
            <w:pPr>
              <w:jc w:val="center"/>
              <w:ind w:right="310"/>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1"/>
                <w:szCs w:val="11"/>
                <w:color w:val="auto"/>
              </w:rPr>
            </w:pP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640" w:type="dxa"/>
            <w:vAlign w:val="bottom"/>
            <w:vMerge w:val="restart"/>
          </w:tcPr>
          <w:p>
            <w:pPr>
              <w:ind w:left="100"/>
              <w:spacing w:after="0"/>
              <w:rPr>
                <w:sz w:val="20"/>
                <w:szCs w:val="20"/>
                <w:color w:val="auto"/>
              </w:rPr>
            </w:pPr>
            <w:r>
              <w:rPr>
                <w:rFonts w:ascii="Arial" w:cs="Arial" w:eastAsia="Arial" w:hAnsi="Arial"/>
                <w:sz w:val="18"/>
                <w:szCs w:val="18"/>
                <w:color w:val="auto"/>
                <w:w w:val="94"/>
              </w:rPr>
              <w:t>SHARED DISPOSITIVE POWER</w:t>
            </w:r>
          </w:p>
        </w:tc>
        <w:tc>
          <w:tcPr>
            <w:tcW w:w="0" w:type="dxa"/>
            <w:vAlign w:val="bottom"/>
          </w:tcPr>
          <w:p>
            <w:pPr>
              <w:spacing w:after="0"/>
              <w:rPr>
                <w:sz w:val="1"/>
                <w:szCs w:val="1"/>
                <w:color w:val="auto"/>
              </w:rPr>
            </w:pPr>
          </w:p>
        </w:tc>
      </w:tr>
      <w:tr>
        <w:trPr>
          <w:trHeight w:val="257"/>
        </w:trPr>
        <w:tc>
          <w:tcPr>
            <w:tcW w:w="166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8</w:t>
            </w:r>
          </w:p>
        </w:tc>
        <w:tc>
          <w:tcPr>
            <w:tcW w:w="2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1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2,420,155*</w:t>
            </w:r>
          </w:p>
        </w:tc>
        <w:tc>
          <w:tcPr>
            <w:tcW w:w="0" w:type="dxa"/>
            <w:vAlign w:val="bottom"/>
          </w:tcPr>
          <w:p>
            <w:pPr>
              <w:spacing w:after="0"/>
              <w:rPr>
                <w:sz w:val="1"/>
                <w:szCs w:val="1"/>
                <w:color w:val="auto"/>
              </w:rPr>
            </w:pPr>
          </w:p>
        </w:tc>
      </w:tr>
      <w:tr>
        <w:trPr>
          <w:trHeight w:val="229"/>
        </w:trPr>
        <w:tc>
          <w:tcPr>
            <w:tcW w:w="166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8</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w:t>
      </w:r>
    </w:p>
    <w:p>
      <w:pPr>
        <w:spacing w:after="0" w:line="4330" w:lineRule="exact"/>
        <w:rPr>
          <w:sz w:val="20"/>
          <w:szCs w:val="20"/>
          <w:color w:val="auto"/>
        </w:rPr>
      </w:pPr>
    </w:p>
    <w:p>
      <w:pPr>
        <w:sectPr>
          <w:pgSz w:w="11900" w:h="16838" w:orient="portrait"/>
          <w:cols w:equalWidth="0" w:num="2">
            <w:col w:w="8980" w:space="720"/>
            <w:col w:w="1420"/>
          </w:cols>
          <w:pgMar w:left="320" w:top="814" w:right="459" w:bottom="1440" w:gutter="0" w:footer="0" w:header="0"/>
        </w:sectPr>
      </w:pPr>
    </w:p>
    <w:p>
      <w:pPr>
        <w:ind w:left="800" w:hanging="681"/>
        <w:spacing w:after="0" w:line="180" w:lineRule="auto"/>
        <w:tabs>
          <w:tab w:leader="none" w:pos="800" w:val="left"/>
        </w:tabs>
        <w:numPr>
          <w:ilvl w:val="0"/>
          <w:numId w:val="45"/>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2,420,155*</w:t>
      </w:r>
    </w:p>
    <w:p>
      <w:pPr>
        <w:ind w:left="800" w:hanging="681"/>
        <w:spacing w:after="0" w:line="182" w:lineRule="auto"/>
        <w:tabs>
          <w:tab w:leader="none" w:pos="800" w:val="left"/>
        </w:tabs>
        <w:numPr>
          <w:ilvl w:val="1"/>
          <w:numId w:val="46"/>
        </w:numPr>
        <w:rPr>
          <w:rFonts w:ascii="Arial" w:cs="Arial" w:eastAsia="Arial" w:hAnsi="Arial"/>
          <w:sz w:val="32"/>
          <w:szCs w:val="32"/>
          <w:color w:val="auto"/>
          <w:vertAlign w:val="subscript"/>
        </w:rPr>
      </w:pPr>
      <w:r>
        <w:rPr>
          <w:rFonts w:ascii="Arial" w:cs="Arial" w:eastAsia="Arial" w:hAnsi="Arial"/>
          <w:sz w:val="16"/>
          <w:szCs w:val="16"/>
          <w:color w:val="auto"/>
        </w:rPr>
        <w:t>CHECK BOX IF THE AGGREGATE AMOUNT IN ROW (9) EXCLUDES CERTAIN SHARES</w:t>
      </w:r>
      <w:r>
        <w:rPr>
          <w:rFonts w:ascii="Arial" w:cs="Arial" w:eastAsia="Arial" w:hAnsi="Arial"/>
          <w:sz w:val="16"/>
          <w:szCs w:val="16"/>
          <w:b w:val="1"/>
          <w:bCs w:val="1"/>
          <w:color w:val="auto"/>
        </w:rPr>
        <w:t>*</w:t>
      </w:r>
    </w:p>
    <w:p>
      <w:pPr>
        <w:spacing w:after="0" w:line="256" w:lineRule="exact"/>
        <w:rPr>
          <w:rFonts w:ascii="Arial" w:cs="Arial" w:eastAsia="Arial" w:hAnsi="Arial"/>
          <w:sz w:val="32"/>
          <w:szCs w:val="32"/>
          <w:color w:val="auto"/>
          <w:vertAlign w:val="subscript"/>
        </w:rPr>
      </w:pPr>
    </w:p>
    <w:p>
      <w:pPr>
        <w:ind w:left="800" w:right="5380" w:hanging="681"/>
        <w:spacing w:after="0" w:line="256" w:lineRule="auto"/>
        <w:tabs>
          <w:tab w:leader="none" w:pos="800" w:val="left"/>
        </w:tabs>
        <w:numPr>
          <w:ilvl w:val="1"/>
          <w:numId w:val="46"/>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7.6%*</w:t>
      </w:r>
    </w:p>
    <w:p>
      <w:pPr>
        <w:spacing w:after="0" w:line="22" w:lineRule="exact"/>
        <w:rPr>
          <w:rFonts w:ascii="Arial" w:cs="Arial" w:eastAsia="Arial" w:hAnsi="Arial"/>
          <w:sz w:val="36"/>
          <w:szCs w:val="36"/>
          <w:color w:val="auto"/>
          <w:vertAlign w:val="subscript"/>
        </w:rPr>
      </w:pPr>
    </w:p>
    <w:p>
      <w:pPr>
        <w:ind w:left="800" w:right="7720" w:hanging="681"/>
        <w:spacing w:after="0" w:line="507" w:lineRule="auto"/>
        <w:tabs>
          <w:tab w:leader="none" w:pos="800" w:val="left"/>
        </w:tabs>
        <w:numPr>
          <w:ilvl w:val="1"/>
          <w:numId w:val="46"/>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IN</w:t>
      </w:r>
    </w:p>
    <w:p>
      <w:pPr>
        <w:spacing w:after="0" w:line="1"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14" w:right="459" w:bottom="1440" w:gutter="0" w:footer="0" w:header="0"/>
          <w:type w:val="continuous"/>
        </w:sectPr>
      </w:pPr>
    </w:p>
    <w:bookmarkStart w:id="8" w:name="page9"/>
    <w:bookmarkEnd w:id="8"/>
    <w:p>
      <w:pPr>
        <w:ind w:left="120"/>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-164465</wp:posOffset>
            </wp:positionV>
            <wp:extent cx="71323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9</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5180" w:space="720"/>
            <w:col w:w="3080" w:space="720"/>
            <w:col w:w="1420"/>
          </w:cols>
          <w:pgMar w:left="320" w:top="891" w:right="459" w:bottom="1440" w:gutter="0" w:footer="0" w:header="0"/>
        </w:sectPr>
      </w:pPr>
    </w:p>
    <w:p>
      <w:pPr>
        <w:spacing w:after="0" w:line="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Pharvaris N.V.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J.H. Oortweg 21, 2333 CH Leiden,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Netherlands</w:t>
      </w:r>
    </w:p>
    <w:p>
      <w:pPr>
        <w:spacing w:after="0" w:line="211" w:lineRule="exact"/>
        <w:rPr>
          <w:sz w:val="20"/>
          <w:szCs w:val="20"/>
          <w:color w:val="auto"/>
        </w:rPr>
      </w:pPr>
    </w:p>
    <w:p>
      <w:pPr>
        <w:ind w:left="300"/>
        <w:spacing w:after="0"/>
        <w:tabs>
          <w:tab w:leader="none" w:pos="158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Investors LP (“VGI”),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Opportunities GP LLC (“Opportunities 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Opportunities Portfolio GP LLC (“Opportunities Portfolio 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Opportunities Illiquid Investments Sub-Master LP (“VGOP”),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 Andreas Halvorsen, David C. Ott and Rose S. Shabet (collectively, the “Reporting Persons”)</w:t>
      </w:r>
    </w:p>
    <w:p>
      <w:pPr>
        <w:spacing w:after="0" w:line="21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u w:val="single" w:color="auto"/>
          <w:color w:val="auto"/>
        </w:rPr>
        <w:t>Item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business address of each of the Reporting Persons is: 55 Railroad Avenue, Greenwich, Connecticut 06830.</w:t>
      </w:r>
    </w:p>
    <w:p>
      <w:pPr>
        <w:spacing w:after="0" w:line="225"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u w:val="single" w:color="auto"/>
          <w:color w:val="auto"/>
        </w:rPr>
        <w:t>Item 2(c)</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225"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VGI is a Delaware limited partnership; Opportunities GP and Opportunities Portfolio GP are Delaware limited liability companies; VGOP is a Cayman Islands exempted limited partnership; O. Andreas Halvorsen is a citizen of Norway; and David C. Ott and Rose S. Shabet are citizens of the United States.</w:t>
      </w:r>
    </w:p>
    <w:p>
      <w:pPr>
        <w:spacing w:after="0" w:line="184"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€0.01 per share (“Common Stock”)</w:t>
      </w:r>
    </w:p>
    <w:p>
      <w:pPr>
        <w:spacing w:after="0" w:line="225"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CUSIP NUMBER: N69605108</w:t>
      </w:r>
    </w:p>
    <w:p>
      <w:pPr>
        <w:spacing w:after="0" w:line="225"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192" w:lineRule="exact"/>
        <w:rPr>
          <w:sz w:val="20"/>
          <w:szCs w:val="20"/>
          <w:color w:val="auto"/>
        </w:rPr>
      </w:pPr>
    </w:p>
    <w:p>
      <w:pPr>
        <w:ind w:left="1800" w:hanging="496"/>
        <w:spacing w:after="0" w:line="207" w:lineRule="exact"/>
        <w:tabs>
          <w:tab w:leader="none" w:pos="180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-164465</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10</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940" w:space="720"/>
            <w:col w:w="3120" w:space="720"/>
            <w:col w:w="1520"/>
          </w:cols>
          <w:pgMar w:left="440" w:top="675" w:right="439" w:bottom="1440" w:gutter="0" w:footer="0" w:header="0"/>
        </w:sectPr>
      </w:pPr>
    </w:p>
    <w:p>
      <w:pPr>
        <w:spacing w:after="0" w:line="33" w:lineRule="exact"/>
        <w:rPr>
          <w:sz w:val="20"/>
          <w:szCs w:val="20"/>
          <w:color w:val="auto"/>
        </w:rPr>
      </w:pPr>
    </w:p>
    <w:p>
      <w:pPr>
        <w:ind w:left="1680" w:hanging="496"/>
        <w:spacing w:after="0" w:line="207"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680" w:hanging="496"/>
        <w:spacing w:after="0" w:line="207"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680" w:right="4400" w:hanging="496"/>
        <w:spacing w:after="0" w:line="239"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70" w:lineRule="exact"/>
        <w:rPr>
          <w:rFonts w:ascii="Arial" w:cs="Arial" w:eastAsia="Arial" w:hAnsi="Arial"/>
          <w:sz w:val="18"/>
          <w:szCs w:val="18"/>
          <w:color w:val="auto"/>
        </w:rPr>
      </w:pPr>
    </w:p>
    <w:p>
      <w:pPr>
        <w:ind w:left="1680" w:hanging="496"/>
        <w:spacing w:after="0" w:line="196" w:lineRule="exact"/>
        <w:tabs>
          <w:tab w:leader="none" w:pos="1680" w:val="left"/>
        </w:tabs>
        <w:numPr>
          <w:ilvl w:val="0"/>
          <w:numId w:val="4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36" w:lineRule="exact"/>
        <w:rPr>
          <w:rFonts w:ascii="Arial" w:cs="Arial" w:eastAsia="Arial" w:hAnsi="Arial"/>
          <w:sz w:val="17"/>
          <w:szCs w:val="17"/>
          <w:color w:val="auto"/>
        </w:rPr>
      </w:pPr>
    </w:p>
    <w:p>
      <w:pPr>
        <w:ind w:left="1680" w:right="140" w:hanging="496"/>
        <w:spacing w:after="0" w:line="239"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170" w:lineRule="exact"/>
        <w:rPr>
          <w:rFonts w:ascii="Arial" w:cs="Arial" w:eastAsia="Arial" w:hAnsi="Arial"/>
          <w:sz w:val="18"/>
          <w:szCs w:val="18"/>
          <w:color w:val="auto"/>
        </w:rPr>
      </w:pPr>
    </w:p>
    <w:p>
      <w:pPr>
        <w:ind w:left="1680" w:hanging="496"/>
        <w:spacing w:after="0" w:line="207"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225" w:lineRule="exact"/>
        <w:rPr>
          <w:rFonts w:ascii="Arial" w:cs="Arial" w:eastAsia="Arial" w:hAnsi="Arial"/>
          <w:sz w:val="18"/>
          <w:szCs w:val="18"/>
          <w:color w:val="auto"/>
        </w:rPr>
      </w:pPr>
    </w:p>
    <w:p>
      <w:pPr>
        <w:ind w:left="1680" w:hanging="496"/>
        <w:spacing w:after="0" w:line="207"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680" w:hanging="496"/>
        <w:spacing w:after="0" w:line="239"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680" w:hanging="496"/>
        <w:spacing w:after="0" w:line="184" w:lineRule="exact"/>
        <w:tabs>
          <w:tab w:leader="none" w:pos="1680" w:val="left"/>
        </w:tabs>
        <w:numPr>
          <w:ilvl w:val="0"/>
          <w:numId w:val="4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80"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176" w:lineRule="exact"/>
        <w:rPr>
          <w:rFonts w:ascii="Arial" w:cs="Arial" w:eastAsia="Arial" w:hAnsi="Arial"/>
          <w:sz w:val="16"/>
          <w:szCs w:val="16"/>
          <w:color w:val="auto"/>
        </w:rPr>
      </w:pPr>
    </w:p>
    <w:p>
      <w:pPr>
        <w:ind w:left="1680" w:hanging="496"/>
        <w:spacing w:after="0" w:line="207" w:lineRule="exact"/>
        <w:tabs>
          <w:tab w:leader="none" w:pos="168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58"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VGI</w:t>
      </w:r>
    </w:p>
    <w:p>
      <w:pPr>
        <w:spacing w:after="0" w:line="225" w:lineRule="exact"/>
        <w:rPr>
          <w:sz w:val="20"/>
          <w:szCs w:val="20"/>
          <w:color w:val="auto"/>
        </w:rPr>
      </w:pPr>
    </w:p>
    <w:p>
      <w:pPr>
        <w:ind w:left="1840" w:hanging="656"/>
        <w:spacing w:after="0"/>
        <w:tabs>
          <w:tab w:leader="none" w:pos="1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beneficially owned: 2,420,155</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Percent of Class: 7.6%</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2480" w:hanging="648"/>
        <w:spacing w:after="0"/>
        <w:tabs>
          <w:tab w:leader="none" w:pos="2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10" w:lineRule="exact"/>
        <w:rPr>
          <w:rFonts w:ascii="Arial" w:cs="Arial" w:eastAsia="Arial" w:hAnsi="Arial"/>
          <w:sz w:val="18"/>
          <w:szCs w:val="18"/>
          <w:color w:val="auto"/>
        </w:rPr>
      </w:pPr>
    </w:p>
    <w:p>
      <w:pPr>
        <w:ind w:left="2480" w:hanging="648"/>
        <w:spacing w:after="0"/>
        <w:tabs>
          <w:tab w:leader="none" w:pos="2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 2,420,155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426085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675"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-164465</wp:posOffset>
            </wp:positionV>
            <wp:extent cx="71323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11</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940" w:space="720"/>
            <w:col w:w="3140" w:space="720"/>
            <w:col w:w="1520"/>
          </w:cols>
          <w:pgMar w:left="440" w:top="675" w:right="419" w:bottom="1440" w:gutter="0" w:footer="0" w:header="0"/>
        </w:sectPr>
      </w:pPr>
    </w:p>
    <w:p>
      <w:pPr>
        <w:spacing w:after="0" w:line="66" w:lineRule="exact"/>
        <w:rPr>
          <w:sz w:val="20"/>
          <w:szCs w:val="20"/>
          <w:color w:val="auto"/>
        </w:rPr>
      </w:pPr>
    </w:p>
    <w:p>
      <w:pPr>
        <w:ind w:left="2480" w:hanging="648"/>
        <w:spacing w:after="0"/>
        <w:tabs>
          <w:tab w:leader="none" w:pos="2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2,420,155</w:t>
      </w:r>
    </w:p>
    <w:p>
      <w:pPr>
        <w:spacing w:after="0" w:line="200" w:lineRule="exact"/>
        <w:rPr>
          <w:sz w:val="20"/>
          <w:szCs w:val="20"/>
          <w:color w:val="auto"/>
        </w:rPr>
      </w:pPr>
    </w:p>
    <w:p>
      <w:pPr>
        <w:spacing w:after="0" w:line="24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VGI provides managerial services to VGOP. VGI has the authority to dispose of and vote the shares of Common Stock.</w:t>
      </w:r>
    </w:p>
    <w:p>
      <w:pPr>
        <w:spacing w:after="0" w:line="237" w:lineRule="exact"/>
        <w:rPr>
          <w:sz w:val="20"/>
          <w:szCs w:val="20"/>
          <w:color w:val="auto"/>
        </w:rPr>
      </w:pPr>
    </w:p>
    <w:p>
      <w:pPr>
        <w:ind w:left="1840" w:right="20"/>
        <w:spacing w:after="0" w:line="308" w:lineRule="auto"/>
        <w:rPr>
          <w:sz w:val="20"/>
          <w:szCs w:val="20"/>
          <w:color w:val="auto"/>
        </w:rPr>
      </w:pPr>
      <w:r>
        <w:rPr>
          <w:rFonts w:ascii="Arial" w:cs="Arial" w:eastAsia="Arial" w:hAnsi="Arial"/>
          <w:sz w:val="17"/>
          <w:szCs w:val="17"/>
          <w:color w:val="auto"/>
        </w:rPr>
        <w:t>Based on Rule 13d-3 of the Securities Exchange Act of 1934, as amended (the “Act”), VGI may be deemed to beneficially own the shares of Common Stock directly held by VGOP. VGI does not directly own any shares of Common Stock.</w:t>
      </w:r>
    </w:p>
    <w:p>
      <w:pPr>
        <w:spacing w:after="0" w:line="146" w:lineRule="exact"/>
        <w:rPr>
          <w:sz w:val="20"/>
          <w:szCs w:val="20"/>
          <w:color w:val="auto"/>
        </w:rPr>
      </w:pPr>
    </w:p>
    <w:p>
      <w:pPr>
        <w:ind w:left="1840" w:right="460"/>
        <w:spacing w:after="0" w:line="277" w:lineRule="auto"/>
        <w:rPr>
          <w:sz w:val="20"/>
          <w:szCs w:val="20"/>
          <w:color w:val="auto"/>
        </w:rPr>
      </w:pPr>
      <w:r>
        <w:rPr>
          <w:rFonts w:ascii="Arial" w:cs="Arial" w:eastAsia="Arial" w:hAnsi="Arial"/>
          <w:sz w:val="18"/>
          <w:szCs w:val="18"/>
          <w:color w:val="auto"/>
        </w:rPr>
        <w:t>VGI beneficially owns 2,420,155 shares of Common Stock consisting of 2,420,155 shares of Common Stock directly and beneficially owned by VGOP.</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 Opportunities GP</w:t>
      </w:r>
    </w:p>
    <w:p>
      <w:pPr>
        <w:spacing w:after="0" w:line="225" w:lineRule="exact"/>
        <w:rPr>
          <w:sz w:val="20"/>
          <w:szCs w:val="20"/>
          <w:color w:val="auto"/>
        </w:rPr>
      </w:pPr>
    </w:p>
    <w:p>
      <w:pPr>
        <w:ind w:left="1840" w:hanging="656"/>
        <w:spacing w:after="0"/>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beneficially owned: 2,420,155</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7.6%</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Shared power to vote or to direct the vote: 2,420,155</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2,420,155</w:t>
      </w:r>
    </w:p>
    <w:p>
      <w:pPr>
        <w:spacing w:after="0" w:line="200" w:lineRule="exact"/>
        <w:rPr>
          <w:sz w:val="20"/>
          <w:szCs w:val="20"/>
          <w:color w:val="auto"/>
        </w:rPr>
      </w:pPr>
    </w:p>
    <w:p>
      <w:pPr>
        <w:spacing w:after="0" w:line="241" w:lineRule="exact"/>
        <w:rPr>
          <w:sz w:val="20"/>
          <w:szCs w:val="20"/>
          <w:color w:val="auto"/>
        </w:rPr>
      </w:pPr>
    </w:p>
    <w:p>
      <w:pPr>
        <w:ind w:left="1840"/>
        <w:spacing w:after="0" w:line="263" w:lineRule="auto"/>
        <w:rPr>
          <w:sz w:val="20"/>
          <w:szCs w:val="20"/>
          <w:color w:val="auto"/>
        </w:rPr>
      </w:pPr>
      <w:r>
        <w:rPr>
          <w:rFonts w:ascii="Arial" w:cs="Arial" w:eastAsia="Arial" w:hAnsi="Arial"/>
          <w:sz w:val="18"/>
          <w:szCs w:val="18"/>
          <w:color w:val="auto"/>
        </w:rPr>
        <w:t>Opportunities GP serves as the sole member of Opportunities Portfolio GP and has the authority to dispose of and vote the shares of Common Stock controlled by Opportunities Portfolio GP, which consists of the shares of Common Stock directly held by VGOP. Opportunities GP does not directly own any shares of Common Stock.</w:t>
      </w:r>
    </w:p>
    <w:p>
      <w:pPr>
        <w:spacing w:after="0" w:line="184" w:lineRule="exact"/>
        <w:rPr>
          <w:sz w:val="20"/>
          <w:szCs w:val="20"/>
          <w:color w:val="auto"/>
        </w:rPr>
      </w:pPr>
    </w:p>
    <w:p>
      <w:pPr>
        <w:ind w:left="1840" w:right="240"/>
        <w:spacing w:after="0" w:line="277" w:lineRule="auto"/>
        <w:rPr>
          <w:sz w:val="20"/>
          <w:szCs w:val="20"/>
          <w:color w:val="auto"/>
        </w:rPr>
      </w:pPr>
      <w:r>
        <w:rPr>
          <w:rFonts w:ascii="Arial" w:cs="Arial" w:eastAsia="Arial" w:hAnsi="Arial"/>
          <w:sz w:val="18"/>
          <w:szCs w:val="18"/>
          <w:color w:val="auto"/>
        </w:rPr>
        <w:t>Based on Rule 13d-3 of the Act, Opportunities GP may be deemed to beneficially own the shares of Common Stock directly held by VGOP.</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 Opportunities Portfolio GP</w:t>
      </w:r>
    </w:p>
    <w:p>
      <w:pPr>
        <w:spacing w:after="0" w:line="225" w:lineRule="exact"/>
        <w:rPr>
          <w:sz w:val="20"/>
          <w:szCs w:val="20"/>
          <w:color w:val="auto"/>
        </w:rPr>
      </w:pPr>
    </w:p>
    <w:p>
      <w:pPr>
        <w:ind w:left="1840" w:hanging="656"/>
        <w:spacing w:after="0"/>
        <w:tabs>
          <w:tab w:leader="none" w:pos="1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 beneficially owned: 2,420,155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443230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40" w:top="675" w:right="4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-164465</wp:posOffset>
            </wp:positionV>
            <wp:extent cx="71323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940" w:space="720"/>
            <w:col w:w="3120" w:space="720"/>
            <w:col w:w="1500"/>
          </w:cols>
          <w:pgMar w:left="440" w:top="675" w:right="459" w:bottom="1440" w:gutter="0" w:footer="0" w:header="0"/>
        </w:sectPr>
      </w:pPr>
    </w:p>
    <w:p>
      <w:pPr>
        <w:spacing w:after="0" w:line="66" w:lineRule="exact"/>
        <w:rPr>
          <w:sz w:val="20"/>
          <w:szCs w:val="20"/>
          <w:color w:val="auto"/>
        </w:rPr>
      </w:pPr>
    </w:p>
    <w:p>
      <w:pPr>
        <w:ind w:left="1840" w:hanging="656"/>
        <w:spacing w:after="0"/>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Percent of Class: 7.6%</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Shared power to vote or to direct the vote: 2,420,155</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2,420,155</w:t>
      </w:r>
    </w:p>
    <w:p>
      <w:pPr>
        <w:spacing w:after="0" w:line="200" w:lineRule="exact"/>
        <w:rPr>
          <w:sz w:val="20"/>
          <w:szCs w:val="20"/>
          <w:color w:val="auto"/>
        </w:rPr>
      </w:pPr>
    </w:p>
    <w:p>
      <w:pPr>
        <w:spacing w:after="0" w:line="241" w:lineRule="exact"/>
        <w:rPr>
          <w:sz w:val="20"/>
          <w:szCs w:val="20"/>
          <w:color w:val="auto"/>
        </w:rPr>
      </w:pPr>
    </w:p>
    <w:p>
      <w:pPr>
        <w:jc w:val="both"/>
        <w:ind w:left="1840" w:right="280"/>
        <w:spacing w:after="0" w:line="342" w:lineRule="auto"/>
        <w:rPr>
          <w:sz w:val="20"/>
          <w:szCs w:val="20"/>
          <w:color w:val="auto"/>
        </w:rPr>
      </w:pPr>
      <w:r>
        <w:rPr>
          <w:rFonts w:ascii="Arial" w:cs="Arial" w:eastAsia="Arial" w:hAnsi="Arial"/>
          <w:sz w:val="16"/>
          <w:szCs w:val="16"/>
          <w:color w:val="auto"/>
        </w:rPr>
        <w:t>Opportunities Portfolio GP serves as the general partner of VGOP and has the authority to dispose of and vote the shares of Common Stock directly owned by VGOP. Opportunities Portfolio GP does not directly own any shares of Common Stock.</w:t>
      </w:r>
    </w:p>
    <w:p>
      <w:pPr>
        <w:spacing w:after="0" w:line="124" w:lineRule="exact"/>
        <w:rPr>
          <w:sz w:val="20"/>
          <w:szCs w:val="20"/>
          <w:color w:val="auto"/>
        </w:rPr>
      </w:pPr>
    </w:p>
    <w:p>
      <w:pPr>
        <w:ind w:left="1840" w:right="120"/>
        <w:spacing w:after="0" w:line="277" w:lineRule="auto"/>
        <w:rPr>
          <w:sz w:val="20"/>
          <w:szCs w:val="20"/>
          <w:color w:val="auto"/>
        </w:rPr>
      </w:pPr>
      <w:r>
        <w:rPr>
          <w:rFonts w:ascii="Arial" w:cs="Arial" w:eastAsia="Arial" w:hAnsi="Arial"/>
          <w:sz w:val="18"/>
          <w:szCs w:val="18"/>
          <w:color w:val="auto"/>
        </w:rPr>
        <w:t>Based on Rule 13d-3 of the Act, Opportunities Portfolio GP may be deemed to beneficially own the shares of Common Stock directly held by VGOP.</w:t>
      </w:r>
    </w:p>
    <w:p>
      <w:pPr>
        <w:spacing w:after="0" w:line="170" w:lineRule="exact"/>
        <w:rPr>
          <w:sz w:val="20"/>
          <w:szCs w:val="20"/>
          <w:color w:val="auto"/>
        </w:rPr>
      </w:pPr>
    </w:p>
    <w:p>
      <w:pPr>
        <w:ind w:left="760" w:hanging="22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VGOP</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Amount beneficially owned: 2,420,155</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Percent of Class: 7.6%</w:t>
      </w:r>
    </w:p>
    <w:p>
      <w:pPr>
        <w:spacing w:after="0" w:line="225" w:lineRule="exact"/>
        <w:rPr>
          <w:rFonts w:ascii="Arial" w:cs="Arial" w:eastAsia="Arial" w:hAnsi="Arial"/>
          <w:sz w:val="18"/>
          <w:szCs w:val="18"/>
          <w:color w:val="auto"/>
        </w:rPr>
      </w:pPr>
    </w:p>
    <w:p>
      <w:pPr>
        <w:ind w:left="1840" w:hanging="656"/>
        <w:spacing w:after="0"/>
        <w:tabs>
          <w:tab w:leader="none" w:pos="1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power to vote or to direct the vote: 2,420,155</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480" w:hanging="648"/>
        <w:spacing w:after="0"/>
        <w:tabs>
          <w:tab w:leader="none" w:pos="24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2,420,155</w:t>
      </w:r>
    </w:p>
    <w:p>
      <w:pPr>
        <w:spacing w:after="0" w:line="200" w:lineRule="exact"/>
        <w:rPr>
          <w:sz w:val="20"/>
          <w:szCs w:val="20"/>
          <w:color w:val="auto"/>
        </w:rPr>
      </w:pPr>
    </w:p>
    <w:p>
      <w:pPr>
        <w:spacing w:after="0" w:line="241" w:lineRule="exact"/>
        <w:rPr>
          <w:sz w:val="20"/>
          <w:szCs w:val="20"/>
          <w:color w:val="auto"/>
        </w:rPr>
      </w:pPr>
    </w:p>
    <w:p>
      <w:pPr>
        <w:ind w:left="1840" w:right="400"/>
        <w:spacing w:after="0" w:line="263" w:lineRule="auto"/>
        <w:rPr>
          <w:sz w:val="20"/>
          <w:szCs w:val="20"/>
          <w:color w:val="auto"/>
        </w:rPr>
      </w:pPr>
      <w:r>
        <w:rPr>
          <w:rFonts w:ascii="Arial" w:cs="Arial" w:eastAsia="Arial" w:hAnsi="Arial"/>
          <w:sz w:val="18"/>
          <w:szCs w:val="18"/>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184" w:lineRule="exact"/>
        <w:rPr>
          <w:sz w:val="20"/>
          <w:szCs w:val="20"/>
          <w:color w:val="auto"/>
        </w:rPr>
      </w:pPr>
    </w:p>
    <w:p>
      <w:pPr>
        <w:ind w:left="1840" w:right="200"/>
        <w:spacing w:after="0" w:line="311" w:lineRule="auto"/>
        <w:rPr>
          <w:sz w:val="20"/>
          <w:szCs w:val="20"/>
          <w:color w:val="auto"/>
        </w:rPr>
      </w:pPr>
      <w:r>
        <w:rPr>
          <w:rFonts w:ascii="Arial" w:cs="Arial" w:eastAsia="Arial" w:hAnsi="Arial"/>
          <w:sz w:val="16"/>
          <w:szCs w:val="16"/>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377825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675" w:right="459" w:bottom="1440" w:gutter="0" w:footer="0" w:header="0"/>
          <w:type w:val="continuous"/>
        </w:sectPr>
      </w:pPr>
    </w:p>
    <w:bookmarkStart w:id="12" w:name="page13"/>
    <w:bookmarkEnd w:id="12"/>
    <w:p>
      <w:pPr>
        <w:ind w:left="120"/>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-164465</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13</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5060" w:space="720"/>
            <w:col w:w="3120" w:space="720"/>
            <w:col w:w="1620"/>
          </w:cols>
          <w:pgMar w:left="320" w:top="891" w:right="339" w:bottom="1440" w:gutter="0" w:footer="0" w:header="0"/>
        </w:sectPr>
      </w:pPr>
    </w:p>
    <w:p>
      <w:pPr>
        <w:spacing w:after="0" w:line="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Cayman Islands exempted limited partnership), which in turn invests through VGOP.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O. Andreas Halvorsen, David C. Ott and Rose S. Shabet</w:t>
      </w:r>
    </w:p>
    <w:p>
      <w:pPr>
        <w:spacing w:after="0" w:line="225" w:lineRule="exact"/>
        <w:rPr>
          <w:sz w:val="20"/>
          <w:szCs w:val="20"/>
          <w:color w:val="auto"/>
        </w:rPr>
      </w:pPr>
    </w:p>
    <w:p>
      <w:pPr>
        <w:ind w:left="1960" w:hanging="656"/>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 beneficially owned: 2,420,155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 of Class: 7.6%</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Shared power to vote or to direct the vote: 2,420,155</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2,420,155</w:t>
      </w:r>
    </w:p>
    <w:p>
      <w:pPr>
        <w:spacing w:after="0" w:line="200" w:lineRule="exact"/>
        <w:rPr>
          <w:sz w:val="20"/>
          <w:szCs w:val="20"/>
          <w:color w:val="auto"/>
        </w:rPr>
      </w:pPr>
    </w:p>
    <w:p>
      <w:pPr>
        <w:spacing w:after="0" w:line="241"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Mr. Halvorsen, Mr. Ott and Ms. Shabet, as Executive Committee Members of Viking Global Partners LLC, general partner of VGI and Opportunities GP have shared authority to dispose of and vote the shares of Common Stock beneficially owned by VGI and Opportunities GP. None of Mr. Halvorsen, Mr. Ott and Ms. Shabet directly owns any shares of Common Stock.</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Based on Rule 13d-3 of the Act, each may be deemed to beneficially own the shares of Common Stock directly held by VGOP.</w:t>
      </w:r>
    </w:p>
    <w:p>
      <w:pPr>
        <w:spacing w:after="0" w:line="248" w:lineRule="exact"/>
        <w:rPr>
          <w:sz w:val="20"/>
          <w:szCs w:val="20"/>
          <w:color w:val="auto"/>
        </w:rPr>
      </w:pPr>
    </w:p>
    <w:p>
      <w:pPr>
        <w:ind w:left="1960" w:right="480"/>
        <w:spacing w:after="0" w:line="277" w:lineRule="auto"/>
        <w:rPr>
          <w:sz w:val="20"/>
          <w:szCs w:val="20"/>
          <w:color w:val="auto"/>
        </w:rPr>
      </w:pPr>
      <w:r>
        <w:rPr>
          <w:rFonts w:ascii="Arial" w:cs="Arial" w:eastAsia="Arial" w:hAnsi="Arial"/>
          <w:sz w:val="18"/>
          <w:szCs w:val="18"/>
          <w:color w:val="auto"/>
        </w:rPr>
        <w:t>Mr. Halvorsen, Mr. Ott and Ms. Shabet each beneficially own 2,420,155 shares of Common Stock consisting of 2,420,155 shares of Common Stock directly and beneficially owned by VGOP.</w:t>
      </w:r>
    </w:p>
    <w:p>
      <w:pPr>
        <w:spacing w:after="0" w:line="170"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right="80" w:firstLine="129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ind w:left="120"/>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-164465</wp:posOffset>
            </wp:positionV>
            <wp:extent cx="71323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5060" w:space="720"/>
            <w:col w:w="3120" w:space="720"/>
            <w:col w:w="1600"/>
          </w:cols>
          <w:pgMar w:left="320" w:top="675" w:right="359" w:bottom="1440" w:gutter="0" w:footer="0" w:header="0"/>
        </w:sectPr>
      </w:pPr>
    </w:p>
    <w:p>
      <w:pPr>
        <w:spacing w:after="0" w:line="66"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220"/>
        <w:spacing w:after="0"/>
        <w:tabs>
          <w:tab w:leader="none" w:pos="150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 xml:space="preserve">Certification. </w:t>
      </w:r>
      <w:r>
        <w:rPr>
          <w:rFonts w:ascii="Arial" w:cs="Arial" w:eastAsia="Arial" w:hAnsi="Arial"/>
          <w:sz w:val="16"/>
          <w:szCs w:val="16"/>
          <w:color w:val="auto"/>
        </w:rPr>
        <w:t>(if filing pursuant to Rule 13d-1(c))</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type w:val="continuous"/>
        </w:sectPr>
      </w:pPr>
    </w:p>
    <w:bookmarkStart w:id="14" w:name="page15"/>
    <w:bookmarkEnd w:id="14"/>
    <w:p>
      <w:pPr>
        <w:ind w:left="120"/>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-164465</wp:posOffset>
            </wp:positionV>
            <wp:extent cx="71323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5060" w:space="720"/>
            <w:col w:w="3120" w:space="720"/>
            <w:col w:w="1500"/>
          </w:cols>
          <w:pgMar w:left="320" w:top="675" w:right="459" w:bottom="1440" w:gutter="0" w:footer="0" w:header="0"/>
        </w:sect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Rose S. Shabet (3)</w:t>
      </w:r>
    </w:p>
    <w:p>
      <w:pPr>
        <w:spacing w:after="0" w:line="211" w:lineRule="exact"/>
        <w:rPr>
          <w:sz w:val="20"/>
          <w:szCs w:val="20"/>
          <w:color w:val="auto"/>
        </w:rPr>
      </w:pPr>
    </w:p>
    <w:p>
      <w:pPr>
        <w:ind w:right="40" w:firstLine="8"/>
        <w:spacing w:after="0" w:line="275"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76" w:lineRule="exact"/>
        <w:rPr>
          <w:rFonts w:ascii="Arial" w:cs="Arial" w:eastAsia="Arial" w:hAnsi="Arial"/>
          <w:sz w:val="17"/>
          <w:szCs w:val="17"/>
          <w:color w:val="auto"/>
        </w:rPr>
      </w:pPr>
    </w:p>
    <w:p>
      <w:pPr>
        <w:jc w:val="both"/>
        <w:ind w:firstLine="8"/>
        <w:spacing w:after="0" w:line="275"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Scott M. Hendler is signing on behalf of David C. Ott, individually and as an Executive Committee Member of VIKING GLOBAL PARTNERS 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76" w:lineRule="exact"/>
        <w:rPr>
          <w:rFonts w:ascii="Arial" w:cs="Arial" w:eastAsia="Arial" w:hAnsi="Arial"/>
          <w:sz w:val="17"/>
          <w:szCs w:val="17"/>
          <w:color w:val="auto"/>
        </w:rPr>
      </w:pPr>
    </w:p>
    <w:p>
      <w:pPr>
        <w:ind w:left="260" w:hanging="252"/>
        <w:spacing w:after="0"/>
        <w:tabs>
          <w:tab w:leader="none" w:pos="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w:t>
      </w:r>
    </w:p>
    <w:p>
      <w:pPr>
        <w:spacing w:after="0" w:line="34" w:lineRule="exact"/>
        <w:rPr>
          <w:rFonts w:ascii="Arial" w:cs="Arial" w:eastAsia="Arial" w:hAnsi="Arial"/>
          <w:sz w:val="17"/>
          <w:szCs w:val="17"/>
          <w:color w:val="auto"/>
        </w:rPr>
      </w:pPr>
    </w:p>
    <w:p>
      <w:pPr>
        <w:ind w:right="60"/>
        <w:spacing w:after="0" w:line="253" w:lineRule="auto"/>
        <w:rPr>
          <w:rFonts w:ascii="Arial" w:cs="Arial" w:eastAsia="Arial" w:hAnsi="Arial"/>
          <w:sz w:val="17"/>
          <w:szCs w:val="17"/>
          <w:color w:val="auto"/>
        </w:rPr>
      </w:pPr>
      <w:r>
        <w:rPr>
          <w:rFonts w:ascii="Arial" w:cs="Arial" w:eastAsia="Arial" w:hAnsi="Arial"/>
          <w:sz w:val="18"/>
          <w:szCs w:val="18"/>
          <w:color w:val="auto"/>
        </w:rPr>
        <w:t>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EXHIBIT A - JOINT FILING AGREEMENT</w:t>
      </w:r>
    </w:p>
    <w:p>
      <w:pPr>
        <w:spacing w:after="0" w:line="233" w:lineRule="exact"/>
        <w:rPr>
          <w:sz w:val="20"/>
          <w:szCs w:val="20"/>
          <w:color w:val="auto"/>
        </w:rPr>
      </w:pPr>
    </w:p>
    <w:p>
      <w:pPr>
        <w:jc w:val="both"/>
        <w:ind w:right="220" w:firstLine="824"/>
        <w:spacing w:after="0" w:line="224" w:lineRule="auto"/>
        <w:rPr>
          <w:sz w:val="20"/>
          <w:szCs w:val="20"/>
          <w:color w:val="auto"/>
        </w:rPr>
      </w:pPr>
      <w:r>
        <w:rPr>
          <w:rFonts w:ascii="Arial" w:cs="Arial" w:eastAsia="Arial" w:hAnsi="Arial"/>
          <w:sz w:val="18"/>
          <w:szCs w:val="18"/>
          <w:color w:val="auto"/>
        </w:rPr>
        <w:t>This joint filing agreement is made and entered into as of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 by and among Viking Global Investors LP, Viking Global Performance LLC, Viking Global Opportunities Portfolio GP LLC, Viking Global Opportunities Illiquid Investments Sub-Master LP, O. Andreas Halvorsen, David C. Ott and Rose S. Shabet.</w:t>
      </w:r>
    </w:p>
    <w:p>
      <w:pPr>
        <w:spacing w:after="0" w:line="203" w:lineRule="exact"/>
        <w:rPr>
          <w:sz w:val="20"/>
          <w:szCs w:val="20"/>
          <w:color w:val="auto"/>
        </w:rPr>
      </w:pPr>
    </w:p>
    <w:p>
      <w:pPr>
        <w:ind w:firstLine="824"/>
        <w:spacing w:after="0" w:line="259" w:lineRule="auto"/>
        <w:rPr>
          <w:sz w:val="20"/>
          <w:szCs w:val="20"/>
          <w:color w:val="auto"/>
        </w:rPr>
      </w:pPr>
      <w:r>
        <w:rPr>
          <w:rFonts w:ascii="Arial" w:cs="Arial" w:eastAsia="Arial" w:hAnsi="Arial"/>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Rose S. Shabet (3)</w:t>
      </w:r>
    </w:p>
    <w:p>
      <w:pPr>
        <w:spacing w:after="0" w:line="211" w:lineRule="exact"/>
        <w:rPr>
          <w:sz w:val="20"/>
          <w:szCs w:val="20"/>
          <w:color w:val="auto"/>
        </w:rPr>
      </w:pPr>
    </w:p>
    <w:p>
      <w:pPr>
        <w:ind w:right="140" w:firstLine="8"/>
        <w:spacing w:after="0" w:line="275" w:lineRule="auto"/>
        <w:tabs>
          <w:tab w:leader="none" w:pos="2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76" w:lineRule="exact"/>
        <w:rPr>
          <w:rFonts w:ascii="Arial" w:cs="Arial" w:eastAsia="Arial" w:hAnsi="Arial"/>
          <w:sz w:val="17"/>
          <w:szCs w:val="17"/>
          <w:color w:val="auto"/>
        </w:rPr>
      </w:pPr>
    </w:p>
    <w:p>
      <w:pPr>
        <w:jc w:val="both"/>
        <w:ind w:right="100" w:firstLine="8"/>
        <w:spacing w:after="0" w:line="275" w:lineRule="auto"/>
        <w:tabs>
          <w:tab w:leader="none" w:pos="2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Scott M. Hendler is signing on behalf of David C. Ott, individually and as an Executive Committee Member of VIKING GLOBAL PARTNERS 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76" w:lineRule="exact"/>
        <w:rPr>
          <w:rFonts w:ascii="Arial" w:cs="Arial" w:eastAsia="Arial" w:hAnsi="Arial"/>
          <w:sz w:val="17"/>
          <w:szCs w:val="17"/>
          <w:color w:val="auto"/>
        </w:rPr>
      </w:pPr>
    </w:p>
    <w:p>
      <w:pPr>
        <w:ind w:left="260" w:hanging="252"/>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w:t>
      </w:r>
    </w:p>
    <w:p>
      <w:pPr>
        <w:spacing w:after="0" w:line="34" w:lineRule="exact"/>
        <w:rPr>
          <w:rFonts w:ascii="Arial" w:cs="Arial" w:eastAsia="Arial" w:hAnsi="Arial"/>
          <w:sz w:val="17"/>
          <w:szCs w:val="17"/>
          <w:color w:val="auto"/>
        </w:rPr>
      </w:pPr>
    </w:p>
    <w:p>
      <w:pPr>
        <w:ind w:right="160"/>
        <w:spacing w:after="0" w:line="253" w:lineRule="auto"/>
        <w:rPr>
          <w:rFonts w:ascii="Arial" w:cs="Arial" w:eastAsia="Arial" w:hAnsi="Arial"/>
          <w:sz w:val="17"/>
          <w:szCs w:val="17"/>
          <w:color w:val="auto"/>
        </w:rPr>
      </w:pPr>
      <w:r>
        <w:rPr>
          <w:rFonts w:ascii="Arial" w:cs="Arial" w:eastAsia="Arial" w:hAnsi="Arial"/>
          <w:sz w:val="18"/>
          <w:szCs w:val="18"/>
          <w:color w:val="auto"/>
        </w:rPr>
        <w:t>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3A95F874"/>
    <w:multiLevelType w:val="hybridMultilevel"/>
    <w:lvl w:ilvl="0">
      <w:lvlJc w:val="left"/>
      <w:lvlText w:val="1"/>
      <w:numFmt w:val="bullet"/>
      <w:start w:val="1"/>
    </w:lvl>
  </w:abstractNum>
  <w:abstractNum w:abstractNumId="2">
    <w:nsid w:val="8138641"/>
    <w:multiLevelType w:val="hybridMultilevel"/>
    <w:lvl w:ilvl="0">
      <w:lvlJc w:val="left"/>
      <w:lvlText w:val="2"/>
      <w:numFmt w:val="bullet"/>
      <w:start w:val="1"/>
    </w:lvl>
  </w:abstractNum>
  <w:abstractNum w:abstractNumId="3">
    <w:nsid w:val="1E7FF521"/>
    <w:multiLevelType w:val="hybridMultilevel"/>
    <w:lvl w:ilvl="0">
      <w:lvlJc w:val="left"/>
      <w:lvlText w:val="3"/>
      <w:numFmt w:val="bullet"/>
      <w:start w:val="1"/>
    </w:lvl>
  </w:abstractNum>
  <w:abstractNum w:abstractNumId="4">
    <w:nsid w:val="7C3DBD3D"/>
    <w:multiLevelType w:val="hybridMultilevel"/>
    <w:lvl w:ilvl="0">
      <w:lvlJc w:val="left"/>
      <w:lvlText w:val="4"/>
      <w:numFmt w:val="bullet"/>
      <w:start w:val="1"/>
    </w:lvl>
  </w:abstractNum>
  <w:abstractNum w:abstractNumId="5">
    <w:nsid w:val="737B8DDC"/>
    <w:multiLevelType w:val="hybridMultilevel"/>
    <w:lvl w:ilvl="0">
      <w:lvlJc w:val="left"/>
      <w:lvlText w:val="9"/>
      <w:numFmt w:val="bullet"/>
      <w:start w:val="1"/>
    </w:lvl>
  </w:abstractNum>
  <w:abstractNum w:abstractNumId="6">
    <w:nsid w:val="6CEAF087"/>
    <w:multiLevelType w:val="hybridMultilevel"/>
    <w:lvl w:ilvl="0">
      <w:lvlJc w:val="left"/>
      <w:lvlText w:val="*"/>
      <w:numFmt w:val="bullet"/>
      <w:start w:val="1"/>
    </w:lvl>
    <w:lvl w:ilvl="1">
      <w:lvlJc w:val="left"/>
      <w:lvlText w:val="%2"/>
      <w:numFmt w:val="decimal"/>
      <w:start w:val="10"/>
    </w:lvl>
  </w:abstractNum>
  <w:abstractNum w:abstractNumId="7">
    <w:nsid w:val="22221A70"/>
    <w:multiLevelType w:val="hybridMultilevel"/>
    <w:lvl w:ilvl="0">
      <w:lvlJc w:val="left"/>
      <w:lvlText w:val="1"/>
      <w:numFmt w:val="bullet"/>
      <w:start w:val="1"/>
    </w:lvl>
  </w:abstractNum>
  <w:abstractNum w:abstractNumId="8">
    <w:nsid w:val="4516DDE9"/>
    <w:multiLevelType w:val="hybridMultilevel"/>
    <w:lvl w:ilvl="0">
      <w:lvlJc w:val="left"/>
      <w:lvlText w:val="2"/>
      <w:numFmt w:val="bullet"/>
      <w:start w:val="1"/>
    </w:lvl>
  </w:abstractNum>
  <w:abstractNum w:abstractNumId="9">
    <w:nsid w:val="3006C83E"/>
    <w:multiLevelType w:val="hybridMultilevel"/>
    <w:lvl w:ilvl="0">
      <w:lvlJc w:val="left"/>
      <w:lvlText w:val="3"/>
      <w:numFmt w:val="bullet"/>
      <w:start w:val="1"/>
    </w:lvl>
  </w:abstractNum>
  <w:abstractNum w:abstractNumId="10">
    <w:nsid w:val="614FD4A1"/>
    <w:multiLevelType w:val="hybridMultilevel"/>
    <w:lvl w:ilvl="0">
      <w:lvlJc w:val="left"/>
      <w:lvlText w:val="4"/>
      <w:numFmt w:val="bullet"/>
      <w:start w:val="1"/>
    </w:lvl>
  </w:abstractNum>
  <w:abstractNum w:abstractNumId="11">
    <w:nsid w:val="419AC241"/>
    <w:multiLevelType w:val="hybridMultilevel"/>
    <w:lvl w:ilvl="0">
      <w:lvlJc w:val="left"/>
      <w:lvlText w:val="5"/>
      <w:numFmt w:val="bullet"/>
      <w:start w:val="1"/>
    </w:lvl>
  </w:abstractNum>
  <w:abstractNum w:abstractNumId="12">
    <w:nsid w:val="5577F8E1"/>
    <w:multiLevelType w:val="hybridMultilevel"/>
    <w:lvl w:ilvl="0">
      <w:lvlJc w:val="left"/>
      <w:lvlText w:val="6"/>
      <w:numFmt w:val="bullet"/>
      <w:start w:val="1"/>
    </w:lvl>
  </w:abstractNum>
  <w:abstractNum w:abstractNumId="13">
    <w:nsid w:val="440BADFC"/>
    <w:multiLevelType w:val="hybridMultilevel"/>
    <w:lvl w:ilvl="0">
      <w:lvlJc w:val="left"/>
      <w:lvlText w:val="8"/>
      <w:numFmt w:val="bullet"/>
      <w:start w:val="1"/>
    </w:lvl>
  </w:abstractNum>
  <w:abstractNum w:abstractNumId="14">
    <w:nsid w:val="5072367"/>
    <w:multiLevelType w:val="hybridMultilevel"/>
    <w:lvl w:ilvl="0">
      <w:lvlJc w:val="left"/>
      <w:lvlText w:val="9"/>
      <w:numFmt w:val="bullet"/>
      <w:start w:val="1"/>
    </w:lvl>
  </w:abstractNum>
  <w:abstractNum w:abstractNumId="15">
    <w:nsid w:val="3804823E"/>
    <w:multiLevelType w:val="hybridMultilevel"/>
    <w:lvl w:ilvl="0">
      <w:lvlJc w:val="left"/>
      <w:lvlText w:val="*"/>
      <w:numFmt w:val="bullet"/>
      <w:start w:val="1"/>
    </w:lvl>
    <w:lvl w:ilvl="1">
      <w:lvlJc w:val="left"/>
      <w:lvlText w:val="%2"/>
      <w:numFmt w:val="decimal"/>
      <w:start w:val="10"/>
    </w:lvl>
  </w:abstractNum>
  <w:abstractNum w:abstractNumId="16">
    <w:nsid w:val="77465F01"/>
    <w:multiLevelType w:val="hybridMultilevel"/>
    <w:lvl w:ilvl="0">
      <w:lvlJc w:val="left"/>
      <w:lvlText w:val="1"/>
      <w:numFmt w:val="bullet"/>
      <w:start w:val="1"/>
    </w:lvl>
  </w:abstractNum>
  <w:abstractNum w:abstractNumId="17">
    <w:nsid w:val="7724C67E"/>
    <w:multiLevelType w:val="hybridMultilevel"/>
    <w:lvl w:ilvl="0">
      <w:lvlJc w:val="left"/>
      <w:lvlText w:val="2"/>
      <w:numFmt w:val="bullet"/>
      <w:start w:val="1"/>
    </w:lvl>
  </w:abstractNum>
  <w:abstractNum w:abstractNumId="18">
    <w:nsid w:val="5C482A97"/>
    <w:multiLevelType w:val="hybridMultilevel"/>
    <w:lvl w:ilvl="0">
      <w:lvlJc w:val="left"/>
      <w:lvlText w:val="3"/>
      <w:numFmt w:val="bullet"/>
      <w:start w:val="1"/>
    </w:lvl>
  </w:abstractNum>
  <w:abstractNum w:abstractNumId="19">
    <w:nsid w:val="2463B9EA"/>
    <w:multiLevelType w:val="hybridMultilevel"/>
    <w:lvl w:ilvl="0">
      <w:lvlJc w:val="left"/>
      <w:lvlText w:val="4"/>
      <w:numFmt w:val="bullet"/>
      <w:start w:val="1"/>
    </w:lvl>
  </w:abstractNum>
  <w:abstractNum w:abstractNumId="20">
    <w:nsid w:val="5E884ADC"/>
    <w:multiLevelType w:val="hybridMultilevel"/>
    <w:lvl w:ilvl="0">
      <w:lvlJc w:val="left"/>
      <w:lvlText w:val="9"/>
      <w:numFmt w:val="bullet"/>
      <w:start w:val="1"/>
    </w:lvl>
  </w:abstractNum>
  <w:abstractNum w:abstractNumId="21">
    <w:nsid w:val="51EAD36B"/>
    <w:multiLevelType w:val="hybridMultilevel"/>
    <w:lvl w:ilvl="0">
      <w:lvlJc w:val="left"/>
      <w:lvlText w:val="*"/>
      <w:numFmt w:val="bullet"/>
      <w:start w:val="1"/>
    </w:lvl>
    <w:lvl w:ilvl="1">
      <w:lvlJc w:val="left"/>
      <w:lvlText w:val="%2"/>
      <w:numFmt w:val="decimal"/>
      <w:start w:val="10"/>
    </w:lvl>
  </w:abstractNum>
  <w:abstractNum w:abstractNumId="22">
    <w:nsid w:val="2D517796"/>
    <w:multiLevelType w:val="hybridMultilevel"/>
    <w:lvl w:ilvl="0">
      <w:lvlJc w:val="left"/>
      <w:lvlText w:val="1"/>
      <w:numFmt w:val="bullet"/>
      <w:start w:val="1"/>
    </w:lvl>
  </w:abstractNum>
  <w:abstractNum w:abstractNumId="23">
    <w:nsid w:val="580BD78F"/>
    <w:multiLevelType w:val="hybridMultilevel"/>
    <w:lvl w:ilvl="0">
      <w:lvlJc w:val="left"/>
      <w:lvlText w:val="2"/>
      <w:numFmt w:val="bullet"/>
      <w:start w:val="1"/>
    </w:lvl>
  </w:abstractNum>
  <w:abstractNum w:abstractNumId="24">
    <w:nsid w:val="153EA438"/>
    <w:multiLevelType w:val="hybridMultilevel"/>
    <w:lvl w:ilvl="0">
      <w:lvlJc w:val="left"/>
      <w:lvlText w:val="3"/>
      <w:numFmt w:val="bullet"/>
      <w:start w:val="1"/>
    </w:lvl>
  </w:abstractNum>
  <w:abstractNum w:abstractNumId="25">
    <w:nsid w:val="3855585C"/>
    <w:multiLevelType w:val="hybridMultilevel"/>
    <w:lvl w:ilvl="0">
      <w:lvlJc w:val="left"/>
      <w:lvlText w:val="4"/>
      <w:numFmt w:val="bullet"/>
      <w:start w:val="1"/>
    </w:lvl>
  </w:abstractNum>
  <w:abstractNum w:abstractNumId="26">
    <w:nsid w:val="70A64E2A"/>
    <w:multiLevelType w:val="hybridMultilevel"/>
    <w:lvl w:ilvl="0">
      <w:lvlJc w:val="left"/>
      <w:lvlText w:val="9"/>
      <w:numFmt w:val="bullet"/>
      <w:start w:val="1"/>
    </w:lvl>
  </w:abstractNum>
  <w:abstractNum w:abstractNumId="27">
    <w:nsid w:val="6A2342EC"/>
    <w:multiLevelType w:val="hybridMultilevel"/>
    <w:lvl w:ilvl="0">
      <w:lvlJc w:val="left"/>
      <w:lvlText w:val="*"/>
      <w:numFmt w:val="bullet"/>
      <w:start w:val="1"/>
    </w:lvl>
    <w:lvl w:ilvl="1">
      <w:lvlJc w:val="left"/>
      <w:lvlText w:val="%2"/>
      <w:numFmt w:val="decimal"/>
      <w:start w:val="10"/>
    </w:lvl>
  </w:abstractNum>
  <w:abstractNum w:abstractNumId="28">
    <w:nsid w:val="2A487CB0"/>
    <w:multiLevelType w:val="hybridMultilevel"/>
    <w:lvl w:ilvl="0">
      <w:lvlJc w:val="left"/>
      <w:lvlText w:val="1"/>
      <w:numFmt w:val="bullet"/>
      <w:start w:val="1"/>
    </w:lvl>
  </w:abstractNum>
  <w:abstractNum w:abstractNumId="29">
    <w:nsid w:val="1D4ED43B"/>
    <w:multiLevelType w:val="hybridMultilevel"/>
    <w:lvl w:ilvl="0">
      <w:lvlJc w:val="left"/>
      <w:lvlText w:val="2"/>
      <w:numFmt w:val="bullet"/>
      <w:start w:val="1"/>
    </w:lvl>
  </w:abstractNum>
  <w:abstractNum w:abstractNumId="30">
    <w:nsid w:val="725A06FB"/>
    <w:multiLevelType w:val="hybridMultilevel"/>
    <w:lvl w:ilvl="0">
      <w:lvlJc w:val="left"/>
      <w:lvlText w:val="3"/>
      <w:numFmt w:val="bullet"/>
      <w:start w:val="1"/>
    </w:lvl>
  </w:abstractNum>
  <w:abstractNum w:abstractNumId="31">
    <w:nsid w:val="2CD89A32"/>
    <w:multiLevelType w:val="hybridMultilevel"/>
    <w:lvl w:ilvl="0">
      <w:lvlJc w:val="left"/>
      <w:lvlText w:val="4"/>
      <w:numFmt w:val="bullet"/>
      <w:start w:val="1"/>
    </w:lvl>
  </w:abstractNum>
  <w:abstractNum w:abstractNumId="32">
    <w:nsid w:val="57E4CCAF"/>
    <w:multiLevelType w:val="hybridMultilevel"/>
    <w:lvl w:ilvl="0">
      <w:lvlJc w:val="left"/>
      <w:lvlText w:val="9"/>
      <w:numFmt w:val="bullet"/>
      <w:start w:val="1"/>
    </w:lvl>
  </w:abstractNum>
  <w:abstractNum w:abstractNumId="33">
    <w:nsid w:val="7A6D8D3C"/>
    <w:multiLevelType w:val="hybridMultilevel"/>
    <w:lvl w:ilvl="0">
      <w:lvlJc w:val="left"/>
      <w:lvlText w:val="*"/>
      <w:numFmt w:val="bullet"/>
      <w:start w:val="1"/>
    </w:lvl>
    <w:lvl w:ilvl="1">
      <w:lvlJc w:val="left"/>
      <w:lvlText w:val="%2"/>
      <w:numFmt w:val="decimal"/>
      <w:start w:val="10"/>
    </w:lvl>
  </w:abstractNum>
  <w:abstractNum w:abstractNumId="34">
    <w:nsid w:val="4B588F54"/>
    <w:multiLevelType w:val="hybridMultilevel"/>
    <w:lvl w:ilvl="0">
      <w:lvlJc w:val="left"/>
      <w:lvlText w:val="1"/>
      <w:numFmt w:val="bullet"/>
      <w:start w:val="1"/>
    </w:lvl>
  </w:abstractNum>
  <w:abstractNum w:abstractNumId="35">
    <w:nsid w:val="542289EC"/>
    <w:multiLevelType w:val="hybridMultilevel"/>
    <w:lvl w:ilvl="0">
      <w:lvlJc w:val="left"/>
      <w:lvlText w:val="2"/>
      <w:numFmt w:val="bullet"/>
      <w:start w:val="1"/>
    </w:lvl>
  </w:abstractNum>
  <w:abstractNum w:abstractNumId="36">
    <w:nsid w:val="6DE91B18"/>
    <w:multiLevelType w:val="hybridMultilevel"/>
    <w:lvl w:ilvl="0">
      <w:lvlJc w:val="left"/>
      <w:lvlText w:val="3"/>
      <w:numFmt w:val="bullet"/>
      <w:start w:val="1"/>
    </w:lvl>
  </w:abstractNum>
  <w:abstractNum w:abstractNumId="37">
    <w:nsid w:val="38437FDB"/>
    <w:multiLevelType w:val="hybridMultilevel"/>
    <w:lvl w:ilvl="0">
      <w:lvlJc w:val="left"/>
      <w:lvlText w:val="4"/>
      <w:numFmt w:val="bullet"/>
      <w:start w:val="1"/>
    </w:lvl>
  </w:abstractNum>
  <w:abstractNum w:abstractNumId="38">
    <w:nsid w:val="7644A45C"/>
    <w:multiLevelType w:val="hybridMultilevel"/>
    <w:lvl w:ilvl="0">
      <w:lvlJc w:val="left"/>
      <w:lvlText w:val="9"/>
      <w:numFmt w:val="bullet"/>
      <w:start w:val="1"/>
    </w:lvl>
  </w:abstractNum>
  <w:abstractNum w:abstractNumId="39">
    <w:nsid w:val="32FFF902"/>
    <w:multiLevelType w:val="hybridMultilevel"/>
    <w:lvl w:ilvl="0">
      <w:lvlJc w:val="left"/>
      <w:lvlText w:val="*"/>
      <w:numFmt w:val="bullet"/>
      <w:start w:val="1"/>
    </w:lvl>
    <w:lvl w:ilvl="1">
      <w:lvlJc w:val="left"/>
      <w:lvlText w:val="%2"/>
      <w:numFmt w:val="decimal"/>
      <w:start w:val="10"/>
    </w:lvl>
  </w:abstractNum>
  <w:abstractNum w:abstractNumId="40">
    <w:nsid w:val="684A481A"/>
    <w:multiLevelType w:val="hybridMultilevel"/>
    <w:lvl w:ilvl="0">
      <w:lvlJc w:val="left"/>
      <w:lvlText w:val="1"/>
      <w:numFmt w:val="bullet"/>
      <w:start w:val="1"/>
    </w:lvl>
  </w:abstractNum>
  <w:abstractNum w:abstractNumId="41">
    <w:nsid w:val="579478FE"/>
    <w:multiLevelType w:val="hybridMultilevel"/>
    <w:lvl w:ilvl="0">
      <w:lvlJc w:val="left"/>
      <w:lvlText w:val="2"/>
      <w:numFmt w:val="bullet"/>
      <w:start w:val="1"/>
    </w:lvl>
  </w:abstractNum>
  <w:abstractNum w:abstractNumId="42">
    <w:nsid w:val="749ABB43"/>
    <w:multiLevelType w:val="hybridMultilevel"/>
    <w:lvl w:ilvl="0">
      <w:lvlJc w:val="left"/>
      <w:lvlText w:val="3"/>
      <w:numFmt w:val="bullet"/>
      <w:start w:val="1"/>
    </w:lvl>
  </w:abstractNum>
  <w:abstractNum w:abstractNumId="43">
    <w:nsid w:val="3DC240FB"/>
    <w:multiLevelType w:val="hybridMultilevel"/>
    <w:lvl w:ilvl="0">
      <w:lvlJc w:val="left"/>
      <w:lvlText w:val="4"/>
      <w:numFmt w:val="bullet"/>
      <w:start w:val="1"/>
    </w:lvl>
  </w:abstractNum>
  <w:abstractNum w:abstractNumId="44">
    <w:nsid w:val="1BA026FA"/>
    <w:multiLevelType w:val="hybridMultilevel"/>
    <w:lvl w:ilvl="0">
      <w:lvlJc w:val="left"/>
      <w:lvlText w:val="9"/>
      <w:numFmt w:val="bullet"/>
      <w:start w:val="1"/>
    </w:lvl>
  </w:abstractNum>
  <w:abstractNum w:abstractNumId="45">
    <w:nsid w:val="79A1DEAA"/>
    <w:multiLevelType w:val="hybridMultilevel"/>
    <w:lvl w:ilvl="0">
      <w:lvlJc w:val="left"/>
      <w:lvlText w:val="*"/>
      <w:numFmt w:val="bullet"/>
      <w:start w:val="1"/>
    </w:lvl>
    <w:lvl w:ilvl="1">
      <w:lvlJc w:val="left"/>
      <w:lvlText w:val="%2"/>
      <w:numFmt w:val="decimal"/>
      <w:start w:val="10"/>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2"/>
    </w:lvl>
  </w:abstractNum>
  <w:abstractNum w:abstractNumId="48">
    <w:nsid w:val="70C6A529"/>
    <w:multiLevelType w:val="hybridMultilevel"/>
    <w:lvl w:ilvl="0">
      <w:lvlJc w:val="left"/>
      <w:lvlText w:val="(%1)"/>
      <w:numFmt w:val="lowerLetter"/>
      <w:start w:val="1"/>
    </w:lvl>
    <w:lvl w:ilvl="1">
      <w:lvlJc w:val="left"/>
      <w:lvlText w:val="(%2)"/>
      <w:numFmt w:val="lowerRoman"/>
      <w:start w:val="1"/>
    </w:lvl>
  </w:abstractNum>
  <w:abstractNum w:abstractNumId="49">
    <w:nsid w:val="520EEDD1"/>
    <w:multiLevelType w:val="hybridMultilevel"/>
    <w:lvl w:ilvl="0">
      <w:lvlJc w:val="left"/>
      <w:lvlText w:val="(%1)"/>
      <w:numFmt w:val="lowerRoman"/>
      <w:start w:val="3"/>
    </w:lvl>
  </w:abstractNum>
  <w:abstractNum w:abstractNumId="50">
    <w:nsid w:val="374A3FE6"/>
    <w:multiLevelType w:val="hybridMultilevel"/>
    <w:lvl w:ilvl="0">
      <w:lvlJc w:val="left"/>
      <w:lvlText w:val="(%1)"/>
      <w:numFmt w:val="lowerLetter"/>
      <w:start w:val="1"/>
    </w:lvl>
    <w:lvl w:ilvl="1">
      <w:lvlJc w:val="left"/>
      <w:lvlText w:val="(%2)"/>
      <w:numFmt w:val="lowerRoman"/>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2"/>
    </w:lvl>
    <w:lvl w:ilvl="1">
      <w:lvlJc w:val="left"/>
      <w:lvlText w:val="(%2)"/>
      <w:numFmt w:val="lowerRoman"/>
      <w:start w:val="1"/>
    </w:lvl>
  </w:abstractNum>
  <w:abstractNum w:abstractNumId="53">
    <w:nsid w:val="649BB77C"/>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54">
    <w:nsid w:val="275AC794"/>
    <w:multiLevelType w:val="hybridMultilevel"/>
    <w:lvl w:ilvl="0">
      <w:lvlJc w:val="left"/>
      <w:lvlText w:val="(%1)"/>
      <w:numFmt w:val="lowerLetter"/>
      <w:start w:val="1"/>
    </w:lvl>
    <w:lvl w:ilvl="1">
      <w:lvlJc w:val="left"/>
      <w:lvlText w:val="(%2)"/>
      <w:numFmt w:val="lowerRoman"/>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2021-02-16T05:56:46Z</dcterms:created>
  <dcterms:modified xsi:type="dcterms:W3CDTF">2021-02-16T05:56:46Z</dcterms:modified>
</cp:coreProperties>
</file>