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2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April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Pharvaris N.V.</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The Netherlands</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Report on Form 6-K/A (“Form 6-K/A”) is being filed to amend the Report on Form 6-K initially filed by Pharvaris N.V. (the “Company”) with the Securities and Exchange Commission on April 29, 2021 (the “Original Form 6-K”). The Company is filing this Form 6-K/A solely to correct the hyperlink of Exhibit 99.1, which was included in the Original Form 6-K. Except as so amended, the Original Form 6-K remains as originally filed.</w:t>
      </w:r>
    </w:p>
    <w:p>
      <w:pPr>
        <w:sectPr>
          <w:pgSz w:w="11900" w:h="16838" w:orient="portrait"/>
          <w:cols w:equalWidth="0" w:num="1">
            <w:col w:w="10940"/>
          </w:cols>
          <w:pgMar w:left="440" w:top="270"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Date: April 30, 2021</w:t>
            </w: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PHARVARIS N.V.</w:t>
            </w:r>
          </w:p>
        </w:tc>
      </w:tr>
      <w:tr>
        <w:trPr>
          <w:trHeight w:val="432"/>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Berndt Modig</w:t>
            </w:r>
          </w:p>
        </w:tc>
      </w:tr>
      <w:tr>
        <w:trPr>
          <w:trHeight w:val="195"/>
        </w:trPr>
        <w:tc>
          <w:tcPr>
            <w:tcW w:w="3500" w:type="dxa"/>
            <w:vAlign w:val="bottom"/>
          </w:tcPr>
          <w:p>
            <w:pPr>
              <w:spacing w:after="0"/>
              <w:rPr>
                <w:sz w:val="16"/>
                <w:szCs w:val="16"/>
                <w:color w:val="auto"/>
              </w:rPr>
            </w:pPr>
          </w:p>
        </w:tc>
        <w:tc>
          <w:tcPr>
            <w:tcW w:w="2560" w:type="dxa"/>
            <w:vAlign w:val="bottom"/>
          </w:tcPr>
          <w:p>
            <w:pPr>
              <w:ind w:left="20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Berndt Modig</w:t>
            </w:r>
          </w:p>
        </w:tc>
      </w:tr>
      <w:tr>
        <w:trPr>
          <w:trHeight w:val="230"/>
        </w:trPr>
        <w:tc>
          <w:tcPr>
            <w:tcW w:w="3500" w:type="dxa"/>
            <w:vAlign w:val="bottom"/>
          </w:tcPr>
          <w:p>
            <w:pPr>
              <w:spacing w:after="0"/>
              <w:rPr>
                <w:sz w:val="20"/>
                <w:szCs w:val="20"/>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April 29, 2021</w:t>
        </w:r>
      </w:hyperlink>
    </w:p>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248920</wp:posOffset>
            </wp:positionV>
            <wp:extent cx="240030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03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Reports Full Year 2020 Financial Results and Provides Business Highlights</w:t>
      </w:r>
    </w:p>
    <w:p>
      <w:pPr>
        <w:spacing w:after="0" w:line="25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RAPIDe-1 clinical trial enrolling, evaluating PHVS416 as an oral on-demand therapy for HAE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Open IND for the prophylactic evaluation of PHVS416</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pre-IPO cash and cash equivalents balance of €98.6 million as of December 31, 2020</w:t>
      </w:r>
    </w:p>
    <w:p>
      <w:pPr>
        <w:spacing w:after="0" w:line="22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Zug, Switzerland, April 29, 2021 </w:t>
      </w:r>
      <w:r>
        <w:rPr>
          <w:rFonts w:ascii="Arial" w:cs="Arial" w:eastAsia="Arial" w:hAnsi="Arial"/>
          <w:sz w:val="18"/>
          <w:szCs w:val="18"/>
          <w:color w:val="auto"/>
        </w:rPr>
        <w:t>– Pharvaris (Nasdaq: PHVS), a clinical-stage company focused on the discovery and development of novel oral</w:t>
      </w:r>
      <w:r>
        <w:rPr>
          <w:rFonts w:ascii="Arial" w:cs="Arial" w:eastAsia="Arial" w:hAnsi="Arial"/>
          <w:sz w:val="18"/>
          <w:szCs w:val="18"/>
          <w:b w:val="1"/>
          <w:bCs w:val="1"/>
          <w:color w:val="auto"/>
        </w:rPr>
        <w:t xml:space="preserve"> </w:t>
      </w:r>
      <w:r>
        <w:rPr>
          <w:rFonts w:ascii="Arial" w:cs="Arial" w:eastAsia="Arial" w:hAnsi="Arial"/>
          <w:sz w:val="18"/>
          <w:szCs w:val="18"/>
          <w:color w:val="auto"/>
        </w:rPr>
        <w:t>bradykinin-B2-receptor antagonists for the treatment of hereditary angioedema (HAE) and other bradykinin-B2-receptor-mediated indications, today reported financial results for the year ended December 31, 2020, and provided recent business highlights.</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“Supported by a strong cash position from our Series C financing in November and our initial public offering in February, Pharvaris remains focused on advancing new alternatives to injected prophylactic and on-demand HAE therapies using tailored formulations of our compound PHA121,” said Berndt Modig, co-founder and chief executive officer of Pharvaris. “Our RAPIDe-1 Phase 2 clinical study, evaluating our rapid-release product candidate, PHVS416, for the on-demand treatment of HAE attacks, is actively recruiting patients. We plan to evaluate prophylactic treatment of HAE by initiating two studies in 2021: a second Phase 2 study of PHVS416 and a Phase 1 study of PHVS719, our extended-release product candidate.”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 and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127" w:lineRule="exact"/>
        <w:rPr>
          <w:sz w:val="20"/>
          <w:szCs w:val="20"/>
          <w:color w:val="auto"/>
        </w:rPr>
      </w:pPr>
    </w:p>
    <w:p>
      <w:pPr>
        <w:ind w:left="960" w:right="160" w:hanging="424"/>
        <w:spacing w:after="0" w:line="26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Initiated patient dosing of PHVS416 for the on-demand treatment of HAE. </w:t>
      </w:r>
      <w:r>
        <w:rPr>
          <w:rFonts w:ascii="Arial" w:cs="Arial" w:eastAsia="Arial" w:hAnsi="Arial"/>
          <w:sz w:val="18"/>
          <w:szCs w:val="18"/>
          <w:color w:val="auto"/>
        </w:rPr>
        <w:t>As previously announced in February 2021, Pharvaris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patient dosing in RAPIDe-1, a randomized, double-blind, placebo-controlled Phase 2 clinical trial evaluating the safety, efficacy, and tolerability of PHVS416 in patients with HAE due to C1-inhibitor deficiency type 1 and 2.</w:t>
      </w:r>
    </w:p>
    <w:p>
      <w:pPr>
        <w:spacing w:after="0" w:line="81" w:lineRule="exact"/>
        <w:rPr>
          <w:rFonts w:ascii="Arial" w:cs="Arial" w:eastAsia="Arial" w:hAnsi="Arial"/>
          <w:sz w:val="18"/>
          <w:szCs w:val="18"/>
          <w:color w:val="auto"/>
        </w:rPr>
      </w:pPr>
    </w:p>
    <w:p>
      <w:pPr>
        <w:ind w:left="960" w:right="320" w:hanging="424"/>
        <w:spacing w:after="0" w:line="26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Phase 2 prophylactic study of PHVS416 to begin in 2021. </w:t>
      </w:r>
      <w:r>
        <w:rPr>
          <w:rFonts w:ascii="Arial" w:cs="Arial" w:eastAsia="Arial" w:hAnsi="Arial"/>
          <w:sz w:val="18"/>
          <w:szCs w:val="18"/>
          <w:color w:val="auto"/>
        </w:rPr>
        <w:t>As previously announced in April 2021, the U.S. Food and Drug</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(FDA) has accepted the Company’s Investigational New Drug (IND) application for prophylactic study of PHVS416 in patients with HAE. Pharvaris continues to expect study initiation in 2021.</w:t>
      </w:r>
    </w:p>
    <w:p>
      <w:pPr>
        <w:sectPr>
          <w:pgSz w:w="11900" w:h="16838" w:orient="portrait"/>
          <w:cols w:equalWidth="0" w:num="1">
            <w:col w:w="11020"/>
          </w:cols>
          <w:pgMar w:left="440" w:top="121" w:right="439" w:bottom="1440" w:gutter="0" w:footer="0" w:header="0"/>
        </w:sectPr>
      </w:pPr>
    </w:p>
    <w:bookmarkStart w:id="5" w:name="page6"/>
    <w:bookmarkEnd w:id="5"/>
    <w:p>
      <w:pPr>
        <w:jc w:val="both"/>
        <w:ind w:left="960" w:right="26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 xml:space="preserve">Phase 1 pharmacokinetics study of PHVS719 to begin by the end of 2021. </w:t>
      </w:r>
      <w:r>
        <w:rPr>
          <w:rFonts w:ascii="Arial" w:cs="Arial" w:eastAsia="Arial" w:hAnsi="Arial"/>
          <w:sz w:val="18"/>
          <w:szCs w:val="18"/>
          <w:color w:val="auto"/>
        </w:rPr>
        <w:t>PHVS719 is an extended-release formulation of PHA121</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for use in the prophylactic treatment of HAE. The Company expects to initiate a Phase 1 pharmacokinetics study by the end of 2021.</w:t>
      </w:r>
    </w:p>
    <w:p>
      <w:pPr>
        <w:spacing w:after="0" w:line="81" w:lineRule="exact"/>
        <w:rPr>
          <w:rFonts w:ascii="Arial" w:cs="Arial" w:eastAsia="Arial" w:hAnsi="Arial"/>
          <w:sz w:val="18"/>
          <w:szCs w:val="18"/>
          <w:color w:val="auto"/>
        </w:rPr>
      </w:pPr>
    </w:p>
    <w:p>
      <w:pPr>
        <w:jc w:val="both"/>
        <w:ind w:left="960" w:right="26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Completed Phase 1 MAD clinical study of PHA121. </w:t>
      </w:r>
      <w:r>
        <w:rPr>
          <w:rFonts w:ascii="Arial" w:cs="Arial" w:eastAsia="Arial" w:hAnsi="Arial"/>
          <w:sz w:val="18"/>
          <w:szCs w:val="18"/>
          <w:color w:val="auto"/>
        </w:rPr>
        <w:t>In January 2021, Pharvaris announced clinical data from the Company’s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multiple-ascending dose study, demonstrating the oral bioavailability of PHA121. PHA121 was well tolerated at all doses studied, with approximately dose-proportional exposure.</w:t>
      </w:r>
    </w:p>
    <w:p>
      <w:pPr>
        <w:spacing w:after="0" w:line="81" w:lineRule="exact"/>
        <w:rPr>
          <w:rFonts w:ascii="Arial" w:cs="Arial" w:eastAsia="Arial" w:hAnsi="Arial"/>
          <w:sz w:val="18"/>
          <w:szCs w:val="18"/>
          <w:color w:val="auto"/>
        </w:rPr>
      </w:pPr>
    </w:p>
    <w:p>
      <w:pPr>
        <w:ind w:left="960" w:right="14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Presentations of clinical data of PHA121 at medical conferences. </w:t>
      </w:r>
      <w:r>
        <w:rPr>
          <w:rFonts w:ascii="Arial" w:cs="Arial" w:eastAsia="Arial" w:hAnsi="Arial"/>
          <w:sz w:val="18"/>
          <w:szCs w:val="18"/>
          <w:color w:val="auto"/>
        </w:rPr>
        <w:t>Data detailing PHA121’s pharmacokinetic (PK), pharmacodynamic</w:t>
      </w:r>
      <w:r>
        <w:rPr>
          <w:rFonts w:ascii="Arial" w:cs="Arial" w:eastAsia="Arial" w:hAnsi="Arial"/>
          <w:sz w:val="18"/>
          <w:szCs w:val="18"/>
          <w:b w:val="1"/>
          <w:bCs w:val="1"/>
          <w:color w:val="auto"/>
        </w:rPr>
        <w:t xml:space="preserve"> </w:t>
      </w:r>
      <w:r>
        <w:rPr>
          <w:rFonts w:ascii="Arial" w:cs="Arial" w:eastAsia="Arial" w:hAnsi="Arial"/>
          <w:sz w:val="18"/>
          <w:szCs w:val="18"/>
          <w:color w:val="auto"/>
        </w:rPr>
        <w:t>(PD), and safety profiles were presented at the 2021 American Academy of Allergy Asthma &amp; Immunology (AAAAI) Virtual Annual Meeting in February 2021 and at the virtual American College of Asthma, Allergy and Immunology (ACAAI) Annual Scientific Meeting in November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27" w:lineRule="exact"/>
        <w:rPr>
          <w:sz w:val="20"/>
          <w:szCs w:val="20"/>
          <w:color w:val="auto"/>
        </w:rPr>
      </w:pPr>
    </w:p>
    <w:p>
      <w:pPr>
        <w:ind w:left="960" w:right="40" w:hanging="424"/>
        <w:spacing w:after="0" w:line="26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Completed initial public offering (IPO). </w:t>
      </w:r>
      <w:r>
        <w:rPr>
          <w:rFonts w:ascii="Arial" w:cs="Arial" w:eastAsia="Arial" w:hAnsi="Arial"/>
          <w:sz w:val="18"/>
          <w:szCs w:val="18"/>
          <w:color w:val="auto"/>
        </w:rPr>
        <w:t>In February 2021, Pharvaris completed its IPO of 9,511,075 shares of common stock at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price of $20.00 per share, generating gross proceeds of $190.2 million before deducting underwriting discounts and commissions and estimated offering expenses.</w:t>
      </w:r>
    </w:p>
    <w:p>
      <w:pPr>
        <w:spacing w:after="0" w:line="81" w:lineRule="exact"/>
        <w:rPr>
          <w:rFonts w:ascii="Arial" w:cs="Arial" w:eastAsia="Arial" w:hAnsi="Arial"/>
          <w:sz w:val="18"/>
          <w:szCs w:val="18"/>
          <w:color w:val="auto"/>
        </w:rPr>
      </w:pPr>
    </w:p>
    <w:p>
      <w:pPr>
        <w:ind w:left="960" w:hanging="424"/>
        <w:spacing w:after="0" w:line="26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In January 2021, the Company appointed David Meeker, M.D., and Robert Glassman, M.D., to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Dr. Meeker currently acts as the Chair of the Board. Additionally, Richard Gaster, M.D., Ph.D., partner of venBio, who joined the Company’s Board of Directors in August 2019 as part of Pharvaris’ Series B financing, will transition off of the Board to focus on new investments, effective May 1, 2021.</w:t>
      </w:r>
    </w:p>
    <w:p>
      <w:pPr>
        <w:spacing w:after="0" w:line="8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Closed Series C financing. </w:t>
      </w:r>
      <w:r>
        <w:rPr>
          <w:rFonts w:ascii="Arial" w:cs="Arial" w:eastAsia="Arial" w:hAnsi="Arial"/>
          <w:sz w:val="18"/>
          <w:szCs w:val="18"/>
          <w:color w:val="auto"/>
        </w:rPr>
        <w:t>In November 2020, Pharvaris closed an oversubscribed $80 million Series C financing.</w:t>
      </w:r>
    </w:p>
    <w:p>
      <w:pPr>
        <w:spacing w:after="0" w:line="130" w:lineRule="exact"/>
        <w:rPr>
          <w:rFonts w:ascii="Arial" w:cs="Arial" w:eastAsia="Arial" w:hAnsi="Arial"/>
          <w:sz w:val="18"/>
          <w:szCs w:val="18"/>
          <w:color w:val="auto"/>
        </w:rPr>
      </w:pPr>
    </w:p>
    <w:p>
      <w:pPr>
        <w:ind w:left="960" w:hanging="424"/>
        <w:spacing w:after="0" w:line="298"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Upcoming presentations. </w:t>
      </w:r>
      <w:r>
        <w:rPr>
          <w:rFonts w:ascii="Arial" w:cs="Arial" w:eastAsia="Arial" w:hAnsi="Arial"/>
          <w:sz w:val="16"/>
          <w:szCs w:val="16"/>
          <w:color w:val="auto"/>
        </w:rPr>
        <w:t>The Company will participate in the upcoming BofA Securities Virtual Health Care Conference. Berndt Modig,</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 and chief executive officer of Pharvaris, and Morgan Conn, Ph.D., chief business officer of Pharvaris, will participate in a fireside chat via online video on Wednesday, May 12. The Company will also participate in the upcoming Rare &amp; Orphan Disease Summit, hosted virtually by Oppenheimer on Friday, May 21. Berndt Modig and Morgan Conn will provide a company overview. The virtual presentations will be available for 30 days on the Pharvaris website at https://ir.pharvaris.com/news-events/events-presentations.</w:t>
      </w:r>
    </w:p>
    <w:p>
      <w:pPr>
        <w:sectPr>
          <w:pgSz w:w="11900" w:h="16838" w:orient="portrait"/>
          <w:cols w:equalWidth="0" w:num="1">
            <w:col w:w="11000"/>
          </w:cols>
          <w:pgMar w:left="440" w:top="109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Year End 2020 Financial Results</w:t>
      </w:r>
    </w:p>
    <w:p>
      <w:pPr>
        <w:spacing w:after="0" w:line="131" w:lineRule="exact"/>
        <w:rPr>
          <w:sz w:val="20"/>
          <w:szCs w:val="20"/>
          <w:color w:val="auto"/>
        </w:rPr>
      </w:pPr>
    </w:p>
    <w:p>
      <w:pPr>
        <w:ind w:left="960" w:right="800" w:hanging="42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Cash and cash equivalents were €98.6 million as of December 31, 2020, as compared to €20.3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w:t>
      </w:r>
    </w:p>
    <w:p>
      <w:pPr>
        <w:spacing w:after="0" w:line="67" w:lineRule="exact"/>
        <w:rPr>
          <w:rFonts w:ascii="Arial" w:cs="Arial" w:eastAsia="Arial" w:hAnsi="Arial"/>
          <w:sz w:val="18"/>
          <w:szCs w:val="18"/>
          <w:color w:val="auto"/>
        </w:rPr>
      </w:pPr>
    </w:p>
    <w:p>
      <w:pPr>
        <w:ind w:left="960" w:right="100" w:hanging="42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€19.5 million for the full year ended December 31, 2020,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€5.7 million for the year ended December 31, 2019.</w:t>
      </w:r>
    </w:p>
    <w:p>
      <w:pPr>
        <w:spacing w:after="0" w:line="67" w:lineRule="exact"/>
        <w:rPr>
          <w:rFonts w:ascii="Arial" w:cs="Arial" w:eastAsia="Arial" w:hAnsi="Arial"/>
          <w:sz w:val="18"/>
          <w:szCs w:val="18"/>
          <w:color w:val="auto"/>
        </w:rPr>
      </w:pPr>
    </w:p>
    <w:p>
      <w:pPr>
        <w:ind w:left="960" w:right="100" w:hanging="42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General and Administrative (G&amp;A) Expenses</w:t>
      </w:r>
      <w:r>
        <w:rPr>
          <w:rFonts w:ascii="Arial" w:cs="Arial" w:eastAsia="Arial" w:hAnsi="Arial"/>
          <w:sz w:val="18"/>
          <w:szCs w:val="18"/>
          <w:color w:val="auto"/>
        </w:rPr>
        <w:t>. G&amp;A expenses were €5.5 million for the full year ended December 31, 2020,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€2.3 million for the year ended December 31, 2019.</w:t>
      </w:r>
    </w:p>
    <w:p>
      <w:pPr>
        <w:spacing w:after="0" w:line="67" w:lineRule="exact"/>
        <w:rPr>
          <w:rFonts w:ascii="Arial" w:cs="Arial" w:eastAsia="Arial" w:hAnsi="Arial"/>
          <w:sz w:val="18"/>
          <w:szCs w:val="18"/>
          <w:color w:val="auto"/>
        </w:rPr>
      </w:pPr>
    </w:p>
    <w:p>
      <w:pPr>
        <w:ind w:left="960" w:right="20" w:hanging="424"/>
        <w:spacing w:after="0" w:line="347"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Loss for the year. </w:t>
      </w:r>
      <w:r>
        <w:rPr>
          <w:rFonts w:ascii="Arial" w:cs="Arial" w:eastAsia="Arial" w:hAnsi="Arial"/>
          <w:sz w:val="16"/>
          <w:szCs w:val="16"/>
          <w:color w:val="auto"/>
        </w:rPr>
        <w:t>Loss for the year was €26.0 million, or basic and diluted loss per share of €5.36, for the year ended December 31, 2020,</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loss for the year of €8.0 million, or basic and diluted loss per share of €1.66 for the year ended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on International Financial Reporting Standards (IFRS)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Pharvaris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https://pharvaris.com/.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PHVS416</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PHVS416 is a softgel capsule formulation containing PHA121, a highly potent, specific, and orally bioavailable competitive antagonist of the bradykinin B2 receptor. Pharvaris is developing this formulation to provide rapid exposure of attack-mitigating medicine in a convenient, small oral dosage form. PHVS416 is currently in Phase 2 clinical development for the on-demand treatment of HAE.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PHVS719</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PHVS719 is an extended-release tablet formulation containing PHA121, a highly potent, specific, and orally bioavailable competitive antagonist of the bradykinin B2 receptor. Pharvaris is developing this formulation to provide sustained exposure of attack-preventing medicine in a convenient, small oral dosage form. PHVS719 is currently in preclinical development for the prophylactic treatment of HAE.</w:t>
      </w:r>
    </w:p>
    <w:p>
      <w:pPr>
        <w:sectPr>
          <w:pgSz w:w="11900" w:h="16838" w:orient="portrait"/>
          <w:cols w:equalWidth="0" w:num="1">
            <w:col w:w="10980"/>
          </w:cols>
          <w:pgMar w:left="440" w:top="1093"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About PHA121</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PHA121 (PHA-022121) is a highly potent, specific, and orally bioavailable competitive antagonist of the bradykinin B2 receptor that has completed Phase 1 clinical development for the treatment of HAE. PHA121 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 and multiple-ascending-dose Phase 1 studies in healthy volunteers demonstrate rapid exposure and predictable linear pharmacokinetics at doses up to 50 mg. In a bradykinin-challenge study in healthy volunteers, PHA121 showed significant inhibition of bradykinin-induced hemodynamic changes with an average composite EC</w:t>
      </w:r>
      <w:r>
        <w:rPr>
          <w:rFonts w:ascii="Arial" w:cs="Arial" w:eastAsia="Arial" w:hAnsi="Arial"/>
          <w:sz w:val="15"/>
          <w:szCs w:val="15"/>
          <w:color w:val="auto"/>
        </w:rPr>
        <w:t>50</w:t>
      </w:r>
      <w:r>
        <w:rPr>
          <w:rFonts w:ascii="Arial" w:cs="Arial" w:eastAsia="Arial" w:hAnsi="Arial"/>
          <w:sz w:val="18"/>
          <w:szCs w:val="18"/>
          <w:color w:val="auto"/>
        </w:rPr>
        <w:t xml:space="preserve"> of 2.4 ng/mL and EC</w:t>
      </w:r>
      <w:r>
        <w:rPr>
          <w:rFonts w:ascii="Arial" w:cs="Arial" w:eastAsia="Arial" w:hAnsi="Arial"/>
          <w:sz w:val="15"/>
          <w:szCs w:val="15"/>
          <w:color w:val="auto"/>
        </w:rPr>
        <w:t>85</w:t>
      </w:r>
      <w:r>
        <w:rPr>
          <w:rFonts w:ascii="Arial" w:cs="Arial" w:eastAsia="Arial" w:hAnsi="Arial"/>
          <w:sz w:val="18"/>
          <w:szCs w:val="18"/>
          <w:color w:val="auto"/>
        </w:rPr>
        <w:t xml:space="preserve"> of 13.8 ng/mL, approximately four-fold more potent than historical data for icatibant. Quantitative modeling indicates that single oral doses of PHA121 will maintain pharmacologically active drug levels for a substantially longer time than 30 mg of subcutaneous icatibant. PHA121 has been observed to be well-tolerated at all doses studied to 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w:t>
      </w:r>
    </w:p>
    <w:p>
      <w:pPr>
        <w:sectPr>
          <w:pgSz w:w="11900" w:h="16838" w:orient="portrait"/>
          <w:cols w:equalWidth="0" w:num="1">
            <w:col w:w="10960"/>
          </w:cols>
          <w:pgMar w:left="440" w:top="1093" w:right="49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registration statement on Form 20-F and other periodic filings with the Securities and Exchange Commission.</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Mike Biega, 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mbiega@soleburytrout.com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+1-617-221-9660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Maggie Beller, Russo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maggie.beller@russopartnersllc.com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+1-646-942-5631</w:t>
      </w:r>
    </w:p>
    <w:sectPr>
      <w:pgSz w:w="11900" w:h="16838" w:orient="portrait"/>
      <w:cols w:equalWidth="0" w:num="1">
        <w:col w:w="10900"/>
      </w:cols>
      <w:pgMar w:left="440" w:top="109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2021-05-03T05:49:43Z</dcterms:created>
  <dcterms:modified xsi:type="dcterms:W3CDTF">2021-05-03T05:49:43Z</dcterms:modified>
</cp:coreProperties>
</file>