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32" w:lineRule="exact"/>
        <w:rPr>
          <w:sz w:val="24"/>
          <w:szCs w:val="24"/>
          <w:color w:val="auto"/>
        </w:rPr>
      </w:pPr>
    </w:p>
    <w:p>
      <w:pPr>
        <w:ind w:left="1180"/>
        <w:spacing w:after="0"/>
        <w:rPr>
          <w:sz w:val="20"/>
          <w:szCs w:val="20"/>
          <w:color w:val="auto"/>
        </w:rPr>
      </w:pPr>
      <w:r>
        <w:rPr>
          <w:rFonts w:ascii="Arial" w:cs="Arial" w:eastAsia="Arial" w:hAnsi="Arial"/>
          <w:sz w:val="15"/>
          <w:szCs w:val="15"/>
          <w:color w:val="auto"/>
        </w:rPr>
        <w:t>Sophia Hudson, P.C.</w:t>
      </w:r>
    </w:p>
    <w:p>
      <w:pPr>
        <w:spacing w:after="0" w:line="20" w:lineRule="exact"/>
        <w:rPr>
          <w:sz w:val="24"/>
          <w:szCs w:val="24"/>
          <w:color w:val="auto"/>
        </w:rPr>
      </w:pPr>
      <w:r>
        <w:rPr>
          <w:sz w:val="24"/>
          <w:szCs w:val="24"/>
          <w:color w:val="auto"/>
        </w:rPr>
        <w:br w:type="column"/>
      </w:r>
    </w:p>
    <w:p>
      <w:pPr>
        <w:jc w:val="center"/>
        <w:ind w:right="4460"/>
        <w:spacing w:after="0"/>
        <w:rPr>
          <w:sz w:val="20"/>
          <w:szCs w:val="20"/>
          <w:color w:val="auto"/>
        </w:rPr>
      </w:pPr>
      <w:r>
        <w:rPr>
          <w:rFonts w:ascii="Arial" w:cs="Arial" w:eastAsia="Arial" w:hAnsi="Arial"/>
          <w:sz w:val="16"/>
          <w:szCs w:val="16"/>
          <w:color w:val="auto"/>
        </w:rPr>
        <w:t>601 Lexington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-648970</wp:posOffset>
            </wp:positionH>
            <wp:positionV relativeFrom="paragraph">
              <wp:posOffset>-544195</wp:posOffset>
            </wp:positionV>
            <wp:extent cx="2040255"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282575"/>
                    </a:xfrm>
                    <a:prstGeom prst="rect">
                      <a:avLst/>
                    </a:prstGeom>
                    <a:noFill/>
                  </pic:spPr>
                </pic:pic>
              </a:graphicData>
            </a:graphic>
          </wp:anchor>
        </w:drawing>
      </w:r>
    </w:p>
    <w:p>
      <w:pPr>
        <w:spacing w:after="0" w:line="26" w:lineRule="exact"/>
        <w:rPr>
          <w:sz w:val="24"/>
          <w:szCs w:val="24"/>
          <w:color w:val="auto"/>
        </w:rPr>
      </w:pPr>
    </w:p>
    <w:p>
      <w:pPr>
        <w:jc w:val="center"/>
        <w:ind w:right="4460"/>
        <w:spacing w:after="0"/>
        <w:rPr>
          <w:sz w:val="20"/>
          <w:szCs w:val="20"/>
          <w:color w:val="auto"/>
        </w:rPr>
      </w:pPr>
      <w:r>
        <w:rPr>
          <w:rFonts w:ascii="Arial" w:cs="Arial" w:eastAsia="Arial" w:hAnsi="Arial"/>
          <w:sz w:val="17"/>
          <w:szCs w:val="17"/>
          <w:color w:val="auto"/>
        </w:rPr>
        <w:t>New York, NY 10022</w:t>
      </w:r>
    </w:p>
    <w:p>
      <w:pPr>
        <w:spacing w:after="0" w:line="21" w:lineRule="exact"/>
        <w:rPr>
          <w:sz w:val="24"/>
          <w:szCs w:val="24"/>
          <w:color w:val="auto"/>
        </w:rPr>
      </w:pPr>
    </w:p>
    <w:p>
      <w:pPr>
        <w:jc w:val="center"/>
        <w:ind w:right="4460"/>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sectPr>
          <w:pgSz w:w="11900" w:h="16838" w:orient="portrait"/>
          <w:cols w:equalWidth="0" w:num="2">
            <w:col w:w="4200" w:space="720"/>
            <w:col w:w="6100"/>
          </w:cols>
          <w:pgMar w:left="440" w:top="922" w:right="439" w:bottom="1440" w:gutter="0" w:footer="0" w:header="0"/>
        </w:sectPr>
      </w:pPr>
    </w:p>
    <w:p>
      <w:pPr>
        <w:jc w:val="center"/>
        <w:ind w:right="560"/>
        <w:spacing w:after="0"/>
        <w:rPr>
          <w:sz w:val="20"/>
          <w:szCs w:val="20"/>
          <w:color w:val="auto"/>
        </w:rPr>
      </w:pPr>
      <w:r>
        <w:rPr>
          <w:rFonts w:ascii="Arial" w:cs="Arial" w:eastAsia="Arial" w:hAnsi="Arial"/>
          <w:sz w:val="17"/>
          <w:szCs w:val="17"/>
          <w:color w:val="auto"/>
        </w:rPr>
        <w:t>To Call Writer Directly:</w:t>
      </w:r>
    </w:p>
    <w:p>
      <w:pPr>
        <w:spacing w:after="0" w:line="34"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+1 212 446 4750</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+1 212 446 4800</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8"/>
          <w:szCs w:val="18"/>
          <w:color w:val="auto"/>
        </w:rPr>
        <w:t>Facsimile:</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+1 212 446 4900</w:t>
      </w:r>
    </w:p>
    <w:p>
      <w:pPr>
        <w:spacing w:after="0" w:line="31" w:lineRule="exact"/>
        <w:rPr>
          <w:sz w:val="24"/>
          <w:szCs w:val="24"/>
          <w:color w:val="auto"/>
        </w:rPr>
      </w:pPr>
    </w:p>
    <w:p>
      <w:pPr>
        <w:sectPr>
          <w:pgSz w:w="11900" w:h="16838" w:orient="portrait"/>
          <w:cols w:equalWidth="0" w:num="3">
            <w:col w:w="4400" w:space="720"/>
            <w:col w:w="2860" w:space="720"/>
            <w:col w:w="2320"/>
          </w:cols>
          <w:pgMar w:left="440" w:top="922" w:right="439" w:bottom="1440" w:gutter="0" w:footer="0" w:header="0"/>
          <w:type w:val="continuous"/>
        </w:sectPr>
      </w:pPr>
    </w:p>
    <w:p>
      <w:pPr>
        <w:ind w:left="840"/>
        <w:spacing w:after="0"/>
        <w:rPr>
          <w:sz w:val="20"/>
          <w:szCs w:val="20"/>
          <w:color w:val="auto"/>
        </w:rPr>
      </w:pPr>
      <w:r>
        <w:rPr>
          <w:rFonts w:ascii="Arial" w:cs="Arial" w:eastAsia="Arial" w:hAnsi="Arial"/>
          <w:sz w:val="18"/>
          <w:szCs w:val="18"/>
          <w:color w:val="auto"/>
        </w:rPr>
        <w:t>sophia.hudson@kirkland.com</w:t>
      </w:r>
    </w:p>
    <w:p>
      <w:pPr>
        <w:spacing w:after="0" w:line="103" w:lineRule="exact"/>
        <w:rPr>
          <w:sz w:val="24"/>
          <w:szCs w:val="24"/>
          <w:color w:val="auto"/>
        </w:rPr>
      </w:pPr>
    </w:p>
    <w:p>
      <w:pPr>
        <w:jc w:val="center"/>
        <w:ind w:left="460"/>
        <w:spacing w:after="0"/>
        <w:rPr>
          <w:sz w:val="20"/>
          <w:szCs w:val="20"/>
          <w:color w:val="auto"/>
        </w:rPr>
      </w:pPr>
      <w:r>
        <w:rPr>
          <w:rFonts w:ascii="Arial" w:cs="Arial" w:eastAsia="Arial" w:hAnsi="Arial"/>
          <w:sz w:val="16"/>
          <w:szCs w:val="16"/>
          <w:color w:val="auto"/>
        </w:rPr>
        <w:t>www.kirkland.com</w:t>
      </w:r>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February 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Julie Sherman</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Kate Tillan</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Jason L. Drory</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Chris Edwards</w:t>
      </w:r>
    </w:p>
    <w:p>
      <w:pPr>
        <w:sectPr>
          <w:pgSz w:w="11900" w:h="16838" w:orient="portrait"/>
          <w:cols w:equalWidth="0" w:num="1">
            <w:col w:w="11020"/>
          </w:cols>
          <w:pgMar w:left="440" w:top="922" w:right="439" w:bottom="1440" w:gutter="0" w:footer="0" w:header="0"/>
          <w:type w:val="continuous"/>
        </w:sectPr>
      </w:pPr>
    </w:p>
    <w:p>
      <w:pPr>
        <w:spacing w:after="0" w:line="103"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Pharvaris B.V.</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1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22,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0001830487</w:t>
      </w:r>
    </w:p>
    <w:p>
      <w:pPr>
        <w:spacing w:after="0" w:line="200" w:lineRule="exact"/>
        <w:rPr>
          <w:sz w:val="24"/>
          <w:szCs w:val="24"/>
          <w:color w:val="auto"/>
        </w:rPr>
      </w:pPr>
    </w:p>
    <w:p>
      <w:pPr>
        <w:sectPr>
          <w:pgSz w:w="11900" w:h="16838" w:orient="portrait"/>
          <w:cols w:equalWidth="0" w:num="2">
            <w:col w:w="1680" w:space="140"/>
            <w:col w:w="9200"/>
          </w:cols>
          <w:pgMar w:left="440" w:top="922" w:right="4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Ms. Sherman, Ms. Tillan, Mr. Drory and Mr. Edwards:</w:t>
      </w:r>
    </w:p>
    <w:p>
      <w:pPr>
        <w:sectPr>
          <w:pgSz w:w="11900" w:h="16838" w:orient="portrait"/>
          <w:cols w:equalWidth="0" w:num="1">
            <w:col w:w="11020"/>
          </w:cols>
          <w:pgMar w:left="440" w:top="922" w:right="439" w:bottom="1440" w:gutter="0" w:footer="0" w:header="0"/>
          <w:type w:val="continuous"/>
        </w:sectPr>
      </w:pPr>
    </w:p>
    <w:p>
      <w:pPr>
        <w:spacing w:after="0" w:line="244" w:lineRule="exact"/>
        <w:rPr>
          <w:sz w:val="24"/>
          <w:szCs w:val="24"/>
          <w:color w:val="auto"/>
        </w:rPr>
      </w:pPr>
    </w:p>
    <w:p>
      <w:pPr>
        <w:ind w:right="40" w:firstLine="440"/>
        <w:spacing w:after="0" w:line="298" w:lineRule="auto"/>
        <w:rPr>
          <w:sz w:val="20"/>
          <w:szCs w:val="20"/>
          <w:color w:val="auto"/>
        </w:rPr>
      </w:pPr>
      <w:r>
        <w:rPr>
          <w:rFonts w:ascii="Arial" w:cs="Arial" w:eastAsia="Arial" w:hAnsi="Arial"/>
          <w:sz w:val="16"/>
          <w:szCs w:val="16"/>
          <w:color w:val="auto"/>
        </w:rPr>
        <w:t>On behalf of our client, Pharvaris B.V. (the “</w:t>
      </w:r>
      <w:r>
        <w:rPr>
          <w:rFonts w:ascii="Arial" w:cs="Arial" w:eastAsia="Arial" w:hAnsi="Arial"/>
          <w:sz w:val="16"/>
          <w:szCs w:val="16"/>
          <w:b w:val="1"/>
          <w:bCs w:val="1"/>
          <w:color w:val="auto"/>
        </w:rPr>
        <w:t>Company</w:t>
      </w:r>
      <w:r>
        <w:rPr>
          <w:rFonts w:ascii="Arial" w:cs="Arial" w:eastAsia="Arial" w:hAnsi="Arial"/>
          <w:sz w:val="16"/>
          <w:szCs w:val="16"/>
          <w:color w:val="auto"/>
        </w:rPr>
        <w:t>”), we set forth below the Company’s responses to the letter, dated January 28, 2021, containing comments of the staff of the Division of Corporation Finance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with respect to the above referenced Amendment No. 1 to Registration Statement on Form F-1 publicly filed with Commission by the Company on January 22, 2021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Company also hereby further responds to an earlier comment contained in the Staff’s letter dated December 9, 2020, on the Company’s Draft Registration Statement on Form F-1 confidentially submitted on November 12, 2020.</w:t>
      </w:r>
    </w:p>
    <w:p>
      <w:pPr>
        <w:spacing w:after="0" w:line="158"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In order to facilitate your review of our responses, we have restated each of the Staff’s comments in these letters, and we have numbered the paragraphs below to correspond to the numbers in the Staff’s letters. For your convenience, we have also set forth the Company’s response to each of the Staff’s comments immediately below the corresponding numbered comment.</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Beijing  Boston  Chicago  Dallas  Hong Kong  Houston  London  Los Angeles  Munich  Palo Alto  Paris  San Francisco  Shanghai  Washington, D.C.</w:t>
      </w:r>
    </w:p>
    <w:p>
      <w:pPr>
        <w:sectPr>
          <w:pgSz w:w="11900" w:h="16838" w:orient="portrait"/>
          <w:cols w:equalWidth="0" w:num="1">
            <w:col w:w="11020"/>
          </w:cols>
          <w:pgMar w:left="440" w:top="922"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183515</wp:posOffset>
            </wp:positionV>
            <wp:extent cx="165417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In addition, the Company has revised the Registration Statement in response to the Staff’s comments and is publicly filing an amendment to the Registration Statement (the “</w:t>
      </w:r>
      <w:r>
        <w:rPr>
          <w:rFonts w:ascii="Arial" w:cs="Arial" w:eastAsia="Arial" w:hAnsi="Arial"/>
          <w:sz w:val="18"/>
          <w:szCs w:val="18"/>
          <w:b w:val="1"/>
          <w:bCs w:val="1"/>
          <w:color w:val="auto"/>
        </w:rPr>
        <w:t>Amendment</w:t>
      </w:r>
      <w:r>
        <w:rPr>
          <w:rFonts w:ascii="Arial" w:cs="Arial" w:eastAsia="Arial" w:hAnsi="Arial"/>
          <w:sz w:val="18"/>
          <w:szCs w:val="18"/>
          <w:color w:val="auto"/>
        </w:rPr>
        <w:t>”) concurrently with this letter, which reflects these revisions and clarifies certain other information. Page numbers in the text of the Company’s responses correspond to page numbers in the Amendment. Unless otherwise indicated, capitalized terms used herein have the meanings assigned to them in the Amendment.</w:t>
      </w:r>
    </w:p>
    <w:p>
      <w:pPr>
        <w:spacing w:after="0" w:line="295" w:lineRule="exact"/>
        <w:rPr>
          <w:sz w:val="20"/>
          <w:szCs w:val="20"/>
          <w:color w:val="auto"/>
        </w:rPr>
      </w:pPr>
    </w:p>
    <w:p>
      <w:pPr>
        <w:ind w:left="4" w:right="4320"/>
        <w:spacing w:after="0" w:line="383" w:lineRule="auto"/>
        <w:rPr>
          <w:sz w:val="20"/>
          <w:szCs w:val="20"/>
          <w:color w:val="auto"/>
        </w:rPr>
      </w:pPr>
      <w:r>
        <w:rPr>
          <w:rFonts w:ascii="Arial" w:cs="Arial" w:eastAsia="Arial" w:hAnsi="Arial"/>
          <w:sz w:val="18"/>
          <w:szCs w:val="18"/>
          <w:u w:val="single" w:color="auto"/>
          <w:color w:val="auto"/>
        </w:rPr>
        <w:t>Amendment No. 1 to Registration Statement on Form F-1 publicly filed on January 22, 2021 Material United States and Dutch Income Tax Considerations, page 177</w:t>
      </w:r>
    </w:p>
    <w:p>
      <w:pPr>
        <w:spacing w:after="0" w:line="1" w:lineRule="exact"/>
        <w:rPr>
          <w:sz w:val="20"/>
          <w:szCs w:val="20"/>
          <w:color w:val="auto"/>
        </w:rPr>
      </w:pPr>
    </w:p>
    <w:p>
      <w:pPr>
        <w:ind w:left="424" w:hanging="424"/>
        <w:spacing w:after="0" w:line="259"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We note your revised disclosure and your response to comment 5. It appears that you do not intend to file a tax opinion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U.S. tax consequences of this transaction. Please tell us why you have determined that such a tax opinion is not required for this transaction considering, for example, the uncertainty relating to your PFIC status. Alternatively, please file an opinion that addresses U.S. tax matters. Refer to Item 601 of Regulation S-K and Section III.A of Staff Legal Bulletin No. 19.</w:t>
      </w:r>
    </w:p>
    <w:p>
      <w:pPr>
        <w:spacing w:after="0" w:line="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 181 of the Amendment.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Draft Registration Statement on Form F-1 submitted November 12,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Use of Proceeds, page 67</w:t>
      </w:r>
    </w:p>
    <w:p>
      <w:pPr>
        <w:spacing w:after="0" w:line="131" w:lineRule="exact"/>
        <w:rPr>
          <w:sz w:val="20"/>
          <w:szCs w:val="20"/>
          <w:color w:val="auto"/>
        </w:rPr>
      </w:pPr>
    </w:p>
    <w:p>
      <w:pPr>
        <w:ind w:left="424" w:right="180" w:hanging="424"/>
        <w:spacing w:after="0" w:line="25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We note your disclosure that you intend to use a portion of the net proceeds to fund the clinical development of PHVS416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PHVS719. Please revise to specify how far in the clinical development of the associated product candidates you expect to reach with the net proceeds. In this regard, we note that you have a number of clinical trials planned for the associated product candidates. Also, to the extent material amounts of other funds are necessary to accomplish your specified purposes, state the amounts of such other funds and the sources thereof.</w:t>
      </w:r>
    </w:p>
    <w:p>
      <w:pPr>
        <w:spacing w:after="0" w:line="7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 71 of the Amendment.</w:t>
      </w:r>
    </w:p>
    <w:p>
      <w:pPr>
        <w:sectPr>
          <w:pgSz w:w="11900" w:h="16838" w:orient="portrait"/>
          <w:cols w:equalWidth="0" w:num="1">
            <w:col w:w="11004"/>
          </w:cols>
          <w:pgMar w:left="436" w:top="706"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2951480</wp:posOffset>
            </wp:positionH>
            <wp:positionV relativeFrom="page">
              <wp:posOffset>182880</wp:posOffset>
            </wp:positionV>
            <wp:extent cx="165417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regarding this matter, please contact the undersigned at (212) 446-4750 or by e-mail at sophia.hudson@kirkland.com.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Sophia Hudson, P.C.</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Sophia Hudson, P.C.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131" w:lineRule="exact"/>
        <w:rPr>
          <w:sz w:val="20"/>
          <w:szCs w:val="20"/>
          <w:color w:val="auto"/>
        </w:rPr>
      </w:pPr>
    </w:p>
    <w:p>
      <w:pPr>
        <w:ind w:left="304" w:right="8480" w:hanging="304"/>
        <w:spacing w:after="0" w:line="259"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Berndt Modig Morgan Conn, Ph.D. Anna Nijdam, MSc RA </w:t>
      </w:r>
      <w:r>
        <w:rPr>
          <w:rFonts w:ascii="Arial" w:cs="Arial" w:eastAsia="Arial" w:hAnsi="Arial"/>
          <w:sz w:val="18"/>
          <w:szCs w:val="18"/>
          <w:i w:val="1"/>
          <w:iCs w:val="1"/>
          <w:color w:val="auto"/>
        </w:rPr>
        <w:t>Pharvaris B.V.</w:t>
      </w:r>
    </w:p>
    <w:p>
      <w:pPr>
        <w:spacing w:after="0" w:line="78" w:lineRule="exact"/>
        <w:rPr>
          <w:rFonts w:ascii="Arial" w:cs="Arial" w:eastAsia="Arial" w:hAnsi="Arial"/>
          <w:sz w:val="18"/>
          <w:szCs w:val="18"/>
          <w:color w:val="auto"/>
        </w:rPr>
      </w:pPr>
    </w:p>
    <w:p>
      <w:pPr>
        <w:ind w:left="304" w:right="862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Jennifer Lee, Esq. </w:t>
      </w:r>
      <w:r>
        <w:rPr>
          <w:rFonts w:ascii="Arial" w:cs="Arial" w:eastAsia="Arial" w:hAnsi="Arial"/>
          <w:sz w:val="17"/>
          <w:szCs w:val="17"/>
          <w:i w:val="1"/>
          <w:iCs w:val="1"/>
          <w:color w:val="auto"/>
        </w:rPr>
        <w:t>Kirkland &amp; Ellis LLP</w:t>
      </w:r>
    </w:p>
    <w:p>
      <w:pPr>
        <w:spacing w:after="0" w:line="38" w:lineRule="exact"/>
        <w:rPr>
          <w:rFonts w:ascii="Arial" w:cs="Arial" w:eastAsia="Arial" w:hAnsi="Arial"/>
          <w:sz w:val="18"/>
          <w:szCs w:val="18"/>
          <w:color w:val="auto"/>
        </w:rPr>
      </w:pPr>
    </w:p>
    <w:p>
      <w:pPr>
        <w:ind w:left="304" w:right="848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Frank F. Rahmani, Esq. Samir A. Gandhi, Esq. </w:t>
      </w:r>
      <w:r>
        <w:rPr>
          <w:rFonts w:ascii="Arial" w:cs="Arial" w:eastAsia="Arial" w:hAnsi="Arial"/>
          <w:sz w:val="16"/>
          <w:szCs w:val="16"/>
          <w:i w:val="1"/>
          <w:iCs w:val="1"/>
          <w:color w:val="auto"/>
        </w:rPr>
        <w:t>Sidley Austin LLP</w:t>
      </w:r>
    </w:p>
    <w:p>
      <w:pPr>
        <w:spacing w:after="0" w:line="40" w:lineRule="exact"/>
        <w:rPr>
          <w:rFonts w:ascii="Arial" w:cs="Arial" w:eastAsia="Arial" w:hAnsi="Arial"/>
          <w:sz w:val="18"/>
          <w:szCs w:val="18"/>
          <w:color w:val="auto"/>
        </w:rPr>
      </w:pPr>
    </w:p>
    <w:p>
      <w:pPr>
        <w:jc w:val="both"/>
        <w:ind w:left="304" w:right="894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Paul van der Bijl </w:t>
      </w:r>
      <w:r>
        <w:rPr>
          <w:rFonts w:ascii="Arial" w:cs="Arial" w:eastAsia="Arial" w:hAnsi="Arial"/>
          <w:sz w:val="16"/>
          <w:szCs w:val="16"/>
          <w:i w:val="1"/>
          <w:iCs w:val="1"/>
          <w:color w:val="auto"/>
        </w:rPr>
        <w:t>NautaDutilh N.V.</w:t>
      </w:r>
    </w:p>
    <w:sectPr>
      <w:pgSz w:w="11900" w:h="16838" w:orient="portrait"/>
      <w:cols w:equalWidth="0" w:num="1">
        <w:col w:w="10484"/>
      </w:cols>
      <w:pgMar w:left="436" w:top="706"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2021-03-05T23:49:18Z</dcterms:created>
  <dcterms:modified xsi:type="dcterms:W3CDTF">2021-03-05T23:49:18Z</dcterms:modified>
</cp:coreProperties>
</file>