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333-263198</w:t>
      </w:r>
    </w:p>
    <w:p>
      <w:pPr>
        <w:spacing w:after="0" w:line="288"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March 10, 2022)</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Up to $75,000,000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178435</wp:posOffset>
            </wp:positionV>
            <wp:extent cx="2151380"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51380"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have entered into a sales agreement, with SVB Securities LLC, or SVB Leerink, dated March 1, 2022 (the “Sales Agreement”), relating to the sale of our ordinary shares offered by this prospectus supplement and the accompanying prospectus. In accordance with the terms of the Sales Agreement, under this prospectus supplement we may offer and sell our ordinary shares, nominal value €0.12 per share, having an aggregate offering price of up to $75,000,000 from time to time through SVB Leerink, acting as our agent.</w:t>
      </w:r>
    </w:p>
    <w:p>
      <w:pPr>
        <w:spacing w:after="0" w:line="187" w:lineRule="exact"/>
        <w:rPr>
          <w:sz w:val="24"/>
          <w:szCs w:val="24"/>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Sales of our ordinary shares, if any, under this prospectus supplement will be made by any method permitted that is deemed an “at the market offering” as defined in Rule 415 under the Securities Act of 1933, as amended, or the Securities Act, including sales made directly on or through The Nasdaq Global Select Market, or Nasdaq, the existing trading market for our ordinary shares, sales made to or through a market maker other than on an exchange or otherwise, and/or any other method permitted by law. SVB Leerink is not required to sell any specific amount, but will act as our sales agent using commercially reasonable efforts consistent with its normal trading and sales practices. There is no arrangement for funds to be received in any escrow, trust or similar arrangement.</w:t>
      </w:r>
    </w:p>
    <w:p>
      <w:pPr>
        <w:spacing w:after="0" w:line="192" w:lineRule="exact"/>
        <w:rPr>
          <w:sz w:val="24"/>
          <w:szCs w:val="24"/>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SVB Leerink will be entitled to compensation at a commission rate of up to 3.0% of the gross sales price per share sold under the Sales Agreement. See “Plan of Distribution” beginning on page S-18 for additional information regarding the compensation to be paid to SVB Leerink.</w:t>
      </w:r>
    </w:p>
    <w:p>
      <w:pPr>
        <w:spacing w:after="0" w:line="124" w:lineRule="exact"/>
        <w:rPr>
          <w:sz w:val="24"/>
          <w:szCs w:val="24"/>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In connection with the sale of the ordinary shares on our behalf, SVB Leerink may be deemed to be an “underwriter” within the meaning of the Securities Act and the compensation of SVB Leerink may be deemed to be underwriting commissions or discounts. We have also agreed to provide indemnification and contribution to SVB Leerink with respect to certain liabilities, including liabilities under the Securities Act.</w:t>
      </w:r>
    </w:p>
    <w:p>
      <w:pPr>
        <w:spacing w:after="0" w:line="165" w:lineRule="exact"/>
        <w:rPr>
          <w:sz w:val="24"/>
          <w:szCs w:val="24"/>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ordinary shares trade on The Nasdaq Global Select Market, or Nasdaq, under the trading symbol “PHVS.” On March 10, 2022, the last sale price of our ordinary shares as reported on Nasdaq was $17.00 per share.</w:t>
      </w:r>
    </w:p>
    <w:p>
      <w:pPr>
        <w:spacing w:after="0" w:line="170" w:lineRule="exact"/>
        <w:rPr>
          <w:sz w:val="24"/>
          <w:szCs w:val="24"/>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are an “emerging growth company” and a “foreign private issuer” as defined under the U.S. Securities and Exchange Commission and, as such, we have elected to comply with certain reduced public company reporting requirements for this prospectus supplement and future filings. Please see “Pharvaris N.V.—Implications of Being an “Emerging Growth Company” and a Foreign Private Issuer” in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189230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ind w:left="120" w:right="30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ordinary shares involves a high degree of risk.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S-3 of this prospectus supplement and in the documents incorporated by reference herein.</w:t>
      </w:r>
    </w:p>
    <w:p>
      <w:pPr>
        <w:spacing w:after="0" w:line="171" w:lineRule="exact"/>
        <w:rPr>
          <w:sz w:val="24"/>
          <w:szCs w:val="24"/>
          <w:color w:val="auto"/>
        </w:rPr>
      </w:pPr>
    </w:p>
    <w:p>
      <w:pPr>
        <w:jc w:val="both"/>
        <w:ind w:left="120" w:right="16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SVB Leerink</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supplement is March 15, 2022.</w:t>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500" w:type="dxa"/>
            <w:vAlign w:val="bottom"/>
            <w:gridSpan w:val="2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5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6"/>
          </w:tcPr>
          <w:p>
            <w:pPr>
              <w:jc w:val="center"/>
              <w:ind w:right="2260"/>
              <w:spacing w:after="0"/>
              <w:rPr>
                <w:sz w:val="20"/>
                <w:szCs w:val="20"/>
                <w:color w:val="auto"/>
              </w:rPr>
            </w:pPr>
            <w:r>
              <w:rPr>
                <w:rFonts w:ascii="Arial" w:cs="Arial" w:eastAsia="Arial" w:hAnsi="Arial"/>
                <w:sz w:val="18"/>
                <w:szCs w:val="18"/>
                <w:b w:val="1"/>
                <w:bCs w:val="1"/>
                <w:color w:val="auto"/>
                <w:w w:val="98"/>
              </w:rPr>
              <w:t>TABLE OF CONTENTS</w:t>
            </w:r>
          </w:p>
        </w:tc>
        <w:tc>
          <w:tcPr>
            <w:tcW w:w="15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6"/>
          </w:tcPr>
          <w:p>
            <w:pPr>
              <w:jc w:val="center"/>
              <w:ind w:right="2240"/>
              <w:spacing w:after="0"/>
              <w:rPr>
                <w:sz w:val="20"/>
                <w:szCs w:val="20"/>
                <w:color w:val="auto"/>
              </w:rPr>
            </w:pPr>
            <w:r>
              <w:rPr>
                <w:rFonts w:ascii="Arial" w:cs="Arial" w:eastAsia="Arial" w:hAnsi="Arial"/>
                <w:sz w:val="18"/>
                <w:szCs w:val="18"/>
                <w:b w:val="1"/>
                <w:bCs w:val="1"/>
                <w:color w:val="auto"/>
                <w:w w:val="97"/>
              </w:rPr>
              <w:t>PROSPECTUS SUPPLEMENT</w:t>
            </w:r>
          </w:p>
        </w:tc>
        <w:tc>
          <w:tcPr>
            <w:tcW w:w="15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88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PRESENTATION OF FINANCIAL INFORMATION</w:t>
              </w:r>
            </w:hyperlink>
          </w:p>
        </w:tc>
        <w:tc>
          <w:tcPr>
            <w:tcW w:w="550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12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TRADEMARKS</w:t>
              </w:r>
            </w:hyperlink>
          </w:p>
        </w:tc>
        <w:tc>
          <w:tcPr>
            <w:tcW w:w="8140" w:type="dxa"/>
            <w:vAlign w:val="bottom"/>
            <w:gridSpan w:val="2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196"/>
        </w:trPr>
        <w:tc>
          <w:tcPr>
            <w:tcW w:w="120" w:type="dxa"/>
            <w:vAlign w:val="bottom"/>
          </w:tcPr>
          <w:p>
            <w:pPr>
              <w:spacing w:after="0"/>
              <w:rPr>
                <w:sz w:val="17"/>
                <w:szCs w:val="17"/>
                <w:color w:val="auto"/>
              </w:rPr>
            </w:pPr>
          </w:p>
        </w:tc>
        <w:tc>
          <w:tcPr>
            <w:tcW w:w="34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 SUPPLEMENT</w:t>
              </w:r>
            </w:hyperlink>
          </w:p>
        </w:tc>
        <w:tc>
          <w:tcPr>
            <w:tcW w:w="5940" w:type="dxa"/>
            <w:vAlign w:val="bottom"/>
            <w:gridSpan w:val="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SPECIAL NOTE REGARDING FORWARD-LOOKING STATEMENTS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PROSPECTUS SUPPLEMENT SUMMARY</w:t>
              </w:r>
            </w:hyperlink>
          </w:p>
        </w:tc>
        <w:tc>
          <w:tcPr>
            <w:tcW w:w="406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6100" w:type="dxa"/>
            <w:vAlign w:val="bottom"/>
            <w:gridSpan w:val="10"/>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USE OF PROCEEDS</w:t>
              </w:r>
            </w:hyperlink>
          </w:p>
        </w:tc>
        <w:tc>
          <w:tcPr>
            <w:tcW w:w="7800" w:type="dxa"/>
            <w:vAlign w:val="bottom"/>
            <w:gridSpan w:val="1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DIVIDEND POLICY</w:t>
              </w:r>
            </w:hyperlink>
          </w:p>
        </w:tc>
        <w:tc>
          <w:tcPr>
            <w:tcW w:w="7800" w:type="dxa"/>
            <w:vAlign w:val="bottom"/>
            <w:gridSpan w:val="1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DILUTION</w:t>
              </w:r>
            </w:hyperlink>
          </w:p>
        </w:tc>
        <w:tc>
          <w:tcPr>
            <w:tcW w:w="8520" w:type="dxa"/>
            <w:vAlign w:val="bottom"/>
            <w:gridSpan w:val="2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20" w:type="dxa"/>
            <w:vAlign w:val="bottom"/>
          </w:tcPr>
          <w:p>
            <w:pPr>
              <w:spacing w:after="0"/>
              <w:rPr>
                <w:sz w:val="17"/>
                <w:szCs w:val="17"/>
                <w:color w:val="auto"/>
              </w:rPr>
            </w:pPr>
          </w:p>
        </w:tc>
        <w:tc>
          <w:tcPr>
            <w:tcW w:w="538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MATERIAL UNITED STATES AND DUTCH TAX CONSIDERATIONS</w:t>
              </w:r>
            </w:hyperlink>
          </w:p>
        </w:tc>
        <w:tc>
          <w:tcPr>
            <w:tcW w:w="400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PLAN OF DISTRIBUTION</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7340" w:type="dxa"/>
            <w:vAlign w:val="bottom"/>
            <w:gridSpan w:val="16"/>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WHERE YOU CAN FIND MORE INFORMATION</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120" w:type="dxa"/>
            <w:vAlign w:val="bottom"/>
          </w:tcPr>
          <w:p>
            <w:pPr>
              <w:spacing w:after="0"/>
              <w:rPr>
                <w:sz w:val="17"/>
                <w:szCs w:val="17"/>
                <w:color w:val="auto"/>
              </w:rPr>
            </w:pPr>
          </w:p>
        </w:tc>
        <w:tc>
          <w:tcPr>
            <w:tcW w:w="3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INCORPORATION BY REFERENCE</w:t>
              </w:r>
            </w:hyperlink>
          </w:p>
        </w:tc>
        <w:tc>
          <w:tcPr>
            <w:tcW w:w="5580" w:type="dxa"/>
            <w:vAlign w:val="bottom"/>
            <w:gridSpan w:val="7"/>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668"/>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6"/>
          </w:tcPr>
          <w:p>
            <w:pPr>
              <w:jc w:val="center"/>
              <w:ind w:right="2260"/>
              <w:spacing w:after="0"/>
              <w:rPr>
                <w:sz w:val="20"/>
                <w:szCs w:val="20"/>
                <w:color w:val="auto"/>
              </w:rPr>
            </w:pPr>
            <w:r>
              <w:rPr>
                <w:rFonts w:ascii="Arial" w:cs="Arial" w:eastAsia="Arial" w:hAnsi="Arial"/>
                <w:sz w:val="18"/>
                <w:szCs w:val="18"/>
                <w:b w:val="1"/>
                <w:bCs w:val="1"/>
                <w:color w:val="auto"/>
                <w:w w:val="96"/>
              </w:rPr>
              <w:t>PROSPECTUS</w:t>
            </w:r>
          </w:p>
        </w:tc>
        <w:tc>
          <w:tcPr>
            <w:tcW w:w="1580" w:type="dxa"/>
            <w:vAlign w:val="bottom"/>
          </w:tcPr>
          <w:p>
            <w:pPr>
              <w:spacing w:after="0"/>
              <w:rPr>
                <w:sz w:val="24"/>
                <w:szCs w:val="24"/>
                <w:color w:val="auto"/>
              </w:rPr>
            </w:pPr>
          </w:p>
        </w:tc>
      </w:tr>
      <w:tr>
        <w:trPr>
          <w:trHeight w:val="377"/>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20" w:type="dxa"/>
            <w:vAlign w:val="bottom"/>
          </w:tcPr>
          <w:p>
            <w:pPr>
              <w:spacing w:after="0"/>
              <w:rPr>
                <w:sz w:val="16"/>
                <w:szCs w:val="16"/>
                <w:color w:val="auto"/>
              </w:rPr>
            </w:pPr>
          </w:p>
        </w:tc>
        <w:tc>
          <w:tcPr>
            <w:tcW w:w="9380" w:type="dxa"/>
            <w:vAlign w:val="bottom"/>
            <w:gridSpan w:val="26"/>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SPECIAL NOTE REGARDING FORWARD-LOOKING STATEMENTS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PHARVARIS N.V.</w:t>
              </w:r>
            </w:hyperlink>
          </w:p>
        </w:tc>
        <w:tc>
          <w:tcPr>
            <w:tcW w:w="406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1340" w:type="dxa"/>
            <w:vAlign w:val="bottom"/>
            <w:tcBorders>
              <w:top w:val="single" w:sz="8" w:color="0000EE"/>
            </w:tcBorders>
            <w:gridSpan w:val="5"/>
          </w:tcPr>
          <w:p>
            <w:pPr>
              <w:spacing w:after="0" w:line="196"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RISK FACTORS</w:t>
              </w:r>
            </w:hyperlink>
          </w:p>
        </w:tc>
        <w:tc>
          <w:tcPr>
            <w:tcW w:w="8040" w:type="dxa"/>
            <w:vAlign w:val="bottom"/>
            <w:gridSpan w:val="21"/>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USE OF PROCEEDS</w:t>
              </w:r>
            </w:hyperlink>
          </w:p>
        </w:tc>
        <w:tc>
          <w:tcPr>
            <w:tcW w:w="7800" w:type="dxa"/>
            <w:vAlign w:val="bottom"/>
            <w:gridSpan w:val="1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5700" w:type="dxa"/>
            <w:vAlign w:val="bottom"/>
            <w:tcBorders>
              <w:bottom w:val="single" w:sz="8" w:color="0000EE"/>
            </w:tcBorders>
            <w:gridSpan w:val="24"/>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DESCRIPTION OF SHARE CAPITAL AND ARTICLES OF ASSOCIATION</w:t>
              </w:r>
            </w:hyperlink>
          </w:p>
        </w:tc>
        <w:tc>
          <w:tcPr>
            <w:tcW w:w="368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COMPARISON OF DUTCH LAW AND OUR ARTICLES OF ASSOCIATION AND U.S. CORPORATE LAW</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DESCRIPTION OF DEBT SECURITIES</w:t>
              </w:r>
            </w:hyperlink>
          </w:p>
        </w:tc>
        <w:tc>
          <w:tcPr>
            <w:tcW w:w="5100" w:type="dxa"/>
            <w:vAlign w:val="bottom"/>
            <w:tcBorders>
              <w:top w:val="single" w:sz="8" w:color="0000EE"/>
            </w:tcBorders>
            <w:gridSpan w:val="10"/>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DESCRIPTION OF WARRANTS</w:t>
              </w:r>
            </w:hyperlink>
          </w:p>
        </w:tc>
        <w:tc>
          <w:tcPr>
            <w:tcW w:w="6900" w:type="dxa"/>
            <w:vAlign w:val="bottom"/>
            <w:gridSpan w:val="1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DESCRIPTION OF PURCHASE CONTRACTS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DESCRIPTION OF UNITS</w:t>
              </w:r>
            </w:hyperlink>
          </w:p>
        </w:tc>
        <w:tc>
          <w:tcPr>
            <w:tcW w:w="1520" w:type="dxa"/>
            <w:vAlign w:val="bottom"/>
            <w:tcBorders>
              <w:top w:val="single" w:sz="8" w:color="0000EE"/>
            </w:tcBorders>
            <w:gridSpan w:val="9"/>
          </w:tcPr>
          <w:p>
            <w:pPr>
              <w:spacing w:after="0"/>
              <w:rPr>
                <w:sz w:val="17"/>
                <w:szCs w:val="17"/>
                <w:color w:val="auto"/>
              </w:rPr>
            </w:pPr>
          </w:p>
        </w:tc>
        <w:tc>
          <w:tcPr>
            <w:tcW w:w="5840" w:type="dxa"/>
            <w:vAlign w:val="bottom"/>
            <w:gridSpan w:val="8"/>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FORMS OF SECURITIES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PLAN OF DISTRIBUTION</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INCORPORATION OF CERTAIN INFORMATION BY REFERENCE</w:t>
              </w:r>
            </w:hyperlink>
          </w:p>
        </w:tc>
        <w:tc>
          <w:tcPr>
            <w:tcW w:w="4200" w:type="dxa"/>
            <w:vAlign w:val="bottom"/>
            <w:gridSpan w:val="5"/>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20" w:type="dxa"/>
            <w:vAlign w:val="bottom"/>
          </w:tcPr>
          <w:p>
            <w:pPr>
              <w:spacing w:after="0"/>
              <w:rPr>
                <w:sz w:val="17"/>
                <w:szCs w:val="17"/>
                <w:color w:val="auto"/>
              </w:rPr>
            </w:pPr>
          </w:p>
        </w:tc>
        <w:tc>
          <w:tcPr>
            <w:tcW w:w="27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ENFORCEMENT OF JUDGMENTS</w:t>
              </w:r>
            </w:hyperlink>
          </w:p>
        </w:tc>
        <w:tc>
          <w:tcPr>
            <w:tcW w:w="6660" w:type="dxa"/>
            <w:vAlign w:val="bottom"/>
            <w:gridSpan w:val="1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EXPENSES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500" w:type="dxa"/>
            <w:vAlign w:val="bottom"/>
            <w:gridSpan w:val="2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LEGAL MATTERS</w:t>
              </w:r>
            </w:hyperlink>
          </w:p>
        </w:tc>
        <w:tc>
          <w:tcPr>
            <w:tcW w:w="7920" w:type="dxa"/>
            <w:vAlign w:val="bottom"/>
            <w:gridSpan w:val="20"/>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20" w:type="dxa"/>
            <w:vAlign w:val="bottom"/>
          </w:tcPr>
          <w:p>
            <w:pPr>
              <w:spacing w:after="0"/>
              <w:rPr>
                <w:sz w:val="17"/>
                <w:szCs w:val="17"/>
                <w:color w:val="auto"/>
              </w:rPr>
            </w:pPr>
          </w:p>
        </w:tc>
        <w:tc>
          <w:tcPr>
            <w:tcW w:w="9380" w:type="dxa"/>
            <w:vAlign w:val="bottom"/>
            <w:gridSpan w:val="2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EXPERTS</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report under International Financial Reporting Standards, or IFRS, as issued by the International Accounting Standards Board, or the IASB. None of the financial statements incorporated by reference herein were prepared in accordance with generally accepted accounting principles in the United States. We present our consolidated financial statements in euros and in accordance with IFRS as issued by the IASB. We have made rounding adjustments to some of the figures included in this prospectus supplement. Accordingly, numerical figures shown as totals in some tables may not be an arithmetic aggregation of the figures that preceded them.</w:t>
      </w:r>
    </w:p>
    <w:p>
      <w:pPr>
        <w:spacing w:after="0" w:line="188"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Unless otherwise indicated, all references in this prospectus supplement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Solely for the convenience of the reader, certain euro amounts herein have been translated into U.S. dollars at the rate of €1.00 to $1.1827, the average exchange rate quoted as of December 31, 2021 by the European Central Bank for the year 2021. These translations should not be considered representations that any such amounts have been, could have been or could be converted into U.S. dollars at that or any other exchange rate as at that or any other date.</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All trademarks, trade names and service marks appearing in this prospectus supplement are the property of their respective owners. Solely for convenience, the trademarks and trade names in this prospectus supplement are referred to without the symbols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 Under this shelf registration process, we may from time to time sell our ordinary shares under a prospectus supplement at prices and on terms to be determined by market conditions at the time of the offering.</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Before buying any of the ordinary shares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have not authorized anyone to provide any information other than that contained in or incorporated by reference in this prospectus supplement and any related free writing prospectus filed by us with the SEC. We have not, and SVB Leerink has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supplement to “Pharvaris N.V.,” “Pharvaris,” the “Company,” “we,” “our,” “ours,” “us” or similar terms refer to Pharvaris N.V.</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supplement and the financial statements and other documents incorporated by reference in this prospectus supplement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or the Securities Act, and Section 21E of the Exchange Act. Many of the forward-looking statements contained in this prospectus supplement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6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76" w:lineRule="exact"/>
        <w:rPr>
          <w:sz w:val="20"/>
          <w:szCs w:val="20"/>
          <w:color w:val="auto"/>
        </w:rPr>
      </w:pPr>
    </w:p>
    <w:p>
      <w:pPr>
        <w:ind w:left="1080" w:right="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timing, progress or success of our clinical development programs, especially for PHVS416 and PHVS719, which are in early-stage clinical trials;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the COVID-19 pandemic, which may adversely impact our business, preclinical studies and clinical trials, the timing of regulatory approvals and the value of our ordinary shares;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costs and other limitations involved in obtaining regulatory approval for our product candidates PHVS416 and PHVS719 or any other product candidate that we may develop in the future;</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establish commercial capabilities or enter into agreements with third parties to market, sell and distribute our product candidates;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 parties to perform critical activities related to the research, development and manufacturing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enter into any new licensing agreements or to maintain any licensing agreements with respect to our product candidates;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collaboration partners and licensees, whose actions we cannot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willingness of private insurers and other payors to provide reimbursement for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and other jurisdictions;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and timing of price negotiations with governmental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compete in the pharmaceutical industry and with competitive generic products;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know-how and operate our business without infringing the intellectual property rights or regulatory exclusivity of others;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side effects or adverse events associated with the use of our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defend against costly and damaging liability claims resulting from the testing of our product candidates in the clinic or, if, approved, any commercial sales;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of any of our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of market sizes and anticipated uses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of future performance;</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anticipated operating losses, future revenues, expenses, capital requirements and our needs for additional financing;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existing or future laws and regulations in a cost-efficient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negative consequences from changes in applicable laws and regulations, including tax laws;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remediate the material weaknesses in our internal control over financial reporting and to maintain an effective system of internal control over financial reporting;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JOBS Act or a foreign private issuer;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general market, political and economic conditions, including as a result of the current conflict between Russia and Ukraine;</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length and severity of the COVID-19 outbreak and its impact on our business, including our supply chain, clinical trials and operations;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 factors discussed herein under “Risk Factors” or incorporated herein by reference.</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Additionally, some of the risks and uncertainties identified above may be amplified by the COVID-19 pandemic.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0" w:firstLine="426"/>
        <w:spacing w:after="0" w:line="296"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related to this offering discussed under “Risk Factors” beginning on page S-3 of this prospectus supplement, along with the other risk factors, our consolidated financial statements and notes to those consolidated financial statements and the other information incorporated by reference in this prospectus supplement.</w:t>
      </w:r>
    </w:p>
    <w:p>
      <w:pPr>
        <w:spacing w:after="0" w:line="26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Pharvaris N.V.</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300" w:firstLine="426"/>
        <w:spacing w:after="0" w:line="284"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 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 release product candidate, PHVS719, respectively. We commenced our RAPIDe-1 Phase 2 clinical trial of PHVS416 in February 2021 and expect to have Phase 2 data for the acute treatment of patients with HAE attacks in the fourth quarter of 2022. We also commenced a Phase 2 clinical trial for prophylaxis in 2021 using twice-daily dosing of the PHVS416 soft capsules. Our primary objective with this trial is to assess the safety profile of PHVS416 dose regimens for prophylactic treatments in HAE patients. We also initiated a Phase 1 clinical trial with PHVS719 in 2021 to assess pharmacokinetics of the extended-release formulation.</w:t>
      </w: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 xml:space="preserve">The offices of Pharvaris N.V. are located at J.H. Oortweg 21, 2333 CH Leiden, The Netherlands. Our telephone number is +31 (0)71 203 6410. Investors should contact us for any inquiries at the address and telephone number of our principal executive office. Our principal website is </w:t>
      </w:r>
      <w:r>
        <w:rPr>
          <w:rFonts w:ascii="Arial" w:cs="Arial" w:eastAsia="Arial" w:hAnsi="Arial"/>
          <w:sz w:val="18"/>
          <w:szCs w:val="18"/>
          <w:i w:val="1"/>
          <w:iCs w:val="1"/>
          <w:color w:val="auto"/>
        </w:rPr>
        <w:t>www.pharvaris.com</w:t>
      </w:r>
      <w:r>
        <w:rPr>
          <w:rFonts w:ascii="Arial" w:cs="Arial" w:eastAsia="Arial" w:hAnsi="Arial"/>
          <w:sz w:val="18"/>
          <w:szCs w:val="18"/>
          <w:color w:val="auto"/>
        </w:rPr>
        <w:t>. The information contained on our website is not a part of this prospectus supplement.</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2807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28073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Ordinary shares offered by us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Manner of Offering</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having an aggregate offering price of up to $75,000,000.</w:t>
      </w:r>
    </w:p>
    <w:p>
      <w:pPr>
        <w:spacing w:after="0" w:line="2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the market” offering that may be made from time to time through our sales agent, SVB Leerink. See “Plan of Distribution.”</w:t>
      </w:r>
    </w:p>
    <w:p>
      <w:pPr>
        <w:spacing w:after="0" w:line="197"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We anticipate that we will use our existing liquidity and the net proceeds of this offering primarily to fund research and development and product discovery expenses for our clinical and preclinical research and development activities and for working capital and general corporate purposes. See “Use of Proceeds.”</w:t>
      </w:r>
    </w:p>
    <w:p>
      <w:pPr>
        <w:spacing w:after="0" w:line="198"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300" w:type="dxa"/>
            <w:vAlign w:val="bottom"/>
          </w:tcPr>
          <w:p>
            <w:pPr>
              <w:ind w:left="500"/>
              <w:spacing w:after="0"/>
              <w:rPr>
                <w:sz w:val="20"/>
                <w:szCs w:val="20"/>
                <w:color w:val="auto"/>
              </w:rPr>
            </w:pPr>
            <w:r>
              <w:rPr>
                <w:rFonts w:ascii="Arial" w:cs="Arial" w:eastAsia="Arial" w:hAnsi="Arial"/>
                <w:sz w:val="18"/>
                <w:szCs w:val="18"/>
                <w:color w:val="auto"/>
                <w:w w:val="93"/>
              </w:rPr>
              <w:t>You should read the “Risk Factors” section of this prospectus supplement, as well as those</w:t>
            </w:r>
          </w:p>
        </w:tc>
      </w:tr>
      <w:tr>
        <w:trPr>
          <w:trHeight w:val="216"/>
        </w:trPr>
        <w:tc>
          <w:tcPr>
            <w:tcW w:w="3720" w:type="dxa"/>
            <w:vAlign w:val="bottom"/>
          </w:tcPr>
          <w:p>
            <w:pPr>
              <w:spacing w:after="0"/>
              <w:rPr>
                <w:sz w:val="18"/>
                <w:szCs w:val="18"/>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risks and uncertainties identified in the documents incorporated by reference herein,</w:t>
            </w:r>
          </w:p>
        </w:tc>
      </w:tr>
      <w:tr>
        <w:trPr>
          <w:trHeight w:val="216"/>
        </w:trPr>
        <w:tc>
          <w:tcPr>
            <w:tcW w:w="3720" w:type="dxa"/>
            <w:vAlign w:val="bottom"/>
          </w:tcPr>
          <w:p>
            <w:pPr>
              <w:spacing w:after="0"/>
              <w:rPr>
                <w:sz w:val="18"/>
                <w:szCs w:val="18"/>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including our most recent Annual Report on Form 20-F, for a discussion of factors to</w:t>
            </w:r>
          </w:p>
        </w:tc>
      </w:tr>
      <w:tr>
        <w:trPr>
          <w:trHeight w:val="230"/>
        </w:trPr>
        <w:tc>
          <w:tcPr>
            <w:tcW w:w="3720" w:type="dxa"/>
            <w:vAlign w:val="bottom"/>
          </w:tcPr>
          <w:p>
            <w:pPr>
              <w:spacing w:after="0"/>
              <w:rPr>
                <w:sz w:val="20"/>
                <w:szCs w:val="20"/>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consider carefully before deciding to purchase our ordinary shares.</w:t>
            </w:r>
          </w:p>
        </w:tc>
      </w:tr>
      <w:tr>
        <w:trPr>
          <w:trHeight w:val="459"/>
        </w:trPr>
        <w:tc>
          <w:tcPr>
            <w:tcW w:w="3720" w:type="dxa"/>
            <w:vAlign w:val="bottom"/>
          </w:tcPr>
          <w:p>
            <w:pPr>
              <w:ind w:left="180"/>
              <w:spacing w:after="0"/>
              <w:rPr>
                <w:sz w:val="20"/>
                <w:szCs w:val="20"/>
                <w:color w:val="auto"/>
              </w:rPr>
            </w:pPr>
            <w:r>
              <w:rPr>
                <w:rFonts w:ascii="Arial" w:cs="Arial" w:eastAsia="Arial" w:hAnsi="Arial"/>
                <w:sz w:val="18"/>
                <w:szCs w:val="18"/>
                <w:color w:val="auto"/>
              </w:rPr>
              <w:t>The Nasdaq Global Select Market Symbol</w:t>
            </w:r>
          </w:p>
        </w:tc>
        <w:tc>
          <w:tcPr>
            <w:tcW w:w="7300" w:type="dxa"/>
            <w:vAlign w:val="bottom"/>
          </w:tcPr>
          <w:p>
            <w:pPr>
              <w:ind w:left="500"/>
              <w:spacing w:after="0"/>
              <w:rPr>
                <w:sz w:val="20"/>
                <w:szCs w:val="20"/>
                <w:color w:val="auto"/>
              </w:rPr>
            </w:pPr>
            <w:r>
              <w:rPr>
                <w:rFonts w:ascii="Arial" w:cs="Arial" w:eastAsia="Arial" w:hAnsi="Arial"/>
                <w:sz w:val="18"/>
                <w:szCs w:val="18"/>
                <w:color w:val="auto"/>
              </w:rPr>
              <w:t>“PHVS.”</w:t>
            </w:r>
          </w:p>
        </w:tc>
      </w:tr>
      <w:tr>
        <w:trPr>
          <w:trHeight w:val="172"/>
        </w:trPr>
        <w:tc>
          <w:tcPr>
            <w:tcW w:w="372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r>
      <w:tr>
        <w:trPr>
          <w:trHeight w:val="361"/>
        </w:trPr>
        <w:tc>
          <w:tcPr>
            <w:tcW w:w="3720" w:type="dxa"/>
            <w:vAlign w:val="bottom"/>
          </w:tcPr>
          <w:p>
            <w:pPr>
              <w:spacing w:after="0"/>
              <w:rPr>
                <w:sz w:val="24"/>
                <w:szCs w:val="24"/>
                <w:color w:val="auto"/>
              </w:rPr>
            </w:pPr>
          </w:p>
        </w:tc>
        <w:tc>
          <w:tcPr>
            <w:tcW w:w="7300" w:type="dxa"/>
            <w:vAlign w:val="bottom"/>
          </w:tcPr>
          <w:p>
            <w:pPr>
              <w:ind w:left="16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140"/>
          </w:cols>
          <w:pgMar w:left="32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You should carefully consider the risks and uncertainties described below, as well as those risks and uncertainties identified in the documents incorporated by reference herein, including our most recent Annual Report on Form 20-F,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ordinary shares could adversely affect the price of the shares and dilute shareholders.</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Future sales of a substantial number of our ordinary shares, or the perception that such sales will occur, could cause a decline in the market price of our ordinary shares. Pursuant to the at-the-market program, and potentially other offerings, we plan to continue to raise money to fund our operations through the issuance of our equity securities.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 In addition, we have registered on a Form S-8 registration statement all ordinary shares that we may issue under our equity compensation plans. As a result, these shares can be freely sold in the public market upon issuance, subject to volume limitations applicable to affiliates.</w:t>
      </w:r>
    </w:p>
    <w:p>
      <w:pPr>
        <w:spacing w:after="0" w:line="19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we sell ordinary shares, convertible securities or other equity securities, existing shareholders may be diluted by such sales, and in certain cases new investors could gain rights superior to our existing shareholders. Any sales of our ordinary shares, or the perception that such sales could occur, could have a negative impact on the trading price of our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ordinary shares in this offering, you will suffer immediate dilution of your investment.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public offering price of our ordinary shares may exceed the as adjusted net tangible book value per ordinary share. Therefore, if you purchase ordinary shares in this offering, you may pay a price per ordinary share that substantially exceeds our as adjusted net tangible book value per ordinary share after this offering. To the extent outstanding options or warrants are exercised, you will incur further dilution.</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Assuming that an aggregate of 4,411,765 of our ordinary shares are sold at a price of $17.00 per share pursuant to this prospectus supplement, which was the last reported sale price of our ordinary shares on Nasdaq on March 10, 2022, for aggregate gross proceeds of $75,000,000, after deducting commissions and estimated aggregate offering expenses payable by us, you would experience immediate dilution of $8.28 per ordinary share, representing the difference between our as adjusted net tangible book value per ordinary share as of September 30, 2021, after giving effect to this offering and the assumed offering price.</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i w:val="1"/>
          <w:iCs w:val="1"/>
          <w:color w:val="auto"/>
        </w:rPr>
        <w:t>We may be a passive foreign investment company, or “PFIC,” which could result in adverse U.S. federal income tax consequences to U.S. investors.</w:t>
      </w:r>
    </w:p>
    <w:p>
      <w:pPr>
        <w:spacing w:after="0" w:line="152"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income generally includes dividends, interest, certain non-active rents and royalties, and capital gains. Based on the nature of our business, our financial statements, our expectations about the nature and amount of our income, assets and activities and the expected price of our ordinary shares in this offering, we do not believe we were a PFIC in 2021 and we do not expect to be a PFIC for our current taxable year or in the foreseeable future. In addition, we may, directly or indirectly, hold equity interests in other PFICs. Whether we or any of our subsidiaries will be a PFIC in 2022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2022 or any future taxable year.</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7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further discussion, see “Material United States and Dutch Tax Considerations—Material U.S. Federal Income Tax Considerations to U.S. Holders.”</w:t>
      </w:r>
    </w:p>
    <w:p>
      <w:pPr>
        <w:spacing w:after="0" w:line="27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ordinary shares offered in this offering will be sold in “at the market offerings.” Investors who purchase our ordinary shares in this offering at different times will likely pay different prices.</w:t>
      </w:r>
    </w:p>
    <w:p>
      <w:pPr>
        <w:spacing w:after="0" w:line="6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Investors who purchase our ordinary shares in this offering at different times will likely pay different prices, and so may experience different outcomes in their investment results. We will have discretion, subject to market demand, to vary the timing, prices and numbers of ordinary shares sold, and subject to certain limitations in the sales agreement, there is no minimum or maximum sales price. Investors may experience a decline in the value of their ordinary shares and dilution as a result of sales made at prices lower than the prices they paid.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we may not use them effectively.</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currently intend to use the net proceeds from this offering as described in “Use of Proceeds.” However, our board of directors and our management retain broad discretion in the application of the net proceeds from this offering and could spend the proceeds in ways that do not improve our results of operations or enhance the value of our ordinary shares. Our failure to apply these funds effectively could result in financial losses, which could have a material adverse effect on our business, results of operations, financial condition and prospects.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 is not possible to predict the aggregate proceeds resulting from sales made under the Sales Agreement.</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placement notice to SVB Leerink at any time throughout the term of the Sales Agreement. The number of ordinary shares that are sold through SVB Leerink after delivering a placement notice will fluctuate based on a number of factors, including the market price of our ordinary shares during the sales period, any limits we may set with SVB Leerink in any applicable placement notice and the demand for our ordinary shares. Because the price per share of each share sold pursuant to the Sales Agreement will fluctuate over time, it is not currently possible to predict the aggregate proceeds to be raised in connection with sales under the sales agreement.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We may issue and sell our ordinary shares from time to time. Because there is no minimum offering amount required as a condition to close this offering, the actual total public offering amount, commissions and proceeds to us, if any, are not determinable at this time.</w:t>
      </w:r>
    </w:p>
    <w:p>
      <w:pPr>
        <w:spacing w:after="0" w:line="14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As of December 31, 2021, we had cash and cash equivalents of €209.4 million. We anticipate that we will use our existing liquidity and the net proceeds of this offering primarily to fund research and development and product discovery expenses for our clinical and preclinical research and development activities and for working capital and general corporate purposes.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expected use of the net proceeds from this offering represents our current intentions based upon our present plans and business conditions, which could change in the future as our plans and business conditions evolve. We cannot predict with certainty all of the particular uses for the net proceeds to be received upon the consummation of this offering or the amounts that we will actually spend on the uses set forth above. For example, we may use a portion of the net proceeds to in-license, acquire or invest in complementary technologies, products or assets. However, we have no current plan, commitments or obligations to do so. There is a risk that our development of our product candidates or any other future clinical development or product discovery program may not result in marketing approval. To the extent that we fail to obtain approval to market our product candidates or any other clinical development or product discovery program in a timely manner and have to continue clinical trials over a longer period of time, our research and development expenses may further increase. The amounts and timing of our actual expenditures and the extent of clinical development may vary significantly depending on numerous factors, including the progress, timing and completion of our development efforts, the status of and results from our ongoing clinical trials or any preclinical studies or other clinical trials we may commence in the future, the time and costs involved in obtaining regulatory approval for our product candidates or any other future clinical development or product discovery program, as well as maintaining our existing collaborations and any collaborations that we may enter into with third parties for our product candidates and any unforeseen cash needs. As a result, our board of directors (“Board”) will have broad discretion in applying the net proceeds of this offering, and investors will be relying on our judgment regarding the application of the net proceeds of this offering.</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Based on our current cash and current financial assets, we believe that our existing liquidity will enable us to fund our business through at least the next 18 months. The net proceeds of this offering, if we issue and sell our ordinary shares with maximum aggregate sales proceeds of $75,000,000 as specified in this prospectus supplement, would extend our financial reach, assuming that the plans for our clinical and preclinical activities remain unchanged. We have based these estimates on assumptions that may prove to be incorrect, and we could use our available capital resources sooner than we currently expect.</w:t>
      </w:r>
    </w:p>
    <w:p>
      <w:pPr>
        <w:spacing w:after="0" w:line="188"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Pending their use, we might plan to invest a portion of the net proceeds from this offering in short- and intermediate-term interest-bearing financial assets and certificates of deposit.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We have never declared or paid any dividends on our ordinary shares. We expect to retain all earnings, if any, generated by our operations for the development and growth of our business and do not anticipate paying any dividends to our shareholders in the foreseeable future. Under Dutch law, we may only pay dividends and other distributions from our reserves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w:t>
      </w:r>
    </w:p>
    <w:p>
      <w:pPr>
        <w:spacing w:after="0" w:line="2" w:lineRule="exact"/>
        <w:rPr>
          <w:sz w:val="20"/>
          <w:szCs w:val="20"/>
          <w:color w:val="auto"/>
        </w:rPr>
      </w:pPr>
    </w:p>
    <w:p>
      <w:pPr>
        <w:ind w:left="120" w:right="160"/>
        <w:spacing w:after="0" w:line="292" w:lineRule="auto"/>
        <w:rPr>
          <w:sz w:val="20"/>
          <w:szCs w:val="20"/>
          <w:color w:val="auto"/>
        </w:rPr>
      </w:pPr>
      <w:r>
        <w:rPr>
          <w:rFonts w:ascii="Arial" w:cs="Arial" w:eastAsia="Arial" w:hAnsi="Arial"/>
          <w:sz w:val="16"/>
          <w:szCs w:val="16"/>
          <w:color w:val="auto"/>
        </w:rPr>
        <w:t>the paid-in and called-up share capital plus the reserves required to be maintained by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our Articles of Association, if any preferred shares are or have been outstanding, the preferred dividend is first paid out of our profits, if available for distribution, to the holders or former holders, as applicable, of those preferred shares to the extent they are entitled to such distribution under our Articles of Association, which we refer to as our preferred dividend. Thereafter, our Board may decide that all or part of our remaining profits shown in our adopted statutory annual accounts will be added to our reserves. After such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you invest in our ordinary shares in this offering, your ownership interest will be diluted immediately to the extent of the difference between the price you pay in this offering and the net tangible book value per ordinary share after this offering.</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net tangible book value as of September 30, 2021 was $254.8 million (€215.4 million), or $7.69 per ordinary share (€6.50 per ordinary share), based on 33,128,593 ordinary shares then outstanding. Net tangible book value per share represents the amount of our total assets less our total liabilities, excluding intangible assets, divided by 33,128,593, the total number of our ordinary shares issued and outstanding at September 30, 2021.</w:t>
      </w:r>
    </w:p>
    <w:p>
      <w:pPr>
        <w:spacing w:after="0" w:line="14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After giving effect to the assumed sale by us of our ordinary shares in the aggregate amount of $75 million at an assumed public offering price of $17.00 per share (the last sale price of our ordinary shares on March 10, 2022 as reported on Nasdaq), less the estimated commissions and estimated offering expenses payable by us, our net tangible book value at September 30, 2021 would have been $327.4 million, or $8.72 per ordinary share. This represents an immediate increase in net tangible book value of $1.03 per share to existing shareholders and an immediate dilution of $8.28 per share to investors in this offering. The following table illustrates this per share dilution. The as adjusted information is illustrative only and will adjust based on the actual price to the public, the actual number of shares sold and other terms of the offering determined at the time our ordinary shares are sold pursuant to this prospectus supplement. The shares sold in this offering, if any, will be sold from time to time at various prices.</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17.00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tangible book value per share as of September 30, 2021</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Increase per share attributable to new investors purchasing shares in this offering</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discussion and table are based on our actual ordinary shares outstanding as of September 30, 2021 and excludes:</w:t>
      </w:r>
    </w:p>
    <w:p>
      <w:pPr>
        <w:spacing w:after="0" w:line="131" w:lineRule="exact"/>
        <w:rPr>
          <w:sz w:val="20"/>
          <w:szCs w:val="20"/>
          <w:color w:val="auto"/>
        </w:rPr>
      </w:pPr>
    </w:p>
    <w:p>
      <w:pPr>
        <w:ind w:left="1080" w:right="4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 million of our ordinary shares issuable upon the exercise of options outstanding as of September 30, 2021, at a weighted-average exercise price of $10.86 per ordinary share (€9.18 per ordinary share);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1.9 million ordinary shares covered by additional option awards available for issuance under our equity incentive plan as of September 30, 2021;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0.27 million restricted stock units held by Senior Management and other employees as of September 30, 2021.</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UNITED STATES AND DUTCH TAX CONSIDERATIONS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information presented under the caption “—Material U.S. Federal Income Tax Considerations to U.S. Holders” below is a discussion of material U.S. federal income tax considerations to a U.S. Holder (as defined below) of owning and disposing of our ordinary shares. The information presented under the caption “—Material Dutch Tax Considerations” is a discussion of material Dutch tax considerations of owning and disposing of our ordinary shares.</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consult your tax advisor regarding the applicable tax consequences to you of investing in our ordinary shares under the laws of the United States (federal, state and local), the Netherlands, and any other applicable jurisdiction.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Material U.S. Federal Income Tax Considerations to U.S. Holders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following is a discussion of the material U.S. federal income tax consequences to the U.S. Holders, as defined below, of owning and disposing of our ordinary shares. It does not describe all tax considerations that may be relevant to a particular person’s decision to acquire our ordinary shares. This discussion applies only to a U.S. Holder that purchases our ordinary shares in connection with this offering and holds such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72"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 or expatriated entities subject to Section 7874 of the Code;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for U.S. federal income tax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“individual retirement accounts,” “Roth IRAs” or other tax-deferred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persons that acquire ordinary shares directly or indirectly in connection with the performance of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who are subject to Section 451(b) of the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 corporations and any investors therein, regulated investment companies, real estate investment trusts, real estate mortgage investment conduits;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holding ordinary shares in connection with a trade or business conducted outside of the United States.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the U.S. federal income tax treatment of a partner will generally depend on the status of the partner and the activities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of the partner and the partnership. Partnerships holding ordinary shares and partners in such partnerships should consult their tax advisers as to the particular U.S. federal income tax consequences of owning and disposing of ordinary shares.</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This discussion is based on the Code, administrative pronouncements, judicial decisions, final, temporary and proposed Treasury regulations, and the income tax treaty between the Netherlands and the United States, or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or the Service or IRS,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6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who is eligible for the benefits of the Treaty and who is:</w:t>
      </w:r>
    </w:p>
    <w:p>
      <w:pPr>
        <w:spacing w:after="0" w:line="7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THIS SUMMARY IS FOR GENERAL INFORMATION PURPOSES ONLY, AND IS NOT INTENDED TO BE, AND SHOULD NOT BE CONSTRUED TO BE, LEGAL OR TAX ADVICE TO ANY PARTICULAR HOLDER. PROSPECTIVE INVESTORS ARE URGED TO CONSULT THEIR TAX ADVISORS WITH REGARD TO THE APPLICATION OF THE U.S. FEDERAL INCOME TAX LAWS, AS WELL AS THE APPLICATION OF U.S. NON-INCOME TAX LAWS AND THE LAWS OF ANY STATE, LOCAL OR NON-U.S. JURISDICTION, IN LIGHT OF THEIR PARTICULAR SITUATION.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Distributions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As discussed above under “Dividend Policy,” 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not be eligible for the dividends-received deduction generally available to U.S. corporations under the United States Internal Revenue Code.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 The rules governing foreign tax credits are complex and U.S. Holders should consult their tax advisers regarding the creditability of foreign taxes in their particular circumstances. In lieu of claiming a foreign tax credit, U.S. Holders may deduct foreign taxes, including any Dutch withholding tax, in computing their taxable income, subject to generally applicable limitations under U.S. law. An election to deduct foreign taxes instead of claiming foreign tax credits applies to all foreign taxes paid or accrued in the taxable year.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or Other Disposition of Ordinary Shares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our expectations about the nature and amount of our income, assets and activities and the expected price of our ordinary shares in this offering, we do not believe we were a PFIC in 2021 and we do not expect to be a PFIC for our current taxable year or in the foreseeable future. In addition, we may, directly or indirectly, hold equity interests in other PFICs, or Lower-tier PFICs. Whether we or any of our subsidiaries will be a PFIC in 2022 or any future year is a factual determination that must be made annually at the close of each taxable year, and, thus, is subject to significant uncertainty; because among other things (i) a determination of whether a company is a PFIC must be made annually after the end of each taxable year and will depend on the composition of our income and assets and the market value of our assets from time to time and (ii) we will hold a substantial amount of cash following this offering, we cannot assure you that we will not be a PFIC for the current or any future taxable year. Accordingly, there can be no assurance that we will not be a PFIC in 2022 or any future taxable year. If we are a PFIC for any year during which a U.S. Holder holds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8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7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U.S. Holders should consult their tax advisors concerning our potential PFIC status and the potential application of the PFIC rules. The U.S. federal income tax rules relating to PFICs are very complex. U.S. Holders are strongly urged to consult their tax advisors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with Respect to Foreign Financial Assets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ind w:left="120" w:right="340" w:hanging="4"/>
        <w:spacing w:after="0" w:line="260" w:lineRule="auto"/>
        <w:tabs>
          <w:tab w:leader="none" w:pos="38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ordinary shares held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accounts maintained by certain U.S. financial institutions). U.S. Holders should consult their tax advisers regarding whether or not they are obligated to report information relating to their ownership and disposition of ordinary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Dutch Tax Considerations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Scope of Discussion</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To the extent this section consists of a statement as to matters of Dutch tax law, this section is the opinion of our Dutch counsel, NautaDutilh N.V., and outlines certain material Dutch tax consequences of the acquisition, holding and disposal of our ordinary shares. It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This section is based on the tax laws of the Netherlands, published regulations thereunder and published authoritative case law, all as in effect on the date hereof, and all of which are subject to change, possibly with retroactive effect. Where this section refers to “the Netherlands” or “Dutch” it refers only to the part of the Kingdom of the Netherlands located in Europe.</w:t>
      </w:r>
    </w:p>
    <w:p>
      <w:pPr>
        <w:spacing w:after="0" w:line="184"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THIS DISCUSSION IS FOR GENERAL INFORMATION PURPOSES ONLY AND IS NOT DUTCH TAX ADVICE OR A COMPLETE DESCRIPTION OF ALL DUTCH TAX CONSEQUENCES RELATING TO THE ACQUISITION, HOLDING AND DISPOSAL OF OUR ORDINARY SHARES. HOLDERS OR PROSPECTIVE HOLDERS OF OUR ORDINARY SHARES SHOULD CONSULT THEIR OWN TAX ADVISORS REGARDING THE DUTCH TAX CONSEQUENCES RELATING TO THE ACQUISITION, HOLDING AND DISPOSAL OF THE ORDINARY SHARES IN LIGHT OF THEIR PARTICULAR CIRCUMSTANCES.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note that this section does not describe the Dutch tax consequences for:</w:t>
      </w:r>
    </w:p>
    <w:p>
      <w:pPr>
        <w:spacing w:after="0" w:line="131" w:lineRule="exact"/>
        <w:rPr>
          <w:sz w:val="20"/>
          <w:szCs w:val="20"/>
          <w:color w:val="auto"/>
        </w:rPr>
      </w:pPr>
    </w:p>
    <w:p>
      <w:pPr>
        <w:ind w:left="1080" w:hanging="532"/>
        <w:spacing w:after="0" w:line="270"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holder of our ordinary shares if such holder has a substantial interest (</w:t>
      </w:r>
      <w:r>
        <w:rPr>
          <w:rFonts w:ascii="Arial" w:cs="Arial" w:eastAsia="Arial" w:hAnsi="Arial"/>
          <w:sz w:val="17"/>
          <w:szCs w:val="17"/>
          <w:i w:val="1"/>
          <w:iCs w:val="1"/>
          <w:color w:val="auto"/>
        </w:rPr>
        <w:t>aanmerkelijk belang</w:t>
      </w:r>
      <w:r>
        <w:rPr>
          <w:rFonts w:ascii="Arial" w:cs="Arial" w:eastAsia="Arial" w:hAnsi="Arial"/>
          <w:sz w:val="17"/>
          <w:szCs w:val="17"/>
          <w:color w:val="auto"/>
        </w:rPr>
        <w:t>) or deemed substantial interest (</w:t>
      </w:r>
      <w:r>
        <w:rPr>
          <w:rFonts w:ascii="Arial" w:cs="Arial" w:eastAsia="Arial" w:hAnsi="Arial"/>
          <w:sz w:val="17"/>
          <w:szCs w:val="17"/>
          <w:i w:val="1"/>
          <w:iCs w:val="1"/>
          <w:color w:val="auto"/>
        </w:rPr>
        <w:t>fictief</w:t>
      </w:r>
      <w:r>
        <w:rPr>
          <w:rFonts w:ascii="Arial" w:cs="Arial" w:eastAsia="Arial" w:hAnsi="Arial"/>
          <w:sz w:val="17"/>
          <w:szCs w:val="17"/>
          <w:color w:val="auto"/>
        </w:rPr>
        <w:t xml:space="preserve"> </w:t>
      </w:r>
      <w:r>
        <w:rPr>
          <w:rFonts w:ascii="Arial" w:cs="Arial" w:eastAsia="Arial" w:hAnsi="Arial"/>
          <w:sz w:val="17"/>
          <w:szCs w:val="17"/>
          <w:i w:val="1"/>
          <w:iCs w:val="1"/>
          <w:color w:val="auto"/>
        </w:rPr>
        <w:t>aanmerkelijk belang</w:t>
      </w:r>
      <w:r>
        <w:rPr>
          <w:rFonts w:ascii="Arial" w:cs="Arial" w:eastAsia="Arial" w:hAnsi="Arial"/>
          <w:sz w:val="17"/>
          <w:szCs w:val="17"/>
          <w:color w:val="auto"/>
        </w:rPr>
        <w:t>) in us under the Dutch Income Tax Act 2001 (</w:t>
      </w:r>
      <w:r>
        <w:rPr>
          <w:rFonts w:ascii="Arial" w:cs="Arial" w:eastAsia="Arial" w:hAnsi="Arial"/>
          <w:sz w:val="17"/>
          <w:szCs w:val="17"/>
          <w:i w:val="1"/>
          <w:iCs w:val="1"/>
          <w:color w:val="auto"/>
        </w:rPr>
        <w:t>Wet inkomstenbelasting 2001</w:t>
      </w:r>
      <w:r>
        <w:rPr>
          <w:rFonts w:ascii="Arial" w:cs="Arial" w:eastAsia="Arial" w:hAnsi="Arial"/>
          <w:sz w:val="17"/>
          <w:szCs w:val="17"/>
          <w:color w:val="auto"/>
        </w:rPr>
        <w:t>). Generally, a holder of securities in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 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86" w:lineRule="exact"/>
        <w:rPr>
          <w:rFonts w:ascii="Arial" w:cs="Arial" w:eastAsia="Arial" w:hAnsi="Arial"/>
          <w:sz w:val="17"/>
          <w:szCs w:val="17"/>
          <w:color w:val="auto"/>
        </w:rPr>
      </w:pPr>
    </w:p>
    <w:p>
      <w:pPr>
        <w:ind w:left="1080" w:right="80" w:hanging="532"/>
        <w:spacing w:after="0" w:line="25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holder of our ordinary shares, if the ordinary shares held by such holder qualify or qualified as a participation (</w:t>
      </w:r>
      <w:r>
        <w:rPr>
          <w:rFonts w:ascii="Arial" w:cs="Arial" w:eastAsia="Arial" w:hAnsi="Arial"/>
          <w:sz w:val="18"/>
          <w:szCs w:val="18"/>
          <w:i w:val="1"/>
          <w:iCs w:val="1"/>
          <w:color w:val="auto"/>
        </w:rPr>
        <w:t>deelneming</w:t>
      </w:r>
      <w:r>
        <w:rPr>
          <w:rFonts w:ascii="Arial" w:cs="Arial" w:eastAsia="Arial" w:hAnsi="Arial"/>
          <w:sz w:val="18"/>
          <w:szCs w:val="18"/>
          <w:color w:val="auto"/>
        </w:rPr>
        <w:t>) for purposes of the Dutch Corporate Income Tax Act 1969 (</w:t>
      </w:r>
      <w:r>
        <w:rPr>
          <w:rFonts w:ascii="Arial" w:cs="Arial" w:eastAsia="Arial" w:hAnsi="Arial"/>
          <w:sz w:val="18"/>
          <w:szCs w:val="18"/>
          <w:i w:val="1"/>
          <w:iCs w:val="1"/>
          <w:color w:val="auto"/>
        </w:rPr>
        <w:t>Wet op de vennootschapsbelasting 1969</w:t>
      </w:r>
      <w:r>
        <w:rPr>
          <w:rFonts w:ascii="Arial" w:cs="Arial" w:eastAsia="Arial" w:hAnsi="Arial"/>
          <w:sz w:val="18"/>
          <w:szCs w:val="18"/>
          <w:color w:val="auto"/>
        </w:rPr>
        <w:t>).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93"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pension funds, investment institutions (</w:t>
      </w:r>
      <w:r>
        <w:rPr>
          <w:rFonts w:ascii="Arial" w:cs="Arial" w:eastAsia="Arial" w:hAnsi="Arial"/>
          <w:sz w:val="18"/>
          <w:szCs w:val="18"/>
          <w:i w:val="1"/>
          <w:iCs w:val="1"/>
          <w:color w:val="auto"/>
        </w:rPr>
        <w:t>fiscale beleggingsinstellingen</w:t>
      </w:r>
      <w:r>
        <w:rPr>
          <w:rFonts w:ascii="Arial" w:cs="Arial" w:eastAsia="Arial" w:hAnsi="Arial"/>
          <w:sz w:val="18"/>
          <w:szCs w:val="18"/>
          <w:color w:val="auto"/>
        </w:rPr>
        <w:t>), exempt investment institutions (</w:t>
      </w:r>
      <w:r>
        <w:rPr>
          <w:rFonts w:ascii="Arial" w:cs="Arial" w:eastAsia="Arial" w:hAnsi="Arial"/>
          <w:sz w:val="18"/>
          <w:szCs w:val="18"/>
          <w:i w:val="1"/>
          <w:iCs w:val="1"/>
          <w:color w:val="auto"/>
        </w:rPr>
        <w:t>vrijgestelde beleggingsinstellingen</w:t>
      </w:r>
      <w:r>
        <w:rPr>
          <w:rFonts w:ascii="Arial" w:cs="Arial" w:eastAsia="Arial" w:hAnsi="Arial"/>
          <w:sz w:val="18"/>
          <w:szCs w:val="18"/>
          <w:color w:val="auto"/>
        </w:rPr>
        <w:t>) (each as defined in the Dutch Corporate Income Tax Act 1969)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and other entities that are, in whole or in part, not subject to or exempt from Dutch corporate income tax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w:t>
      </w:r>
    </w:p>
    <w:p>
      <w:pPr>
        <w:spacing w:after="0" w:line="92" w:lineRule="exact"/>
        <w:rPr>
          <w:sz w:val="20"/>
          <w:szCs w:val="20"/>
          <w:color w:val="auto"/>
        </w:rPr>
      </w:pPr>
    </w:p>
    <w:p>
      <w:pPr>
        <w:ind w:left="1080" w:hanging="532"/>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 (as defined in the Dutch Income Tax Act 2001).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expression “dividends distributed” includes, among other things:</w:t>
      </w:r>
    </w:p>
    <w:p>
      <w:pPr>
        <w:spacing w:after="0" w:line="131" w:lineRule="exact"/>
        <w:rPr>
          <w:sz w:val="20"/>
          <w:szCs w:val="20"/>
          <w:color w:val="auto"/>
        </w:rPr>
      </w:pPr>
    </w:p>
    <w:p>
      <w:pPr>
        <w:ind w:left="1080" w:right="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distributions in cash or in kind, deemed and constructive distributions and repayments of paid-in capital not recognized for Dutch dividend withholding tax purposes;</w:t>
      </w:r>
    </w:p>
    <w:p>
      <w:pPr>
        <w:spacing w:after="0" w:line="75" w:lineRule="exact"/>
        <w:rPr>
          <w:rFonts w:ascii="Arial" w:cs="Arial" w:eastAsia="Arial" w:hAnsi="Arial"/>
          <w:sz w:val="18"/>
          <w:szCs w:val="18"/>
          <w:color w:val="auto"/>
        </w:rPr>
      </w:pPr>
    </w:p>
    <w:p>
      <w:pPr>
        <w:ind w:left="1080" w:right="160" w:hanging="424"/>
        <w:spacing w:after="0" w:line="31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liquidation proceeds, proceeds of redemption of our ordinary shares, or proceeds of the repurchase of ordinary shares (other than as temporary portfolio investment; </w:t>
      </w:r>
      <w:r>
        <w:rPr>
          <w:rFonts w:ascii="Arial" w:cs="Arial" w:eastAsia="Arial" w:hAnsi="Arial"/>
          <w:sz w:val="16"/>
          <w:szCs w:val="16"/>
          <w:i w:val="1"/>
          <w:iCs w:val="1"/>
          <w:color w:val="auto"/>
        </w:rPr>
        <w:t>tijdelijke belegging</w:t>
      </w:r>
      <w:r>
        <w:rPr>
          <w:rFonts w:ascii="Arial" w:cs="Arial" w:eastAsia="Arial" w:hAnsi="Arial"/>
          <w:sz w:val="16"/>
          <w:szCs w:val="16"/>
          <w:color w:val="auto"/>
        </w:rPr>
        <w:t>) by us or one of our subsidiaries or other affiliated entities, in each case to the extent such proceeds exceed the average paid-in capital of those ordinary shares as recognized for purposes of Dutch dividend withholding tax;</w:t>
      </w:r>
    </w:p>
    <w:p>
      <w:pPr>
        <w:spacing w:after="0" w:line="54" w:lineRule="exact"/>
        <w:rPr>
          <w:rFonts w:ascii="Arial" w:cs="Arial" w:eastAsia="Arial" w:hAnsi="Arial"/>
          <w:sz w:val="16"/>
          <w:szCs w:val="16"/>
          <w:color w:val="auto"/>
        </w:rPr>
      </w:pPr>
    </w:p>
    <w:p>
      <w:pPr>
        <w:ind w:left="1080" w:right="16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amount equal to the par value of our ordinary shares issued or an increase of the par value of ordinary shares, to the extent that it does not appear that a contribution, recognized for purposes of Dutch dividend withholding tax, has been made or will be made; and</w:t>
      </w:r>
    </w:p>
    <w:p>
      <w:pPr>
        <w:spacing w:after="0" w:line="29"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 repayment of the paid-in capital, recognized for purposes of Dutch dividend withholding tax, if and to the extent that we have net profits (</w:t>
      </w:r>
      <w:r>
        <w:rPr>
          <w:rFonts w:ascii="Arial" w:cs="Arial" w:eastAsia="Arial" w:hAnsi="Arial"/>
          <w:sz w:val="18"/>
          <w:szCs w:val="18"/>
          <w:i w:val="1"/>
          <w:iCs w:val="1"/>
          <w:color w:val="auto"/>
        </w:rPr>
        <w:t>zuivere winst</w:t>
      </w:r>
      <w:r>
        <w:rPr>
          <w:rFonts w:ascii="Arial" w:cs="Arial" w:eastAsia="Arial" w:hAnsi="Arial"/>
          <w:sz w:val="18"/>
          <w:szCs w:val="18"/>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Individuals and corporate legal entities who are resident or deemed to be resident of the Netherlands for Dutch tax purposes, generally are entitled to an exemption of or a credit for any Dutch dividend withholding tax against their Dutch (corporate) income tax liability. The same generally applies to holders of ordinary shares that are neither resident nor deemed to be resident of the Netherlands if the ordinary shares are attributable to a Dutch permanent establishment of such non-resident holder.</w:t>
      </w:r>
    </w:p>
    <w:p>
      <w:pPr>
        <w:spacing w:after="0" w:line="18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 law, or treaties for the avoidance of double taxation in effect between the Netherlands and such other country.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Remittance to the Dutch tax authorities</w:t>
      </w:r>
    </w:p>
    <w:p>
      <w:pPr>
        <w:spacing w:after="0" w:line="11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Under certain circumstances, we may not be required to remit all amounts withheld as Dutch dividend withholding tax to the Dutch tax authorities, if we have received a profit distribution from a qualifying foreign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 xml:space="preserve">subsidiary (as described in the Dutch Dividend Withholding Tax Act 1965; </w:t>
      </w:r>
      <w:r>
        <w:rPr>
          <w:rFonts w:ascii="Arial" w:cs="Arial" w:eastAsia="Arial" w:hAnsi="Arial"/>
          <w:sz w:val="18"/>
          <w:szCs w:val="18"/>
          <w:i w:val="1"/>
          <w:iCs w:val="1"/>
          <w:color w:val="auto"/>
        </w:rPr>
        <w:t>Wet op de dividendbelasting 1965</w:t>
      </w:r>
      <w:r>
        <w:rPr>
          <w:rFonts w:ascii="Arial" w:cs="Arial" w:eastAsia="Arial" w:hAnsi="Arial"/>
          <w:sz w:val="18"/>
          <w:szCs w:val="18"/>
          <w:color w:val="auto"/>
        </w:rPr>
        <w:t>) which distribution (i) is exempt from Dutch corporate income tax and (ii) has been subject to a foreign withholding tax of at least 5%. The amount that does not have to be remitted to the Dutch tax authorities can generally not exceed the lesser of:</w:t>
      </w:r>
    </w:p>
    <w:p>
      <w:pPr>
        <w:spacing w:after="0" w:line="8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 of the dividends distributed by us subject to Dutch dividend withholding tax; and</w:t>
      </w:r>
    </w:p>
    <w:p>
      <w:pPr>
        <w:spacing w:after="0" w:line="130"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 of the dividends and profit distributions, before deduction of foreign withholding taxes, received by us from qualifying foreign subsidiaries in the calendar year in which we distribute the dividends (up to the date of the distribution by us) and the two preceding calendar years, as far as such dividends and profit distributions have not yet been taken into account for purposes of establishing the above mentioned reduction.</w:t>
      </w:r>
    </w:p>
    <w:p>
      <w:pPr>
        <w:spacing w:after="0" w:line="18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Although this reduction reduces the amount of Dutch dividend withholding tax that we are required to remit to the Dutch tax authorities, it does not reduce the amount of Dutch dividend withholding tax that we are required to withhold on dividends distributed by us.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 stripping</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Pursuant to legislation to counteract “dividend stripping”, a reduction, exemption, credit or refund of Dutch dividend withholding tax is denied if the recipient of the dividend is not the beneficial owner (as described in the Dutch Dividend Withholding Tax Act 1965 (</w:t>
      </w:r>
      <w:r>
        <w:rPr>
          <w:rFonts w:ascii="Arial" w:cs="Arial" w:eastAsia="Arial" w:hAnsi="Arial"/>
          <w:sz w:val="17"/>
          <w:szCs w:val="17"/>
          <w:i w:val="1"/>
          <w:iCs w:val="1"/>
          <w:color w:val="auto"/>
        </w:rPr>
        <w:t>Wet op de dividendbelasting</w:t>
      </w:r>
      <w:r>
        <w:rPr>
          <w:rFonts w:ascii="Arial" w:cs="Arial" w:eastAsia="Arial" w:hAnsi="Arial"/>
          <w:sz w:val="17"/>
          <w:szCs w:val="17"/>
          <w:color w:val="auto"/>
        </w:rPr>
        <w:t xml:space="preserve"> </w:t>
      </w:r>
      <w:r>
        <w:rPr>
          <w:rFonts w:ascii="Arial" w:cs="Arial" w:eastAsia="Arial" w:hAnsi="Arial"/>
          <w:sz w:val="17"/>
          <w:szCs w:val="17"/>
          <w:i w:val="1"/>
          <w:iCs w:val="1"/>
          <w:color w:val="auto"/>
        </w:rPr>
        <w:t>1965</w:t>
      </w:r>
      <w:r>
        <w:rPr>
          <w:rFonts w:ascii="Arial" w:cs="Arial" w:eastAsia="Arial" w:hAnsi="Arial"/>
          <w:sz w:val="17"/>
          <w:szCs w:val="17"/>
          <w:color w:val="auto"/>
        </w:rPr>
        <w:t>)). This legislation generally targets situations in which a shareholder retains its economic interest in shares but reduces the withholding tax costs on</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Conditional withholding tax on dividends (as of January 1, 2024)</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As of January 1, 2024, a Dutch conditional withholding tax will be imposed on dividends distributed by us to entities related (</w:t>
      </w:r>
      <w:r>
        <w:rPr>
          <w:rFonts w:ascii="Arial" w:cs="Arial" w:eastAsia="Arial" w:hAnsi="Arial"/>
          <w:sz w:val="18"/>
          <w:szCs w:val="18"/>
          <w:i w:val="1"/>
          <w:iCs w:val="1"/>
          <w:color w:val="auto"/>
        </w:rPr>
        <w:t>gelieerd</w:t>
      </w:r>
      <w:r>
        <w:rPr>
          <w:rFonts w:ascii="Arial" w:cs="Arial" w:eastAsia="Arial" w:hAnsi="Arial"/>
          <w:sz w:val="18"/>
          <w:szCs w:val="18"/>
          <w:color w:val="auto"/>
        </w:rPr>
        <w:t xml:space="preserve">) to us (within the meaning of the Dutch Withholding Tax Act 2021; </w:t>
      </w:r>
      <w:r>
        <w:rPr>
          <w:rFonts w:ascii="Arial" w:cs="Arial" w:eastAsia="Arial" w:hAnsi="Arial"/>
          <w:sz w:val="18"/>
          <w:szCs w:val="18"/>
          <w:i w:val="1"/>
          <w:iCs w:val="1"/>
          <w:color w:val="auto"/>
        </w:rPr>
        <w:t>Wet bronbelasting 2021</w:t>
      </w:r>
      <w:r>
        <w:rPr>
          <w:rFonts w:ascii="Arial" w:cs="Arial" w:eastAsia="Arial" w:hAnsi="Arial"/>
          <w:sz w:val="18"/>
          <w:szCs w:val="18"/>
          <w:color w:val="auto"/>
        </w:rPr>
        <w:t>), if such related entity:</w:t>
      </w:r>
    </w:p>
    <w:p>
      <w:pPr>
        <w:spacing w:after="0" w:line="76" w:lineRule="exact"/>
        <w:rPr>
          <w:sz w:val="20"/>
          <w:szCs w:val="20"/>
          <w:color w:val="auto"/>
        </w:rPr>
      </w:pPr>
    </w:p>
    <w:p>
      <w:pPr>
        <w:ind w:left="1080" w:right="480" w:hanging="532"/>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considered to be resident (</w:t>
      </w:r>
      <w:r>
        <w:rPr>
          <w:rFonts w:ascii="Arial" w:cs="Arial" w:eastAsia="Arial" w:hAnsi="Arial"/>
          <w:sz w:val="18"/>
          <w:szCs w:val="18"/>
          <w:i w:val="1"/>
          <w:iCs w:val="1"/>
          <w:color w:val="auto"/>
        </w:rPr>
        <w:t>gevestigd</w:t>
      </w:r>
      <w:r>
        <w:rPr>
          <w:rFonts w:ascii="Arial" w:cs="Arial" w:eastAsia="Arial" w:hAnsi="Arial"/>
          <w:sz w:val="18"/>
          <w:szCs w:val="18"/>
          <w:color w:val="auto"/>
        </w:rPr>
        <w:t>) in a jurisdiction that is listed in the yearly updated Dutch Regulation on low-taxing states and non-cooperative jurisdictions for tax purposes (</w:t>
      </w:r>
      <w:r>
        <w:rPr>
          <w:rFonts w:ascii="Arial" w:cs="Arial" w:eastAsia="Arial" w:hAnsi="Arial"/>
          <w:sz w:val="18"/>
          <w:szCs w:val="18"/>
          <w:i w:val="1"/>
          <w:iCs w:val="1"/>
          <w:color w:val="auto"/>
        </w:rPr>
        <w:t>Regeling laagbelastende staten en niet-coöperatieve rechtsgebieden voor</w:t>
      </w:r>
      <w:r>
        <w:rPr>
          <w:rFonts w:ascii="Arial" w:cs="Arial" w:eastAsia="Arial" w:hAnsi="Arial"/>
          <w:sz w:val="18"/>
          <w:szCs w:val="18"/>
          <w:color w:val="auto"/>
        </w:rPr>
        <w:t xml:space="preserve"> </w:t>
      </w:r>
      <w:r>
        <w:rPr>
          <w:rFonts w:ascii="Arial" w:cs="Arial" w:eastAsia="Arial" w:hAnsi="Arial"/>
          <w:sz w:val="18"/>
          <w:szCs w:val="18"/>
          <w:i w:val="1"/>
          <w:iCs w:val="1"/>
          <w:color w:val="auto"/>
        </w:rPr>
        <w:t>belastingdoeleinden</w:t>
      </w:r>
      <w:r>
        <w:rPr>
          <w:rFonts w:ascii="Arial" w:cs="Arial" w:eastAsia="Arial" w:hAnsi="Arial"/>
          <w:sz w:val="18"/>
          <w:szCs w:val="18"/>
          <w:color w:val="auto"/>
        </w:rPr>
        <w:t>) (a “Listed Jurisdiction”);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has a permanent establishment located in a Listed Jurisdiction to which the ordinary shares are attributable; or</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holds the ordinary shares for the main purpose or one of the main purposes to avoid taxation for another person or entity and there is an artificial arrangement or transaction or a series of artificial arrangements or transactions; or</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considered to be the beneficial owner of the ordinary shares in its jurisdiction of residence because such jurisdiction treats another entity as the beneficial owner of the ordinary shares (a hybrid mismatch);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resident in any jurisdiction (also a hybrid mismatch); or</w:t>
      </w:r>
    </w:p>
    <w:p>
      <w:pPr>
        <w:spacing w:after="0" w:line="130" w:lineRule="exact"/>
        <w:rPr>
          <w:rFonts w:ascii="Arial" w:cs="Arial" w:eastAsia="Arial" w:hAnsi="Arial"/>
          <w:sz w:val="18"/>
          <w:szCs w:val="18"/>
          <w:color w:val="auto"/>
        </w:rPr>
      </w:pPr>
    </w:p>
    <w:p>
      <w:pPr>
        <w:ind w:left="1080" w:right="120" w:hanging="532"/>
        <w:spacing w:after="0" w:line="25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reverse hybrid (within the meaning of Article 2(12) of the Dutch Corporate Income Tax Act 1969), if and to the extent (x) there is a participant in the reverse hybrid which is related (</w:t>
      </w:r>
      <w:r>
        <w:rPr>
          <w:rFonts w:ascii="Arial" w:cs="Arial" w:eastAsia="Arial" w:hAnsi="Arial"/>
          <w:sz w:val="18"/>
          <w:szCs w:val="18"/>
          <w:i w:val="1"/>
          <w:iCs w:val="1"/>
          <w:color w:val="auto"/>
        </w:rPr>
        <w:t>gelieerd</w:t>
      </w:r>
      <w:r>
        <w:rPr>
          <w:rFonts w:ascii="Arial" w:cs="Arial" w:eastAsia="Arial" w:hAnsi="Arial"/>
          <w:sz w:val="18"/>
          <w:szCs w:val="18"/>
          <w:color w:val="auto"/>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Dutch conditional withholding tax on dividends will be imposed at the highest Dutch corporate income tax rate in effect at the time of the distribution (currently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(currently 25.8%).</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Dutch Resident Entities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Generally, if the holder of ordinary shares is an entity resident or deemed to be resident of the Netherlands for Dutch corporate income tax purposes (a “Dutch Resident Entity”), any income derived or deemed to be derived from the ordinary shares or any capital gains realized on the disposal or deemed disposal of the ordinary shares is subject to Dutch corporate income tax at a rate of 15% with respect to taxable profits up to €395,000 and 25.8% with respect to taxable profits in excess of that amount (rates and brackets for 2022).</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Dutch Resident Individuals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If the holder of our ordinary shares is an individual resident or deemed to be resident of the Netherlands for Dutch income tax purposes (a “Dutch Resident Individual”), any income derived or deemed to be derived from the ordinary shares or any capital gains realized on the disposal or deemed disposal of the ordinary shares is subject to Dutch income tax at the progressive rates (with a maximum of 49.50% in 2022), if:</w:t>
      </w:r>
    </w:p>
    <w:p>
      <w:pPr>
        <w:spacing w:after="0" w:line="71" w:lineRule="exact"/>
        <w:rPr>
          <w:sz w:val="20"/>
          <w:szCs w:val="20"/>
          <w:color w:val="auto"/>
        </w:rPr>
      </w:pPr>
    </w:p>
    <w:p>
      <w:pPr>
        <w:ind w:left="1080" w:right="120" w:hanging="532"/>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ordinary shares are attributable to an enterprise from which the holder of ordinary shares derives a share of the profit, whether as an entrepreneur (</w:t>
      </w:r>
      <w:r>
        <w:rPr>
          <w:rFonts w:ascii="Arial" w:cs="Arial" w:eastAsia="Arial" w:hAnsi="Arial"/>
          <w:sz w:val="18"/>
          <w:szCs w:val="18"/>
          <w:i w:val="1"/>
          <w:iCs w:val="1"/>
          <w:color w:val="auto"/>
        </w:rPr>
        <w:t>ondernemer</w:t>
      </w:r>
      <w:r>
        <w:rPr>
          <w:rFonts w:ascii="Arial" w:cs="Arial" w:eastAsia="Arial" w:hAnsi="Arial"/>
          <w:sz w:val="18"/>
          <w:szCs w:val="18"/>
          <w:color w:val="auto"/>
        </w:rPr>
        <w:t>) or as a person who has a co-entitlement to the net worth (</w:t>
      </w:r>
      <w:r>
        <w:rPr>
          <w:rFonts w:ascii="Arial" w:cs="Arial" w:eastAsia="Arial" w:hAnsi="Arial"/>
          <w:sz w:val="18"/>
          <w:szCs w:val="18"/>
          <w:i w:val="1"/>
          <w:iCs w:val="1"/>
          <w:color w:val="auto"/>
        </w:rPr>
        <w:t>medegerechtigd tot het vermogen</w:t>
      </w:r>
      <w:r>
        <w:rPr>
          <w:rFonts w:ascii="Arial" w:cs="Arial" w:eastAsia="Arial" w:hAnsi="Arial"/>
          <w:sz w:val="18"/>
          <w:szCs w:val="18"/>
          <w:color w:val="auto"/>
        </w:rPr>
        <w:t>) of such enterprise without being a shareholder (as defined in the Dutch Income Tax Act 2001); or</w:t>
      </w:r>
    </w:p>
    <w:p>
      <w:pPr>
        <w:spacing w:after="0" w:line="89" w:lineRule="exact"/>
        <w:rPr>
          <w:rFonts w:ascii="Arial" w:cs="Arial" w:eastAsia="Arial" w:hAnsi="Arial"/>
          <w:sz w:val="18"/>
          <w:szCs w:val="18"/>
          <w:color w:val="auto"/>
        </w:rPr>
      </w:pPr>
    </w:p>
    <w:p>
      <w:pPr>
        <w:ind w:left="1080" w:right="240" w:hanging="532"/>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of ordinary shares is considered to perform activities with respect to the ordinary shares that go beyond ordinary asset management (</w:t>
      </w:r>
      <w:r>
        <w:rPr>
          <w:rFonts w:ascii="Arial" w:cs="Arial" w:eastAsia="Arial" w:hAnsi="Arial"/>
          <w:sz w:val="18"/>
          <w:szCs w:val="18"/>
          <w:i w:val="1"/>
          <w:iCs w:val="1"/>
          <w:color w:val="auto"/>
        </w:rPr>
        <w:t>normaal, actief vermogensbeheer</w:t>
      </w:r>
      <w:r>
        <w:rPr>
          <w:rFonts w:ascii="Arial" w:cs="Arial" w:eastAsia="Arial" w:hAnsi="Arial"/>
          <w:sz w:val="18"/>
          <w:szCs w:val="18"/>
          <w:color w:val="auto"/>
        </w:rPr>
        <w:t>) or otherwise derives benefits from the ordinary shares that are taxable as benefits from miscellaneous activities (</w:t>
      </w:r>
      <w:r>
        <w:rPr>
          <w:rFonts w:ascii="Arial" w:cs="Arial" w:eastAsia="Arial" w:hAnsi="Arial"/>
          <w:sz w:val="18"/>
          <w:szCs w:val="18"/>
          <w:i w:val="1"/>
          <w:iCs w:val="1"/>
          <w:color w:val="auto"/>
        </w:rPr>
        <w:t>resultaat uit overige werkzaamheden</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the above-mentioned conditions (i) and (ii) do not apply to the Dutch Resident Individual, the Dutch Resident Individual’s net investment assets (</w:t>
      </w:r>
      <w:r>
        <w:rPr>
          <w:rFonts w:ascii="Arial" w:cs="Arial" w:eastAsia="Arial" w:hAnsi="Arial"/>
          <w:sz w:val="16"/>
          <w:szCs w:val="16"/>
          <w:i w:val="1"/>
          <w:iCs w:val="1"/>
          <w:color w:val="auto"/>
        </w:rPr>
        <w:t>rendementsgrondslag</w:t>
      </w:r>
      <w:r>
        <w:rPr>
          <w:rFonts w:ascii="Arial" w:cs="Arial" w:eastAsia="Arial" w:hAnsi="Arial"/>
          <w:sz w:val="16"/>
          <w:szCs w:val="16"/>
          <w:color w:val="auto"/>
        </w:rPr>
        <w:t>) for the year will be subject to an annual Dutch income tax on a deemed return (with a maximum of 5.53% in 2022) under the regime for savings and investments (</w:t>
      </w:r>
      <w:r>
        <w:rPr>
          <w:rFonts w:ascii="Arial" w:cs="Arial" w:eastAsia="Arial" w:hAnsi="Arial"/>
          <w:sz w:val="16"/>
          <w:szCs w:val="16"/>
          <w:i w:val="1"/>
          <w:iCs w:val="1"/>
          <w:color w:val="auto"/>
        </w:rPr>
        <w:t>inkomen uit sparen en beleggen</w:t>
      </w:r>
      <w:r>
        <w:rPr>
          <w:rFonts w:ascii="Arial" w:cs="Arial" w:eastAsia="Arial" w:hAnsi="Arial"/>
          <w:sz w:val="16"/>
          <w:szCs w:val="16"/>
          <w:color w:val="auto"/>
        </w:rPr>
        <w:t>), insofar the Dutch Resident Individual’s net investment assets for the year exceed a statutory threshold (</w:t>
      </w:r>
      <w:r>
        <w:rPr>
          <w:rFonts w:ascii="Arial" w:cs="Arial" w:eastAsia="Arial" w:hAnsi="Arial"/>
          <w:sz w:val="16"/>
          <w:szCs w:val="16"/>
          <w:i w:val="1"/>
          <w:iCs w:val="1"/>
          <w:color w:val="auto"/>
        </w:rPr>
        <w:t>heffingvrij vermogen</w:t>
      </w:r>
      <w:r>
        <w:rPr>
          <w:rFonts w:ascii="Arial" w:cs="Arial" w:eastAsia="Arial" w:hAnsi="Arial"/>
          <w:sz w:val="16"/>
          <w:szCs w:val="16"/>
          <w:color w:val="auto"/>
        </w:rPr>
        <w:t xml:space="preserve">). The net investment assets for the year are the fair market value of the investment assets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allowable liabilities on January 1 of the relevant calendar year. Our ordinary shares are included as investment assets. For the net investment assets on January 1, 2022, the deemed return ranges from 1.82% up to 5.53% (depending on the aggregate amount of the net investment assets of the Dutch Resident Individual on January 1, 2022). The deemed return will be adjusted annually on the basis of historic market yields.</w:t>
      </w:r>
    </w:p>
    <w:p>
      <w:pPr>
        <w:spacing w:after="0" w:line="166"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deemed return on the Dutch Resident Individual’s net investment assets for the year is taxed at a flat rate of 31% (rate for 2022). Actual income or capital gains realized in respect of the ordinary shares are as such not subject to Dutch income tax.</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December 24, 2021, the Dutch Supreme Court ruled that the Dutch income tax levy on savings and investments, in 2017 and 2018, violated the European Convention on Human Rights. The tax consequences of the Dutch Supreme Court are not immediately clear. The new Dutch Government intends to start calculating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taxation on savings and investments on actual returns realized from savings and investments (instead of on a deemed return) starting in 2025. The Supreme Court ruling could make the Dutch Government move faster on the issue. Prospective investors should carefully consider the tax consequences of this Supreme Court ruling and consult their own tax adviser about their own tax situation.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Non-residents of the Netherlands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 holder of our ordinary shares that is neither a Dutch Resident Entity nor a Dutch Resident Individual will not be subject to Dutch (corporate) income tax in respect of income derived or deemed to be derived from our ordinary shares or in respect of capital gains realized on the disposal or deemed disposal of the ordinary shares, provided that:</w:t>
      </w:r>
    </w:p>
    <w:p>
      <w:pPr>
        <w:spacing w:after="0" w:line="89" w:lineRule="exact"/>
        <w:rPr>
          <w:sz w:val="20"/>
          <w:szCs w:val="20"/>
          <w:color w:val="auto"/>
        </w:rPr>
      </w:pPr>
    </w:p>
    <w:p>
      <w:pPr>
        <w:ind w:left="1080" w:right="14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92"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the holder is an individual, such holder does not carry out any activities in the Netherlands with respect to the ordinary shares that go beyond ordinary asset management and does not derive benefits from the ordinary shares that are taxable as benefits from miscellaneous activities in the Netherlands.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Gift and Inheritance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Residents of the Netherlands</w:t>
      </w:r>
    </w:p>
    <w:p>
      <w:pPr>
        <w:spacing w:after="0" w:line="11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Arial" w:cs="Arial" w:eastAsia="Arial" w:hAnsi="Arial"/>
          <w:sz w:val="17"/>
          <w:szCs w:val="17"/>
          <w:i w:val="1"/>
          <w:iCs w:val="1"/>
          <w:color w:val="auto"/>
        </w:rPr>
        <w:t>’</w:t>
      </w:r>
      <w:r>
        <w:rPr>
          <w:rFonts w:ascii="Arial" w:cs="Arial" w:eastAsia="Arial" w:hAnsi="Arial"/>
          <w:sz w:val="17"/>
          <w:szCs w:val="17"/>
          <w:color w:val="auto"/>
        </w:rPr>
        <w:t>s death.</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Non-residents of the Netherlands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No gift or inheritance taxes will arise in the Netherlands with respect to a transfer of our ordinary shares by way of gift by, or on the death of, a holder of ordinary shares who is neither resident nor deemed to be resident of the Netherlands, unless:</w:t>
      </w:r>
    </w:p>
    <w:p>
      <w:pPr>
        <w:spacing w:after="0" w:line="76" w:lineRule="exact"/>
        <w:rPr>
          <w:sz w:val="20"/>
          <w:szCs w:val="20"/>
          <w:color w:val="auto"/>
        </w:rPr>
      </w:pPr>
    </w:p>
    <w:p>
      <w:pPr>
        <w:ind w:left="1080" w:right="60" w:hanging="532"/>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 or</w:t>
      </w:r>
    </w:p>
    <w:p>
      <w:pPr>
        <w:spacing w:after="0" w:line="89"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 gift of our ordinary shares made under a condition precedent, the holder of ordinary shares is resident or deemed to be resident of the Netherlands at the time the condition is fulfilled; or</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transfer is otherwise construed as a gift or inheritance made by, or on behalf of, a person who, at the time of the gift or death, is or is deemed to be resident of the Netherlands.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Added Tax (VAT)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No Dutch value added tax will be payable by a holder of our ordinary shares in respect of any payment in consideration for the holding or disposal of our ordinary shares.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No Dutch registration tax, transfer tax, stamp duty or any other similar documentary tax or duty will be payable by a holder of our ordinary shares in respect of any payment in consideration for the holding or disposal of our ordinary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have entered into the Sales Agreement with SVB Leerink, relating to the sale of our ordinary shares offered by this prospectus supplement and the accompanying prospectus. In accordance with the terms of the Sales Agreement, we may offer and sell our ordinary shares, nominal value €0.12 per share, having an aggregate offering price of up to $75,000,000 from time to time through SVB Leerink, acting as our agent.</w:t>
      </w:r>
    </w:p>
    <w:p>
      <w:pPr>
        <w:spacing w:after="0" w:line="149"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Sales of our ordinary shares, if any, under this prospectus supplement will be made by any method permitted that is deemed an “at the market offering” as defined in Rule 415 under the Securities Act, including sales made directly on or through Nasdaq, the existing trading market for our ordinary shares, sales made to or through a market maker other than on an exchange or otherwise, and/or any other method permitted by law. If authorized by us in writing, SVB Leerink may purchase our ordinary shares as principal or in block transactions.</w:t>
      </w:r>
    </w:p>
    <w:p>
      <w:pPr>
        <w:spacing w:after="0" w:line="17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SVB Leerink will offer our ordinary shares subject to the terms and conditions of the Sales Agreement on a daily basis or as otherwise agreed upon by us and SVB Leerink. We will designate the maximum number or amount of ordinary shares to be sold through SVB Leerink on a daily basis or otherwise determine such maximum number or amount together with SVB Leerink. Subject to the terms and conditions of the Sales Agreement, SVB Leerink will use commercially reasonable efforts to sell on our behalf all of the ordinary shares requested to be sold by us. SVB Leerink or we may suspend the offering of our ordinary shares being made through SVB Leerink under the Sales Agreement upon proper notice to the other party. SVB Leerink and we each have the right, by giving written notice as specified in the Sales Agreement, to terminate the Sales Agreement in each party’s sole discretion at any time. The offering of our ordinary shares pursuant to the Sales Agreement will otherwise terminate upon the termination of the Sales Agreement as provided therein.</w:t>
      </w:r>
    </w:p>
    <w:p>
      <w:pPr>
        <w:spacing w:after="0" w:line="178"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SVB Leerink will be entitled to compensation at a commission rate of up to 3.0% of the gross sales price per share sold under the Sales Agreement. We have also agreed to reimburse SVB Leerink for outside legal expenses incurred by SVB Leerink in connection with this offering, including SVB Leerink’s counsel fees in an amount up to $75,000 in connection with the filing of this prospectus supplement and up to $15,000 each quarter thereafter. In accordance with FINRA Rule 5510, these reimbursed fees and expenses are deemed sales compensation to SVB Leerink in connection with this offering. We estimate that the total expenses of the offering payable by us, excluding any commissions or expense reimbursement payable to SVB Leerink under the Sales Agreement, will be approximately $150,000.</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remaining sale proceeds, after deducting any commissions and expense reimbursement payable to SVB Leerink and any other transaction fees and expenses payable by us, will equal our net proceeds from the sale of such ordinary shares.</w:t>
      </w:r>
    </w:p>
    <w:p>
      <w:pPr>
        <w:spacing w:after="0" w:line="170"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SVB Leerink will provide written confirmation to us before the open on Nasdaq on the day following each day on which our ordinary shares are sold through it as sales agent under the Sales Agreement. Each confirmation will include the number of ordinary shares sold through it as sales agent on that day, the volume-weighted average price of the ordinary shares sold, the percentage of the daily trading volume and the net proceeds to us.</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Settlement for sales of ordinary shares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will report at least quarterly the number of ordinary shares sold through SVB Leerink under the Sales Agreement, the net proceeds to us and the compensation payable to SVB Leerink in connection with the sales of ordinary shares during the relevant period.</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connection with the sale of our ordinary shares on our behalf, SVB Leerink may be deemed to be an “underwriter” within the meaning of the Securities Act, and the compensation paid SVB Leerink may be deemed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to be underwriting commissions or discounts. We have agreed in the Sales Agreement to provide indemnification and contribution to SVB Leerink against certain civil liabilities, including liabilities under the Securities Act. As sales agent, SVB Leerink will not engage in any transactions that stabilize our ordinary shares.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SVB Leerink and/or its affiliates have provided, and may in the future provide, various investment banking and other financial services for us for which services they have received, and may in the future receive, customary fees.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00"/>
          </w:cols>
          <w:pgMar w:left="320" w:top="459" w:right="5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validity of the ordinary shares and certain other matters of Dutch law will be passed upon for us by NautaDutilh N.V. Certain matters of U.S. federal and New York State law will be passed upon for us by Kirkland &amp; Ellis LLP, New York, New York. Sidley Austin LLP, San Francisco, California, is counsel to SVB Leerink in connection with this offering.</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20-F for the year ended December 31, 2020 have been so incorporated in reliance on the report of PricewaterhouseCoopers Accountants N.V., an independent registered public accounting firm, given on the authority of said firm as experts in auditing and accounting.</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filed with the U.S. Securities and Exchange Commission a registration statement (including amendments and exhibits to the registration statement) on Form F-3 under the Securities Act. Our SEC filings are available to the public over the Internet at the SEC’s website at http://www.sec.gov. Copies of certain information filed by us with the SEC are also available on our website at http://www.pharvaris.com. Our website is not a part of this prospectus supplement and is not incorporated by reference in this prospectus supplement.</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20"/>
          </w:cols>
          <w:pgMar w:left="320" w:top="459" w:right="5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or incorporated by reference subsequent to the date of this prospectus supplement.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Annual Report on Form 20-F for the fiscal year ended December 31, 2020 filed on </w:t>
      </w:r>
      <w:hyperlink r:id="rId41">
        <w:r>
          <w:rPr>
            <w:rFonts w:ascii="Arial" w:cs="Arial" w:eastAsia="Arial" w:hAnsi="Arial"/>
            <w:sz w:val="18"/>
            <w:szCs w:val="18"/>
            <w:u w:val="single" w:color="auto"/>
            <w:color w:val="0000EE"/>
          </w:rPr>
          <w:t>April 29,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15"/>
        </w:numPr>
        <w:rPr>
          <w:rFonts w:ascii="Arial" w:cs="Arial" w:eastAsia="Arial" w:hAnsi="Arial"/>
          <w:sz w:val="17"/>
          <w:szCs w:val="17"/>
          <w:color w:val="0000EE"/>
        </w:rPr>
      </w:pPr>
      <w:r>
        <w:rPr>
          <w:rFonts w:ascii="Arial" w:cs="Arial" w:eastAsia="Arial" w:hAnsi="Arial"/>
          <w:sz w:val="17"/>
          <w:szCs w:val="17"/>
          <w:color w:val="auto"/>
        </w:rPr>
        <w:t xml:space="preserve">Our Forms 6-K filed on </w:t>
      </w:r>
      <w:hyperlink r:id="rId42">
        <w:r>
          <w:rPr>
            <w:rFonts w:ascii="Arial" w:cs="Arial" w:eastAsia="Arial" w:hAnsi="Arial"/>
            <w:sz w:val="17"/>
            <w:szCs w:val="17"/>
            <w:u w:val="single" w:color="auto"/>
            <w:color w:val="0000EE"/>
          </w:rPr>
          <w:t>May 12, 2021</w:t>
        </w:r>
      </w:hyperlink>
      <w:r>
        <w:rPr>
          <w:rFonts w:ascii="Arial" w:cs="Arial" w:eastAsia="Arial" w:hAnsi="Arial"/>
          <w:sz w:val="17"/>
          <w:szCs w:val="17"/>
          <w:color w:val="auto"/>
        </w:rPr>
        <w:t xml:space="preserve">, </w:t>
      </w:r>
      <w:hyperlink r:id="rId43">
        <w:r>
          <w:rPr>
            <w:rFonts w:ascii="Arial" w:cs="Arial" w:eastAsia="Arial" w:hAnsi="Arial"/>
            <w:sz w:val="17"/>
            <w:szCs w:val="17"/>
            <w:u w:val="single" w:color="auto"/>
            <w:color w:val="0000EE"/>
          </w:rPr>
          <w:t>May 26,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exhibit 99.1), </w:t>
      </w:r>
      <w:hyperlink r:id="rId44">
        <w:r>
          <w:rPr>
            <w:rFonts w:ascii="Arial" w:cs="Arial" w:eastAsia="Arial" w:hAnsi="Arial"/>
            <w:sz w:val="17"/>
            <w:szCs w:val="17"/>
            <w:u w:val="single" w:color="auto"/>
            <w:color w:val="0000EE"/>
          </w:rPr>
          <w:t>July 1, 2021</w:t>
        </w:r>
      </w:hyperlink>
      <w:r>
        <w:rPr>
          <w:rFonts w:ascii="Arial" w:cs="Arial" w:eastAsia="Arial" w:hAnsi="Arial"/>
          <w:sz w:val="17"/>
          <w:szCs w:val="17"/>
          <w:color w:val="auto"/>
        </w:rPr>
        <w:t xml:space="preserve">, </w:t>
      </w:r>
      <w:hyperlink r:id="rId45">
        <w:r>
          <w:rPr>
            <w:rFonts w:ascii="Arial" w:cs="Arial" w:eastAsia="Arial" w:hAnsi="Arial"/>
            <w:sz w:val="17"/>
            <w:szCs w:val="17"/>
            <w:u w:val="single" w:color="auto"/>
            <w:color w:val="0000EE"/>
          </w:rPr>
          <w:t>July 30,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exhibit 99.1), </w:t>
      </w:r>
      <w:hyperlink r:id="rId46">
        <w:r>
          <w:rPr>
            <w:rFonts w:ascii="Arial" w:cs="Arial" w:eastAsia="Arial" w:hAnsi="Arial"/>
            <w:sz w:val="17"/>
            <w:szCs w:val="17"/>
            <w:u w:val="single" w:color="auto"/>
            <w:color w:val="0000EE"/>
          </w:rPr>
          <w:t>November 10, 2021</w:t>
        </w:r>
        <w:r>
          <w:rPr>
            <w:rFonts w:ascii="Arial" w:cs="Arial" w:eastAsia="Arial" w:hAnsi="Arial"/>
            <w:sz w:val="17"/>
            <w:szCs w:val="17"/>
            <w:color w:val="0000EE"/>
          </w:rPr>
          <w:t xml:space="preserve"> </w:t>
        </w:r>
      </w:hyperlink>
      <w:r>
        <w:rPr>
          <w:rFonts w:ascii="Arial" w:cs="Arial" w:eastAsia="Arial" w:hAnsi="Arial"/>
          <w:sz w:val="17"/>
          <w:szCs w:val="17"/>
          <w:color w:val="000000"/>
        </w:rPr>
        <w:t>(other</w:t>
      </w:r>
      <w:r>
        <w:rPr>
          <w:rFonts w:ascii="Arial" w:cs="Arial" w:eastAsia="Arial" w:hAnsi="Arial"/>
          <w:sz w:val="17"/>
          <w:szCs w:val="17"/>
          <w:color w:val="0000EE"/>
        </w:rPr>
        <w:t xml:space="preserve"> </w:t>
      </w:r>
      <w:r>
        <w:rPr>
          <w:rFonts w:ascii="Arial" w:cs="Arial" w:eastAsia="Arial" w:hAnsi="Arial"/>
          <w:sz w:val="17"/>
          <w:szCs w:val="17"/>
          <w:color w:val="000000"/>
        </w:rPr>
        <w:t>than exhibit 99.1),</w:t>
      </w:r>
      <w:r>
        <w:rPr>
          <w:rFonts w:ascii="Arial" w:cs="Arial" w:eastAsia="Arial" w:hAnsi="Arial"/>
          <w:sz w:val="17"/>
          <w:szCs w:val="17"/>
          <w:color w:val="0000EE"/>
        </w:rPr>
        <w:t xml:space="preserve"> </w:t>
      </w:r>
      <w:hyperlink r:id="rId47">
        <w:r>
          <w:rPr>
            <w:rFonts w:ascii="Arial" w:cs="Arial" w:eastAsia="Arial" w:hAnsi="Arial"/>
            <w:sz w:val="17"/>
            <w:szCs w:val="17"/>
            <w:u w:val="single" w:color="auto"/>
            <w:color w:val="0000EE"/>
          </w:rPr>
          <w:t>December 7,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48">
        <w:r>
          <w:rPr>
            <w:rFonts w:ascii="Arial" w:cs="Arial" w:eastAsia="Arial" w:hAnsi="Arial"/>
            <w:sz w:val="17"/>
            <w:szCs w:val="17"/>
            <w:u w:val="single" w:color="auto"/>
            <w:color w:val="0000EE"/>
          </w:rPr>
          <w:t xml:space="preserve">December 22, 2021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49">
        <w:r>
          <w:rPr>
            <w:rFonts w:ascii="Arial" w:cs="Arial" w:eastAsia="Arial" w:hAnsi="Arial"/>
            <w:sz w:val="17"/>
            <w:szCs w:val="17"/>
            <w:u w:val="single" w:color="auto"/>
            <w:color w:val="0000EE"/>
          </w:rPr>
          <w:t>January 10, 2022</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and</w:t>
      </w:r>
    </w:p>
    <w:p>
      <w:pPr>
        <w:spacing w:after="0" w:line="51" w:lineRule="exact"/>
        <w:rPr>
          <w:rFonts w:ascii="Arial" w:cs="Arial" w:eastAsia="Arial" w:hAnsi="Arial"/>
          <w:sz w:val="17"/>
          <w:szCs w:val="17"/>
          <w:color w:val="0000EE"/>
        </w:rPr>
      </w:pPr>
    </w:p>
    <w:p>
      <w:pPr>
        <w:ind w:left="1080" w:right="24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our registration statement on Form 8-A filed with the SEC on </w:t>
      </w:r>
      <w:hyperlink r:id="rId50">
        <w:r>
          <w:rPr>
            <w:rFonts w:ascii="Arial" w:cs="Arial" w:eastAsia="Arial" w:hAnsi="Arial"/>
            <w:sz w:val="18"/>
            <w:szCs w:val="18"/>
            <w:u w:val="single" w:color="auto"/>
            <w:color w:val="0000EE"/>
          </w:rPr>
          <w:t>February 4, 2021</w:t>
        </w:r>
      </w:hyperlink>
      <w:r>
        <w:rPr>
          <w:rFonts w:ascii="Arial" w:cs="Arial" w:eastAsia="Arial" w:hAnsi="Arial"/>
          <w:sz w:val="18"/>
          <w:szCs w:val="18"/>
          <w:color w:val="auto"/>
        </w:rPr>
        <w:t xml:space="preserve">, as updated by the description of our ordinary shares filed as </w:t>
      </w:r>
      <w:hyperlink r:id="rId51">
        <w:r>
          <w:rPr>
            <w:rFonts w:ascii="Arial" w:cs="Arial" w:eastAsia="Arial" w:hAnsi="Arial"/>
            <w:sz w:val="18"/>
            <w:szCs w:val="18"/>
            <w:u w:val="single" w:color="auto"/>
            <w:color w:val="0000EE"/>
          </w:rPr>
          <w:t>Exhibit 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20-F for the fiscal year ended December 31, 2020.</w:t>
      </w:r>
    </w:p>
    <w:p>
      <w:pPr>
        <w:spacing w:after="0" w:line="184" w:lineRule="exact"/>
        <w:rPr>
          <w:rFonts w:ascii="Arial" w:cs="Arial" w:eastAsia="Arial" w:hAnsi="Arial"/>
          <w:sz w:val="18"/>
          <w:szCs w:val="18"/>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All annual reports we file with the SEC pursuant to the Exchange Act on Form 20-F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171" w:lineRule="exact"/>
        <w:rPr>
          <w:rFonts w:ascii="Arial" w:cs="Arial" w:eastAsia="Arial" w:hAnsi="Arial"/>
          <w:sz w:val="18"/>
          <w:szCs w:val="18"/>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Documents incorporated by reference in this prospectus supplement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J.H. Oortweg 21, 2333 CH Leiden, The Netherlands or via telephone at +31 (0)71 203 6410.</w:t>
      </w:r>
    </w:p>
    <w:p>
      <w:pPr>
        <w:spacing w:after="0" w:line="11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40"/>
          </w:cols>
          <w:pgMar w:left="320" w:top="459"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60"/>
        <w:spacing w:after="0"/>
        <w:rPr>
          <w:sz w:val="20"/>
          <w:szCs w:val="20"/>
          <w:color w:val="auto"/>
        </w:rPr>
      </w:pPr>
      <w:r>
        <w:rPr>
          <w:rFonts w:ascii="Arial" w:cs="Arial" w:eastAsia="Arial" w:hAnsi="Arial"/>
          <w:sz w:val="30"/>
          <w:szCs w:val="30"/>
          <w:b w:val="1"/>
          <w:bCs w:val="1"/>
          <w:color w:val="auto"/>
        </w:rPr>
        <w:t>Ordinary shares, Debt Securities, Warrants, Purchase Contracts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193040</wp:posOffset>
            </wp:positionV>
            <wp:extent cx="2151380" cy="334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21513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Pharvaris N.V.</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(incorporated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may offer, from time to time, in one or more offerings, ordinary shares, senior debt securities, subordinated debt securities, warrants, purchase contracts or units,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6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33 of this prospectus.</w:t>
      </w:r>
    </w:p>
    <w:p>
      <w:pPr>
        <w:spacing w:after="0" w:line="180" w:lineRule="exact"/>
        <w:rPr>
          <w:sz w:val="20"/>
          <w:szCs w:val="20"/>
          <w:color w:val="auto"/>
        </w:rPr>
      </w:pPr>
    </w:p>
    <w:p>
      <w:pPr>
        <w:ind w:left="120" w:right="560" w:firstLine="440"/>
        <w:spacing w:after="0" w:line="282" w:lineRule="auto"/>
        <w:rPr>
          <w:sz w:val="20"/>
          <w:szCs w:val="20"/>
          <w:color w:val="auto"/>
        </w:rPr>
      </w:pPr>
      <w:r>
        <w:rPr>
          <w:rFonts w:ascii="Arial" w:cs="Arial" w:eastAsia="Arial" w:hAnsi="Arial"/>
          <w:sz w:val="18"/>
          <w:szCs w:val="18"/>
          <w:b w:val="1"/>
          <w:bCs w:val="1"/>
          <w:color w:val="auto"/>
        </w:rPr>
        <w:t>YOU SHOULD READ THIS PROSPECTUS AND ANY SUPPLEMENT TO THIS PROSPECTUS CAREFULLY BEFORE YOU INVEST.</w:t>
      </w:r>
    </w:p>
    <w:p>
      <w:pPr>
        <w:spacing w:after="0" w:line="16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ordinary shares are listed on The Nasdaq Global Select Market under the symbol “PHVS.” On March 10, 2022, the last sale price of our ordinary shares as reported by The Nasdaq Global Select Market was $17.00 per ordinary share.</w:t>
      </w:r>
    </w:p>
    <w:p>
      <w:pPr>
        <w:spacing w:after="0" w:line="17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are an “emerging growth company” and a “foreign private issuer” as defined under the U.S. Securities and Exchange Commission and, as such, we have elected to comply with certain reduced public company reporting requirements for this prospectus supplement and future filings. Please see “Pharvaris N.V.—Implications of Being an “Emerging Growth Company” and a Foreign Private Issuer.”</w:t>
      </w:r>
    </w:p>
    <w:p>
      <w:pPr>
        <w:spacing w:after="0" w:line="161" w:lineRule="exact"/>
        <w:rPr>
          <w:sz w:val="20"/>
          <w:szCs w:val="20"/>
          <w:color w:val="auto"/>
        </w:rPr>
      </w:pPr>
    </w:p>
    <w:p>
      <w:pPr>
        <w:ind w:left="120" w:right="740" w:firstLine="440"/>
        <w:spacing w:after="0" w:line="347"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170815</wp:posOffset>
            </wp:positionV>
            <wp:extent cx="1474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20" w:right="14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7 of this prospectus. In addition, please review any additional risk factors in the accompanying prospectus supplement, any free writing prospectus and any documents we incorporate by reference.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March 10, 2022.</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74" w:lineRule="auto"/>
        <w:rPr>
          <w:sz w:val="20"/>
          <w:szCs w:val="20"/>
          <w:color w:val="auto"/>
        </w:rPr>
      </w:pPr>
      <w:r>
        <w:rPr>
          <w:rFonts w:ascii="Arial" w:cs="Arial" w:eastAsia="Arial" w:hAnsi="Arial"/>
          <w:sz w:val="17"/>
          <w:szCs w:val="17"/>
          <w:b w:val="1"/>
          <w:bCs w:val="1"/>
          <w:color w:val="auto"/>
        </w:rPr>
        <w:t>We have not authorized anyone to provide any information other than that contained in or incorporated by reference in this prospectus and any related prospectus supplement we provide to you. We have not authorized anyone to provide you with different or additional information.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“Pharvaris” “the Company,” “our company,” “we,” “us” or “our” refer to Pharvaris N.V. and its subsidiaries.</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9400" w:type="dxa"/>
            <w:vAlign w:val="bottom"/>
            <w:gridSpan w:val="22"/>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15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SPECIAL NOTE REGARDING FORWARD-LOOKING STATEMENTS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3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PHARVARIS N.V.</w:t>
              </w:r>
            </w:hyperlink>
          </w:p>
        </w:tc>
        <w:tc>
          <w:tcPr>
            <w:tcW w:w="4080" w:type="dxa"/>
            <w:vAlign w:val="bottom"/>
            <w:gridSpan w:val="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340" w:type="dxa"/>
            <w:vAlign w:val="bottom"/>
            <w:tcBorders>
              <w:top w:val="single" w:sz="8" w:color="0000EE"/>
            </w:tcBorders>
            <w:gridSpan w:val="4"/>
          </w:tcPr>
          <w:p>
            <w:pPr>
              <w:spacing w:after="0" w:line="196"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RISK FACTORS</w:t>
              </w:r>
            </w:hyperlink>
          </w:p>
        </w:tc>
        <w:tc>
          <w:tcPr>
            <w:tcW w:w="8060" w:type="dxa"/>
            <w:vAlign w:val="bottom"/>
            <w:gridSpan w:val="1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USE OF PROCEEDS</w:t>
              </w:r>
            </w:hyperlink>
          </w:p>
        </w:tc>
        <w:tc>
          <w:tcPr>
            <w:tcW w:w="7820" w:type="dxa"/>
            <w:vAlign w:val="bottom"/>
            <w:gridSpan w:val="1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570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DESCRIPTION OF SHARE CAPITAL AND ARTICLES OF ASSOCIATION</w:t>
              </w:r>
            </w:hyperlink>
          </w:p>
        </w:tc>
        <w:tc>
          <w:tcPr>
            <w:tcW w:w="3700" w:type="dxa"/>
            <w:vAlign w:val="bottom"/>
            <w:gridSpan w:val="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COMPARISON OF DUTCH LAW AND OUR ARTICLES OF ASSOCIATION AND U.S. CORPORATE LAW</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0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DESCRIPTION OF DEBT SECURITIES</w:t>
              </w:r>
            </w:hyperlink>
          </w:p>
        </w:tc>
        <w:tc>
          <w:tcPr>
            <w:tcW w:w="5100" w:type="dxa"/>
            <w:vAlign w:val="bottom"/>
            <w:tcBorders>
              <w:top w:val="single" w:sz="8" w:color="0000EE"/>
            </w:tcBorders>
            <w:gridSpan w:val="8"/>
          </w:tcPr>
          <w:p>
            <w:pPr>
              <w:spacing w:after="0"/>
              <w:rPr>
                <w:sz w:val="17"/>
                <w:szCs w:val="17"/>
                <w:color w:val="auto"/>
              </w:rPr>
            </w:pPr>
          </w:p>
        </w:tc>
        <w:tc>
          <w:tcPr>
            <w:tcW w:w="128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4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DESCRIPTION OF WARRANTS</w:t>
              </w:r>
            </w:hyperlink>
          </w:p>
        </w:tc>
        <w:tc>
          <w:tcPr>
            <w:tcW w:w="6920" w:type="dxa"/>
            <w:vAlign w:val="bottom"/>
            <w:gridSpan w:val="1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DESCRIPTION OF PURCHASE CONTRACTS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DESCRIPTION OF UNITS</w:t>
              </w:r>
            </w:hyperlink>
          </w:p>
        </w:tc>
        <w:tc>
          <w:tcPr>
            <w:tcW w:w="1520" w:type="dxa"/>
            <w:vAlign w:val="bottom"/>
            <w:tcBorders>
              <w:top w:val="single" w:sz="8" w:color="0000EE"/>
            </w:tcBorders>
            <w:gridSpan w:val="6"/>
          </w:tcPr>
          <w:p>
            <w:pPr>
              <w:spacing w:after="0"/>
              <w:rPr>
                <w:sz w:val="17"/>
                <w:szCs w:val="17"/>
                <w:color w:val="auto"/>
              </w:rPr>
            </w:pPr>
          </w:p>
        </w:tc>
        <w:tc>
          <w:tcPr>
            <w:tcW w:w="5860" w:type="dxa"/>
            <w:vAlign w:val="bottom"/>
            <w:gridSpan w:val="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FORMS OF SECURITIES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PLAN OF DISTRIBUTION</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INCORPORATION OF CERTAIN INFORMATION BY REFERENCE</w:t>
              </w:r>
            </w:hyperlink>
          </w:p>
        </w:tc>
        <w:tc>
          <w:tcPr>
            <w:tcW w:w="4220" w:type="dxa"/>
            <w:vAlign w:val="bottom"/>
            <w:gridSpan w:val="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7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ENFORCEMENT OF JUDGMENTS</w:t>
              </w:r>
            </w:hyperlink>
          </w:p>
        </w:tc>
        <w:tc>
          <w:tcPr>
            <w:tcW w:w="6680" w:type="dxa"/>
            <w:vAlign w:val="bottom"/>
            <w:gridSpan w:val="1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EXPENSES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940" w:type="dxa"/>
            <w:vAlign w:val="bottom"/>
            <w:gridSpan w:val="1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LEGAL MATTERS</w:t>
              </w:r>
            </w:hyperlink>
          </w:p>
        </w:tc>
        <w:tc>
          <w:tcPr>
            <w:tcW w:w="7940" w:type="dxa"/>
            <w:vAlign w:val="bottom"/>
            <w:gridSpan w:val="1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EXPERTS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385"/>
        </w:trPr>
        <w:tc>
          <w:tcPr>
            <w:tcW w:w="7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utilizing a “shelf” registration process. Under this shelf process, we may sell up to $350,000,000 in any combination of the securities described in this prospectus in one or more offerings.</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pursuant to this prospectus, we will provide a prospectus supplement and/or free writing prospectus that will contain specific information about the terms of that offering, including amounts, prices and terms of the securities being offered. The prospectus supplement and/or free writing prospectus may also add, update or change information contained in this prospectus. Any statement made in this prospectus will be modified or superseded by any inconsistent statement made in a prospectus supplement and/or free writing prospectus. If there is any inconsistency between the information in this prospectus and the information in the prospectus supplement or free writing prospectus, you should rely on the information in the prospectus supplement or free writing prospectus, as the case may be. This prospectus may not be used to sell any securities unless accompanied by a prospectus supplement or free writing prospectus.</w:t>
      </w:r>
    </w:p>
    <w:p>
      <w:pPr>
        <w:spacing w:after="0" w:line="166"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You should read this prospectus, any prospectus supplement and free writing prospectus together with the additional information described herein under the heading “Where You Can Find More Information and “Incorporation of Certain Information by Reference.” We have not authorized any person to provide you with different information and we take no responsibility for, and can provide no assurance as to the reliability of, any other information that others may give you. We are not making an offer to sell these securities in any jurisdiction where the offer or sale is not permitted.</w:t>
      </w:r>
    </w:p>
    <w:p>
      <w:pPr>
        <w:spacing w:after="0" w:line="15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You should not assume that the information in this prospectus, any accompanying prospectus supplement or free writing prospectus or any documents we incorporate by reference in this prospectus, any prospectus supplement and free writing prospectus is accurate as of any date other than the date on the front of those documents. Our business, financial condition, results of operations and prospects may have changed since that date.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should not assume that the information contained in this prospectus is accurate as of any other date.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We file annual reports on Form 20-F, reports on Form 6-K, and other information with the SEC under the Securities Exchange Act of 1934, as amended, or the Exchange Act. You may read and copy this information at the following location of the SEC: Public Reference Room, 100 F Street, N.E., Washington, D.C. 20549.</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managing directors and supervisory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and the financial statements and other documents incorporated by reference in this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of 1933, as amended, or the Securities Act, and Section 21E of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following represent some, but not necessarily all, of the factors that could cause actual results to differ from historical results or those anticipated or predicted by our forward-looking statements:</w:t>
      </w:r>
    </w:p>
    <w:p>
      <w:pPr>
        <w:spacing w:after="0" w:line="76" w:lineRule="exact"/>
        <w:rPr>
          <w:sz w:val="20"/>
          <w:szCs w:val="20"/>
          <w:color w:val="auto"/>
        </w:rPr>
      </w:pPr>
    </w:p>
    <w:p>
      <w:pPr>
        <w:ind w:left="1080" w:right="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expected timing, progress or success of our clinical development programs, especially for PHVS416 and PHVS719, which are in early-stage clinical trials;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the COVID-19 pandemic, which may adversely impact our business, preclinical studies and clinical trials, the timing of regulatory approvals and the value of our ordinary shares;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costs and other limitations involved in obtaining regulatory approval for our product candidates PHVS416 and PHVS719 or any other product candidate that we may develop in the future;</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commercial capabilities or enter into agreements with third parties to market, sell and distribute our product candidates;</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third parties to perform critical activities related to the research, development and manufacturing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enter into any new licensing agreements or to maintain any licensing agreements with respect to our product candidates;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collaboration partners and licensees, whose actions we cannot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private insurers and other payors to provide reimbursement for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and other jurisdictions;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and timing of price negotiations with governmental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compete in the pharmaceutical industry and with competitive generic products;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know-how and operate our business without infringing the intellectual property rights or regulatory exclusivity of others;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side effects or adverse events associated with the use of our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defend against costly and damaging liability claims resulting from the testing of our product candidates in the clinic or, if, approved, any commercial sales;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loss of any of our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estimates of market sizes and anticipated uses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estimates of future performance;</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estimates regarding anticipated operating losses, future revenues, expenses, capital requirements and our needs for additional financing;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existing or future laws and regulations in a cost-efficient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negative consequences from changes in applicable laws and regulations, including tax laws;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remediate the material weaknesses in our internal control over financial reporting and to maintain an effective system of internal control over financial reporting;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JOBS Act or a foreign private issuer;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general market, political and economic conditions, including as a result of the current conflict between Russia and Ukraine;</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length and severity of the COVID-19 outbreak and its impact on our business, including our supply chain, clinical trials and operations;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risk factors discussed herein under “Risk Factors” or incorporated herein by reference.</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Additionally, some of the risks and uncertainties identified above may be amplified by the COVID-19 pandemic.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PHARVARIS N.V.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 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 release product candidate, PHVS719, respectively. We commenced our RAPIDe-1 Phase 2 clinical trial of PHVS416 in February 2021 and expect to have Phase 2 data for the acute treatment of patients with HAE attacks in the fourth quarter of 2022. We also commenced a Phase 2 clinical trial for prophylaxis in 2021 using twice-daily dosing of the PHVS416 soft capsules. Our primary objective with this trial is to assess the safety profile of PHVS416 dose regimens for prophylactic treatments in HAE patients. We also initiated a Phase 1 clinical trial with PHVS719 in 2021 to assess pharmacokinetics of the extended-release formulation.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 xml:space="preserve">The offices of Pharvaris N.V. are located at J.H. Oortweg 21, 2333 CH Leiden, The Netherlands. Our telephone number is +31 (0)71 203 6410. Investors should contact us for any inquiries at the address and telephone number of our principal executive office. Our principal website is </w:t>
      </w:r>
      <w:r>
        <w:rPr>
          <w:rFonts w:ascii="Arial" w:cs="Arial" w:eastAsia="Arial" w:hAnsi="Arial"/>
          <w:sz w:val="18"/>
          <w:szCs w:val="18"/>
          <w:i w:val="1"/>
          <w:iCs w:val="1"/>
          <w:color w:val="auto"/>
        </w:rPr>
        <w:t>www.pharvaris.com</w:t>
      </w:r>
      <w:r>
        <w:rPr>
          <w:rFonts w:ascii="Arial" w:cs="Arial" w:eastAsia="Arial" w:hAnsi="Arial"/>
          <w:sz w:val="18"/>
          <w:szCs w:val="18"/>
          <w:color w:val="auto"/>
        </w:rPr>
        <w:t>. The information contained on our website is not a part of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 an exception from compliance with the auditor attestation requirements of Section 404 of the Sarbanes Oxley Act of 2002, as amended, or the Sarbanes-Oxley Act.</w:t>
      </w:r>
    </w:p>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may take advantage of these provisions until such time that we cease to qualify as an emerging growth company. We would cease to qualify as an emerging growth company upon the earliest of: (i) the last day of the fiscal year (A) in which we had more than $1.07 billion in annual revenue,</w:t>
      </w:r>
    </w:p>
    <w:p>
      <w:pPr>
        <w:ind w:left="400" w:hanging="284"/>
        <w:spacing w:after="0"/>
        <w:tabs>
          <w:tab w:leader="none" w:pos="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are deemed to be a “large accelerated filer” under the rules of the SEC, or (C) following the fifth anniversary of the date of the completion</w:t>
      </w:r>
    </w:p>
    <w:p>
      <w:pPr>
        <w:spacing w:after="0" w:line="154"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of our initial public offering (ii) the date on which we issue more than $1.0 billion of non-convertible debt over a three-year period. We may choose to take advantage of some but not all of these reduced reporting requirements. To the extent that we take advantage of these reduced reporting requirements, the information that we provide shareholders may be different than the information you might obtain from other public companies in which you hold equity interests.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also report under the Securities Exchange Act of 1934, as amended, or the Exchange Act, as a non-U.S. company with foreign private issuer status. Even after we no longer qualify as an emerging growth company, as long as we qualify as a foreign private issuer under the Exchange Act we will continue to be exempt from certain provisions of the Exchange Act that are applicable to U.S. domestic public companies, including, but not limited to:</w:t>
      </w:r>
    </w:p>
    <w:p>
      <w:pPr>
        <w:spacing w:after="0" w:line="9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rules under the Exchange Act requiring domestic filers to issue financial statements prepared under U.S. GAAP;</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would cease to be a foreign private issuer at such time as (i) more than 50% of our outstanding voting securities are held by U.S. residents and (ii)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Investing in our securities involves risks. Before making a decision to invest in our securities, you should carefully consider the risks described under “Risk Factors” in the applicable prospectus supplement, as well as those risks and uncertainties identified in the documents incorporated by reference herein, including our most recent Annual Report on Form 20-F, and in any updates to those risk factors in our reports on Form 6-K incorporated herein, together with all of the other information appearing or incorporated by reference in this prospectus and any applicable prospectus supplement, before making an investment in our securities in light of your particular investment objectives and financial circumstances.</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otherwise indicated in a prospectus supplement, the net proceeds from our sale of the securities will be used for general corporate purposes and other business opportunities.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legal and commercial name is Pharvaris N.V. In connection with our initial public offering in the first quarter of 2021, we converted the legal form of our company under Dutch law from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to a public company with limited liability (</w:t>
      </w:r>
      <w:r>
        <w:rPr>
          <w:rFonts w:ascii="Arial" w:cs="Arial" w:eastAsia="Arial" w:hAnsi="Arial"/>
          <w:sz w:val="18"/>
          <w:szCs w:val="18"/>
          <w:i w:val="1"/>
          <w:iCs w:val="1"/>
          <w:color w:val="auto"/>
        </w:rPr>
        <w:t>naamloze vennootschap</w:t>
      </w:r>
      <w:r>
        <w:rPr>
          <w:rFonts w:ascii="Arial" w:cs="Arial" w:eastAsia="Arial" w:hAnsi="Arial"/>
          <w:sz w:val="18"/>
          <w:szCs w:val="18"/>
          <w:color w:val="auto"/>
        </w:rPr>
        <w:t>) and changed our name from Pharvaris B.V. to Pharvaris N.V. Pharvaris B.V. was founded on September 30, 2015 in Leiden, The Netherlands.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registered with the Chamber of Commerce (</w:t>
      </w:r>
      <w:r>
        <w:rPr>
          <w:rFonts w:ascii="Arial" w:cs="Arial" w:eastAsia="Arial" w:hAnsi="Arial"/>
          <w:sz w:val="18"/>
          <w:szCs w:val="18"/>
          <w:i w:val="1"/>
          <w:iCs w:val="1"/>
          <w:color w:val="auto"/>
        </w:rPr>
        <w:t>handelsregister van de Kamer van Koophandel</w:t>
      </w:r>
      <w:r>
        <w:rPr>
          <w:rFonts w:ascii="Arial" w:cs="Arial" w:eastAsia="Arial" w:hAnsi="Arial"/>
          <w:sz w:val="18"/>
          <w:szCs w:val="18"/>
          <w:color w:val="auto"/>
        </w:rPr>
        <w:t>) under number 64239411. Our corporate seat is in Leiden, the Netherlands, and our registered office is also in Leiden, the Netherlands.</w:t>
      </w:r>
    </w:p>
    <w:p>
      <w:pPr>
        <w:spacing w:after="0" w:line="170"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Our authorized share capital is €14,100,000, divided into 58,750,000 ordinary shares, each with a nominal value of €0.12, and 58,750,000 preferred shares, each with a nominal value of €0.12. Our issued share capital was €3,978,225.72 as of December 31, 2021.</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Dutch law, our authorized share capital is the maximum capital that we may issue without amending our Articles of Association. An amendment of our Articles of Association would require a resolution of the general meeting of shareholders upon proposal by our board of directors (the “Board”).</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Initial settlement of any ordinary shares to be issued pursuant to this prospectus will take place through The Depository Trust Company, or DTC, in accordance with its customary settlement procedures for equity securities. Each person owning ordinary shares held through DTC must rely on the procedures thereof and on institutions that have accounts therewith to exercise any rights of a holder of the ordinary shares.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ordinary shares are listed on The Nasdaq Global Select Market, or Nasdaq, under the symbol “PHVS”.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 and Dutch Law</w:t>
      </w:r>
    </w:p>
    <w:p>
      <w:pPr>
        <w:spacing w:after="0" w:line="121"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Set forth below is a summary of relevant information concerning our share capital and material provisions of our Articles of Association and applicable Dutch law. This summary does not constitute legal advice regarding those matters and should not be regarded as such.</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Company’s Shareholders’ Register</w:t>
      </w:r>
    </w:p>
    <w:p>
      <w:pPr>
        <w:spacing w:after="0" w:line="12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Pursuant to Dutch law and the Articles of Association, we must keep our shareholders’ register accurate and up-to-date. The Board keeps our shareholders’ register and records names and addresses of all holders of shares, showing the date on which the shares were acquired, the date of the acknowledgement by or notification of us as well as the amount paid on each share. The register also includes the names and addresses of those with a right of usufruct (</w:t>
      </w:r>
      <w:r>
        <w:rPr>
          <w:rFonts w:ascii="Arial" w:cs="Arial" w:eastAsia="Arial" w:hAnsi="Arial"/>
          <w:sz w:val="18"/>
          <w:szCs w:val="18"/>
          <w:i w:val="1"/>
          <w:iCs w:val="1"/>
          <w:color w:val="auto"/>
        </w:rPr>
        <w:t>vruchtgebruik</w:t>
      </w:r>
      <w:r>
        <w:rPr>
          <w:rFonts w:ascii="Arial" w:cs="Arial" w:eastAsia="Arial" w:hAnsi="Arial"/>
          <w:sz w:val="18"/>
          <w:szCs w:val="18"/>
          <w:color w:val="auto"/>
        </w:rPr>
        <w:t>) in shares belonging to another or a pledge (</w:t>
      </w:r>
      <w:r>
        <w:rPr>
          <w:rFonts w:ascii="Arial" w:cs="Arial" w:eastAsia="Arial" w:hAnsi="Arial"/>
          <w:sz w:val="18"/>
          <w:szCs w:val="18"/>
          <w:i w:val="1"/>
          <w:iCs w:val="1"/>
          <w:color w:val="auto"/>
        </w:rPr>
        <w:t>pandrecht</w:t>
      </w:r>
      <w:r>
        <w:rPr>
          <w:rFonts w:ascii="Arial" w:cs="Arial" w:eastAsia="Arial" w:hAnsi="Arial"/>
          <w:sz w:val="18"/>
          <w:szCs w:val="18"/>
          <w:color w:val="auto"/>
        </w:rPr>
        <w:t>) in respect of such shares. Any ordinary shares to be issued pursuant to this prospectus will be held through DTC, therefore DTC or its nominee will be recorded in the shareholders’ register as the holder of the ordinary shares.</w:t>
      </w:r>
    </w:p>
    <w:p>
      <w:pPr>
        <w:spacing w:after="0" w:line="192"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ordinary shares and preferred shares, if any, shall be in registered form (</w:t>
      </w:r>
      <w:r>
        <w:rPr>
          <w:rFonts w:ascii="Arial" w:cs="Arial" w:eastAsia="Arial" w:hAnsi="Arial"/>
          <w:sz w:val="18"/>
          <w:szCs w:val="18"/>
          <w:i w:val="1"/>
          <w:iCs w:val="1"/>
          <w:color w:val="auto"/>
        </w:rPr>
        <w:t>op naam</w:t>
      </w:r>
      <w:r>
        <w:rPr>
          <w:rFonts w:ascii="Arial" w:cs="Arial" w:eastAsia="Arial" w:hAnsi="Arial"/>
          <w:sz w:val="18"/>
          <w:szCs w:val="18"/>
          <w:color w:val="auto"/>
        </w:rPr>
        <w:t>). We may issue share certificates (</w:t>
      </w:r>
      <w:r>
        <w:rPr>
          <w:rFonts w:ascii="Arial" w:cs="Arial" w:eastAsia="Arial" w:hAnsi="Arial"/>
          <w:sz w:val="18"/>
          <w:szCs w:val="18"/>
          <w:i w:val="1"/>
          <w:iCs w:val="1"/>
          <w:color w:val="auto"/>
        </w:rPr>
        <w:t>aandeelbewijzen</w:t>
      </w:r>
      <w:r>
        <w:rPr>
          <w:rFonts w:ascii="Arial" w:cs="Arial" w:eastAsia="Arial" w:hAnsi="Arial"/>
          <w:sz w:val="18"/>
          <w:szCs w:val="18"/>
          <w:color w:val="auto"/>
        </w:rPr>
        <w:t>) for registered shares in such form as may be approved by our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Objectives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Articles of Association, our corporate objectives are:</w:t>
      </w:r>
    </w:p>
    <w:p>
      <w:pPr>
        <w:spacing w:after="0" w:line="131" w:lineRule="exact"/>
        <w:rPr>
          <w:sz w:val="20"/>
          <w:szCs w:val="20"/>
          <w:color w:val="auto"/>
        </w:rPr>
      </w:pPr>
    </w:p>
    <w:p>
      <w:pPr>
        <w:ind w:left="5580" w:right="3620" w:hanging="4924"/>
        <w:spacing w:after="0" w:line="449" w:lineRule="auto"/>
        <w:tabs>
          <w:tab w:leader="none" w:pos="10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discover, develop and commercialize treatments, including for hereditary angioedema; 9</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89"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incorporate, participate in, finance or hold any other interest in and to conduct the management or supervision of other entities, companies, partnerships and businesses;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acquire, to manage, to invest, to exploit, to encumber and to dispose of assets and liabilities;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do anything which, in the widest sense, is connected with or may be conducive to the objects described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the Rights to Own Ordinary Shares</w:t>
      </w:r>
    </w:p>
    <w:p>
      <w:pPr>
        <w:spacing w:after="0" w:line="121"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 Our preferred shares shall only be issued to the protective foundation, if and when incorporated.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Under Dutch law,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No indemnification shall be given to an indemnified person:</w:t>
      </w:r>
    </w:p>
    <w:p>
      <w:pPr>
        <w:spacing w:after="0" w:line="93" w:lineRule="exact"/>
        <w:rPr>
          <w:sz w:val="20"/>
          <w:szCs w:val="20"/>
          <w:color w:val="auto"/>
        </w:rPr>
      </w:pPr>
    </w:p>
    <w:p>
      <w:pPr>
        <w:ind w:left="1080" w:right="320" w:hanging="424"/>
        <w:spacing w:after="0" w:line="279"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76" w:lineRule="exact"/>
        <w:rPr>
          <w:rFonts w:ascii="Arial" w:cs="Arial" w:eastAsia="Arial" w:hAnsi="Arial"/>
          <w:sz w:val="17"/>
          <w:szCs w:val="17"/>
          <w:color w:val="auto"/>
        </w:rPr>
      </w:pPr>
    </w:p>
    <w:p>
      <w:pPr>
        <w:ind w:left="1080" w:right="6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51"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relation to proceedings brought by such indemnified person against the Company, except for proceedings brought to enforce indemnification to which 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92"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Under our Articles of Association, our Board may stipulate additional terms, conditions and restrictions in relation to the indemnification described above.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Meetings and Consents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General meetings must be held in the Netherlands, in any of the locations specified in our articles of association.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shareholders’ equity (</w:t>
      </w:r>
      <w:r>
        <w:rPr>
          <w:rFonts w:ascii="Arial" w:cs="Arial" w:eastAsia="Arial" w:hAnsi="Arial"/>
          <w:sz w:val="18"/>
          <w:szCs w:val="18"/>
          <w:i w:val="1"/>
          <w:iCs w:val="1"/>
          <w:color w:val="auto"/>
        </w:rPr>
        <w:t>eigen</w:t>
      </w:r>
      <w:r>
        <w:rPr>
          <w:rFonts w:ascii="Arial" w:cs="Arial" w:eastAsia="Arial" w:hAnsi="Arial"/>
          <w:sz w:val="18"/>
          <w:szCs w:val="18"/>
          <w:color w:val="auto"/>
        </w:rPr>
        <w:t xml:space="preserve"> </w:t>
      </w:r>
      <w:r>
        <w:rPr>
          <w:rFonts w:ascii="Arial" w:cs="Arial" w:eastAsia="Arial" w:hAnsi="Arial"/>
          <w:sz w:val="18"/>
          <w:szCs w:val="18"/>
          <w:i w:val="1"/>
          <w:iCs w:val="1"/>
          <w:color w:val="auto"/>
        </w:rPr>
        <w:t>vermogen</w:t>
      </w:r>
      <w:r>
        <w:rPr>
          <w:rFonts w:ascii="Arial" w:cs="Arial" w:eastAsia="Arial" w:hAnsi="Arial"/>
          <w:sz w:val="18"/>
          <w:szCs w:val="18"/>
          <w:color w:val="auto"/>
        </w:rPr>
        <w:t>) has decreased to an amount equal to or lower than half of our paid-in and called-up share capital, in order to discuss the measures to be taken</w:t>
      </w:r>
      <w:r>
        <w:rPr>
          <w:rFonts w:ascii="Arial" w:cs="Arial" w:eastAsia="Arial" w:hAnsi="Arial"/>
          <w:sz w:val="18"/>
          <w:szCs w:val="18"/>
          <w:i w:val="1"/>
          <w:iCs w:val="1"/>
          <w:color w:val="auto"/>
        </w:rPr>
        <w:t xml:space="preserve"> </w:t>
      </w:r>
      <w:r>
        <w:rPr>
          <w:rFonts w:ascii="Arial" w:cs="Arial" w:eastAsia="Arial" w:hAnsi="Arial"/>
          <w:sz w:val="18"/>
          <w:szCs w:val="18"/>
          <w:color w:val="auto"/>
        </w:rPr>
        <w:t>if so required.</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7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our statutory annual accounts, appropriation of our profits and proposals relating to the composition of the Board, including the filling of any vacancies in the Board. In addition, the agenda shall include such items as have been included therein by the Board. 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accordance with the Dutch Corporate Governance Code,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of directors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6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 of directors.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general meeting is presided over by the chairperson of the Board. If no chairperson has been elected or if he or she is not present at the meeting, the general meeting shall be presided over by the vice-chairperson. If no vice-chairperson has been elected or if he or she is not present at the meeting, the general meeting shall be presided over by another person designated in accordance with our articles of association.. Our directors may always attend a general meeting. In these meetings, they have an advisory vote. The chairperson of the meeting may decide at his or her discretion to admit other persons to the meeting.</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and Voting Requirements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ordinary share and each preferred share, if any are outstanding, confers the right on the holder to cast one vote at the general meeting.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Shareholders may vote by proxy. No votes may be cast at a general meeting on shares held by us or our subsidiaries or on shares for which we or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subsidiaries hold depository receipts. Nonetheless, the holders of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respect of shares held by us or our subsidiaries in our share capital are not excluded from the right to vote on such shares, if the right of usufruct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nor any of our subsidiaries may cast 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pledge (</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 to voting rights pursuant to the preceding sentences will not be taken into account for the purpose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determining the number of shareholders that vote and that are present or represented, or the amount of the share capital that is provided or that 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represented at a general meeting.</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Decisions of the general meeting are taken by a simple majority of votes cast, except where Dutch law or our Articles of Association provide for a qualified majority or unanimity.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of Directors</w:t>
      </w:r>
    </w:p>
    <w:p>
      <w:pPr>
        <w:spacing w:after="0" w:line="117"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7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Duties and Liabilities of Directors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Under Dutch law, our Board is charged with the management of the Company, which includes setting the Company’s policies and strategy, subject to the restrictions contained in our Articles of Association.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executive directors manage our day-to-day business and operations and implement our strategy. The non-executive directors focus on the supervision on the policy and functioning of the performance of the duties of all of our directors, and our general state of affairs. Our directors may divide their tasks among themselves in or pursuant to internal rules.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6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Board is entitled to represent our Company. The power to represent our Company also vests in our chief executive officer, as well in any two executive director acting jointly.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Amount Available for Distribution</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Under Dutch law, we may only pay dividends and other distributions from our reserves to the extent our shareholders’ equity (</w:t>
      </w:r>
      <w:r>
        <w:rPr>
          <w:rFonts w:ascii="Arial" w:cs="Arial" w:eastAsia="Arial" w:hAnsi="Arial"/>
          <w:sz w:val="18"/>
          <w:szCs w:val="18"/>
          <w:i w:val="1"/>
          <w:iCs w:val="1"/>
          <w:color w:val="auto"/>
        </w:rPr>
        <w:t>eigen vermogen</w:t>
      </w:r>
      <w:r>
        <w:rPr>
          <w:rFonts w:ascii="Arial" w:cs="Arial" w:eastAsia="Arial" w:hAnsi="Arial"/>
          <w:sz w:val="18"/>
          <w:szCs w:val="18"/>
          <w:color w:val="auto"/>
        </w:rPr>
        <w:t>)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Under our articles of association, if any preferred shares are or have been outstanding, a dividend is first paid out of our profits, if available for distribution, to the holders or former holders, as applicable, of those preferred shares to the extent they are entitled to such distribution under our Articles of Association, which we refer to as our preferred dividend. Thereafter, our Board may decide that all or part of the remaining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 Our Board is permitted, subject to certain requirements and applicable restrictions of Dutch law, to declare interim dividends without the approval of our general meeting. Dividends and other distributions shall be made payable no later than a date determined by us.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Controls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8"/>
          <w:szCs w:val="18"/>
          <w:i w:val="1"/>
          <w:iCs w:val="1"/>
          <w:color w:val="auto"/>
        </w:rPr>
        <w:t>Sanctiewet 1977</w:t>
      </w:r>
      <w:r>
        <w:rPr>
          <w:rFonts w:ascii="Arial" w:cs="Arial" w:eastAsia="Arial" w:hAnsi="Arial"/>
          <w:sz w:val="18"/>
          <w:szCs w:val="18"/>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our Articles of Association or Dutch law that limit the right of shareholders who are not citizens or residents of the Netherlands to hold or vote shares.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Squeeze-out Procedures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shareholder who holds at least 95% of our issued share capital for his or her own account, alone or together with group companies, may initiate proceedings against the other shareholders jointly for the transfer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Arial" w:cs="Arial" w:eastAsia="Arial" w:hAnsi="Arial"/>
          <w:sz w:val="16"/>
          <w:szCs w:val="16"/>
          <w:i w:val="1"/>
          <w:iCs w:val="1"/>
          <w:color w:val="auto"/>
        </w:rPr>
        <w:t>Wetboek van Burgerlijke Rechtsvordering</w:t>
      </w:r>
      <w:r>
        <w:rPr>
          <w:rFonts w:ascii="Arial" w:cs="Arial" w:eastAsia="Arial" w:hAnsi="Arial"/>
          <w:sz w:val="16"/>
          <w:szCs w:val="16"/>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Dissolution and Liquidation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debts, if any preferred shares are or have been outstanding, a liquidation distribution equal to the preferred dividend is first paid out to the holders or former holders of those preferred shares (to the extent they are entitled to such distribution under our Articles of Association). Thereafter, any remaining assets shall be distributed to the holders of ordinary shares in proportion to their ordinary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Dutch Financial Reporting Supervision Act</w:t>
      </w:r>
    </w:p>
    <w:p>
      <w:pPr>
        <w:spacing w:after="0" w:line="12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On the basis of the Dutch Financial Reporting Supervision Act (</w:t>
      </w:r>
      <w:r>
        <w:rPr>
          <w:rFonts w:ascii="Arial" w:cs="Arial" w:eastAsia="Arial" w:hAnsi="Arial"/>
          <w:sz w:val="18"/>
          <w:szCs w:val="18"/>
          <w:i w:val="1"/>
          <w:iCs w:val="1"/>
          <w:color w:val="auto"/>
        </w:rPr>
        <w:t>Wet toezicht financiële verslaggeving</w:t>
      </w:r>
      <w:r>
        <w:rPr>
          <w:rFonts w:ascii="Arial" w:cs="Arial" w:eastAsia="Arial" w:hAnsi="Arial"/>
          <w:sz w:val="18"/>
          <w:szCs w:val="18"/>
          <w:color w:val="auto"/>
        </w:rPr>
        <w:t>), or the FRSA, the Dutch Authority for the Financial Markets (</w:t>
      </w:r>
      <w:r>
        <w:rPr>
          <w:rFonts w:ascii="Arial" w:cs="Arial" w:eastAsia="Arial" w:hAnsi="Arial"/>
          <w:sz w:val="18"/>
          <w:szCs w:val="18"/>
          <w:i w:val="1"/>
          <w:iCs w:val="1"/>
          <w:color w:val="auto"/>
        </w:rPr>
        <w:t>Stichting Autoriteit Financiële Markten</w:t>
      </w:r>
      <w:r>
        <w:rPr>
          <w:rFonts w:ascii="Arial" w:cs="Arial" w:eastAsia="Arial" w:hAnsi="Arial"/>
          <w:sz w:val="18"/>
          <w:szCs w:val="18"/>
          <w:color w:val="auto"/>
        </w:rPr>
        <w:t>), or AFM, supervises the application of financial reporting standards by Dutch companies whose securities are listed on a Dutch or foreign stock exchange.</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Pursuant to the FRSA, the AFM has an independent right to (i) request an explanation from us regarding our application of the applicable financial reporting standards if, based on publicly known facts or circumstances, it has reason to doubt that our financial reporting meets such standards and</w:t>
      </w:r>
    </w:p>
    <w:p>
      <w:pPr>
        <w:ind w:left="120" w:right="80" w:hanging="4"/>
        <w:spacing w:after="0" w:line="253" w:lineRule="auto"/>
        <w:tabs>
          <w:tab w:leader="none" w:pos="3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COMPARISON OF DUTCH LAW AND OUR ARTICLES OF ASSOCIATION AND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 CORPORATE LAW</w:t>
      </w:r>
    </w:p>
    <w:p>
      <w:pPr>
        <w:spacing w:after="0" w:line="21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Dutch Corporate Governance Code</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a listed Dutch public company with limited liability (</w:t>
      </w:r>
      <w:r>
        <w:rPr>
          <w:rFonts w:ascii="Arial" w:cs="Arial" w:eastAsia="Arial" w:hAnsi="Arial"/>
          <w:sz w:val="17"/>
          <w:szCs w:val="17"/>
          <w:i w:val="1"/>
          <w:iCs w:val="1"/>
          <w:color w:val="auto"/>
        </w:rPr>
        <w:t>naamloze vennootschap</w:t>
      </w:r>
      <w:r>
        <w:rPr>
          <w:rFonts w:ascii="Arial" w:cs="Arial" w:eastAsia="Arial" w:hAnsi="Arial"/>
          <w:sz w:val="17"/>
          <w:szCs w:val="17"/>
          <w:color w:val="auto"/>
        </w:rPr>
        <w:t>),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statutory annual reports whether they comply with the provisions of the DCGC. If a company subject to the DCGC does not comply with those provisions, that company would be required to give the reasons for such non-compliance. We do not comply with all best practice provisions of the DCGC. As of the date of this prospectus, our main deviations from the DCGC are summarized below, but we cannot exclude the possibility of deviating from additional provisions of the DCGC after the date of this prospectus, including in order to follow market practice or governance practices in the United States.</w:t>
      </w:r>
    </w:p>
    <w:p>
      <w:pPr>
        <w:spacing w:after="0" w:line="178"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w:t>
      </w:r>
    </w:p>
    <w:p>
      <w:pPr>
        <w:spacing w:after="0" w:line="2" w:lineRule="exact"/>
        <w:rPr>
          <w:sz w:val="20"/>
          <w:szCs w:val="20"/>
          <w:color w:val="auto"/>
        </w:rPr>
      </w:pPr>
    </w:p>
    <w:p>
      <w:pPr>
        <w:ind w:left="120" w:right="580"/>
        <w:spacing w:after="0" w:line="290" w:lineRule="auto"/>
        <w:rPr>
          <w:sz w:val="20"/>
          <w:szCs w:val="20"/>
          <w:color w:val="auto"/>
        </w:rPr>
      </w:pPr>
      <w:r>
        <w:rPr>
          <w:rFonts w:ascii="Arial" w:cs="Arial" w:eastAsia="Arial" w:hAnsi="Arial"/>
          <w:sz w:val="17"/>
          <w:szCs w:val="17"/>
          <w:color w:val="auto"/>
        </w:rPr>
        <w:t>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6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DCGC recommends against providing equity awards as part of the compensation of a non-executive director. However, consistent with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market practice, we have granted equity awards to our non-executive directors.</w:t>
      </w:r>
    </w:p>
    <w:p>
      <w:pPr>
        <w:spacing w:after="0" w:line="21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Our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Duties of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We have a one-tier board structure consisting of a board of directors comprising executive and non-executive directors..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Under Dutch law, our Board is charged with the management of the company, which includes setting the company’s policies and strategy, subject to the restrictions contained in our Articles of Association. Our executive directors manage our day-to-day business and operations and implement our strategy. Our non-executive directors focus on the supervision on the policy and functioning of the performance of the duties of all of our directors and our general state of affairs. Our directors may divide their tasks among themselves in or pursuant to internal rules. Each directors has a statutory duty to act in the corporate interest of our company and its business. Under Dutch law, the corporate interest extends to the interests of all corporate stakeholders, such as shareholders, creditors, employees, customers and suppliers. The duty to act in the corporate interest of our company also applies in the event of a proposed sale or break-up of our company, provided that the circumstances generally dictate how such duty is to be applied and how the respective interests of various groups of stakeholders should be weighed.</w:t>
      </w:r>
    </w:p>
    <w:p>
      <w:pPr>
        <w:spacing w:after="0" w:line="17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Board is entitled to represent our company. The power to represent our company also vests in our chief executive officer, as well as in any other two executive directors acting jointly.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Any resolution of our Board regarding a material change in our identity or character requires approval of the general meeting. The absence of the approval of the general meeting shall result in the relevant resolution being null and void but shall not affect the powers of representation of the Board or of the executive directors.</w:t>
      </w:r>
    </w:p>
    <w:p>
      <w:pPr>
        <w:spacing w:after="0" w:line="18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The board of directors bears the ultimate responsibility for managing the business and affairs of a corporation. In discharging this</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terms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The DCGC provides the following best practice recommendations on the terms for tenure of our directors:</w:t>
      </w:r>
    </w:p>
    <w:p>
      <w:pPr>
        <w:spacing w:after="0" w:line="131" w:lineRule="exact"/>
        <w:rPr>
          <w:sz w:val="20"/>
          <w:szCs w:val="20"/>
          <w:color w:val="auto"/>
        </w:rPr>
      </w:pPr>
    </w:p>
    <w:p>
      <w:pPr>
        <w:ind w:left="1080" w:right="2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directors should be appointed for a maximum period of four years, without limiting the number of consecutive terms they may serve; and</w:t>
      </w:r>
    </w:p>
    <w:p>
      <w:pPr>
        <w:spacing w:after="0" w:line="75"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non-executive directors should be appointed for two consecutive periods of no more than four years. Thereafter, non-executive directors may be reappointed for a maximum of two consecutive periods of no more than two years, provided that the reasons for any reappointment after an eight-year term of office should be disclosed in the Company’s statutory annual report.</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the issued share capital, unless the resolution is passed at the proposal of the board of directors,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generally provides for a one-year term for directors, but permits directorships to be divided</w:t>
      </w:r>
      <w:r>
        <w:rPr>
          <w:rFonts w:ascii="Arial" w:cs="Arial" w:eastAsia="Arial" w:hAnsi="Arial"/>
          <w:sz w:val="18"/>
          <w:szCs w:val="18"/>
          <w:i w:val="1"/>
          <w:iCs w:val="1"/>
          <w:color w:val="auto"/>
        </w:rPr>
        <w:t xml:space="preserve"> </w:t>
      </w:r>
      <w:r>
        <w:rPr>
          <w:rFonts w:ascii="Arial" w:cs="Arial" w:eastAsia="Arial" w:hAnsi="Arial"/>
          <w:sz w:val="18"/>
          <w:szCs w:val="18"/>
          <w:color w:val="auto"/>
        </w:rPr>
        <w:t>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vacancies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Our Board can temporarily fill vacancies in its midst caused by temporary absence or incapacity of directors without requiring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vote. If all of our directors are absent or incapacitated, our management shall be attributed to the person who most recently ceased to hold office as the chairperson of our Board, provided that if such former chairperson is unwilling or unable to accept that position, our management shall be attributed to the person who most recently ceased to hold office as our chief executive officer. If such former chief executive officer would also be unwilling or unable to accept that position, our management shall be attributed to one or more persons whom the general meeting has designated for that purpose. The person(s) charged with our management in this manner may designate one or more persons to be charged with our management instead of, or together with, such person(s).</w:t>
      </w:r>
    </w:p>
    <w:p>
      <w:pPr>
        <w:spacing w:after="0" w:line="19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Under Dutch law, directors are appointed and re-appointed by the general meeting. Under our Articles of Association, directors are appointed by the general meeting upon the binding nomination by our Board. However, the general meeting may at all times overrule a binding nomination by a resolution adopted by at least a two-thirds majority of the votes cast, provided such majority represents more than half of the issued share capital. If the general meeting overrules a binding nomination, the Board shall make a new nomination.</w:t>
      </w:r>
    </w:p>
    <w:p>
      <w:pPr>
        <w:spacing w:after="0" w:line="18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The Delaware General Corporation Law provides that vacancies and newly created directorships may be filled by a majority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then in office (even though less than a quorum) unless (i) otherwise provided in the certificate of incorporation or bylaws of the corporation or</w:t>
      </w:r>
    </w:p>
    <w:p>
      <w:pPr>
        <w:ind w:left="120" w:right="40" w:hanging="4"/>
        <w:spacing w:after="0" w:line="260" w:lineRule="auto"/>
        <w:tabs>
          <w:tab w:leader="none" w:pos="3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certificate of incorporation directs that a particular class of stock is to elect such director, in which case any other directors elected by such class, or a sole remaining director elected by such class, will fill such vacancy.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Conflict-of-interest transactions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Under Dutch law and our Articles of Association, our directors shall not take part in any discussion or decision-making that</w:t>
      </w:r>
      <w:r>
        <w:rPr>
          <w:rFonts w:ascii="Arial" w:cs="Arial" w:eastAsia="Arial" w:hAnsi="Arial"/>
          <w:sz w:val="17"/>
          <w:szCs w:val="17"/>
          <w:i w:val="1"/>
          <w:iCs w:val="1"/>
          <w:color w:val="auto"/>
        </w:rPr>
        <w:t xml:space="preserve"> </w:t>
      </w:r>
      <w:r>
        <w:rPr>
          <w:rFonts w:ascii="Arial" w:cs="Arial" w:eastAsia="Arial" w:hAnsi="Arial"/>
          <w:sz w:val="17"/>
          <w:szCs w:val="17"/>
          <w:color w:val="auto"/>
        </w:rPr>
        <w:t>involves a subject or transaction in relation to which he or she has a direct or indirect personal conflict of interest with us. Such a conflict of interest would generally arise if the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DCGC provides the following best practice recommendations in relation to conflicts of interests in respect of directors:</w:t>
      </w:r>
    </w:p>
    <w:p>
      <w:pPr>
        <w:spacing w:after="0" w:line="131" w:lineRule="exact"/>
        <w:rPr>
          <w:sz w:val="20"/>
          <w:szCs w:val="20"/>
          <w:color w:val="auto"/>
        </w:rPr>
      </w:pPr>
    </w:p>
    <w:p>
      <w:pPr>
        <w:ind w:left="1080" w:right="3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director should report any potential conflict of interest in a transaction that is of material significance to the Company and/or to such director to the other directors without delay, providing all relevant information in relation to the conflict;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of directors should decide, outside the presence of the director concerned, whether there is a conflict of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transactions in which there is a conflict of interest with a director should be agreed on arms’ length terms; and</w:t>
      </w:r>
    </w:p>
    <w:p>
      <w:pPr>
        <w:spacing w:after="0" w:line="130" w:lineRule="exact"/>
        <w:rPr>
          <w:rFonts w:ascii="Arial" w:cs="Arial" w:eastAsia="Arial" w:hAnsi="Arial"/>
          <w:sz w:val="18"/>
          <w:szCs w:val="18"/>
          <w:color w:val="auto"/>
        </w:rPr>
      </w:pPr>
    </w:p>
    <w:p>
      <w:pPr>
        <w:ind w:left="1080" w:right="44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decision to enter into such a transaction in which there is a conflict of interest with a director that is of material significance to the Company and/or to such director shall require the approval of the board of directors, and such transactions should be disclosed in the Company’s annual board report.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transactions involving a Delaware corporation and an interested director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would not be voidable if:</w:t>
      </w:r>
    </w:p>
    <w:p>
      <w:pPr>
        <w:spacing w:after="0" w:line="76" w:lineRule="exact"/>
        <w:rPr>
          <w:sz w:val="20"/>
          <w:szCs w:val="20"/>
          <w:color w:val="auto"/>
        </w:rPr>
      </w:pPr>
    </w:p>
    <w:p>
      <w:pPr>
        <w:ind w:left="1080" w:right="2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material facts are disclosed or known as to the director’s relationship or interest and the transaction is specifically approved in good faith by vote of the majority of shares entitled to vote thereon; or</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Proxy voting by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An absent director may issue a proxy for a specific board meeting but only to another director in writing or by electronic means.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 director of a Delaware corporation may not issue a proxy representing the director’s voting rights as a director.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In accordance with Dutch law and our Articles of Association, each issued ordinary share and each issued preferred share, if any</w:t>
      </w:r>
      <w:r>
        <w:rPr>
          <w:rFonts w:ascii="Arial" w:cs="Arial" w:eastAsia="Arial" w:hAnsi="Arial"/>
          <w:sz w:val="17"/>
          <w:szCs w:val="17"/>
          <w:i w:val="1"/>
          <w:iCs w:val="1"/>
          <w:color w:val="auto"/>
        </w:rPr>
        <w:t xml:space="preserve"> </w:t>
      </w:r>
      <w:r>
        <w:rPr>
          <w:rFonts w:ascii="Arial" w:cs="Arial" w:eastAsia="Arial" w:hAnsi="Arial"/>
          <w:sz w:val="17"/>
          <w:szCs w:val="17"/>
          <w:color w:val="auto"/>
        </w:rPr>
        <w:t>are outstanding, confers the right to cast one vote at the general meeting. No votes may be cast at a general meeting on shares held by us or our subsidiaries or on shares for which we or our subsidiaries hold depository receipts. Nonetheless, the holders of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 respect of shares held by us or our subsidiaries in our share capital are not excluded from the right to vote on such shares, if the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the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8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calendar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7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each stockholder is entitled to one vote per share of stock, unless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proposals</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Pursuant to Dutch law, one or more shareholders or others with meeting rights under Dutch law who jointly represent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one-tenth of our issued share capital may request us to convene a general meeting, setting out in detail the matters to be discussed. If we have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7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agenda for our general meetings shall also include such items requested by one or more shareholders or others with meeting rights under Dutch law representing at least 3% of our issued share capital. These requests must be made in writing or by electronic means and received by us at least 60 days before the day of the meeting. No resolutions shall be adopted on items other than those that have been included in the agenda.</w:t>
      </w:r>
    </w:p>
    <w:p>
      <w:pPr>
        <w:spacing w:after="0" w:line="14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accordance with the Dutch Corporate Governance Code, or DCGC,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 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89" w:lineRule="exact"/>
        <w:rPr>
          <w:sz w:val="20"/>
          <w:szCs w:val="20"/>
          <w:color w:val="auto"/>
        </w:rPr>
      </w:pPr>
    </w:p>
    <w:p>
      <w:pPr>
        <w:ind w:left="1080" w:right="260" w:hanging="424"/>
        <w:spacing w:after="0" w:line="308"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cannot reasonably believe that a continuation of the cooling-off period would contribute to careful policy-making; or</w:t>
      </w:r>
    </w:p>
    <w:p>
      <w:pPr>
        <w:spacing w:after="0" w:line="130"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Delaware law does not specifically grant stockholders the right to bring business before an annual or special meeting. Delaware law</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Action by written consent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The Netherlands</w:t>
      </w:r>
      <w:r>
        <w:rPr>
          <w:rFonts w:ascii="Arial" w:cs="Arial" w:eastAsia="Arial" w:hAnsi="Arial"/>
          <w:sz w:val="16"/>
          <w:szCs w:val="16"/>
          <w:color w:val="auto"/>
        </w:rPr>
        <w:t>. Under Dutch law, shareholders’ resolutions may be adopted in writing without holding a meeting of shareholders, provided that</w:t>
      </w:r>
    </w:p>
    <w:p>
      <w:pPr>
        <w:spacing w:after="0" w:line="46" w:lineRule="exact"/>
        <w:rPr>
          <w:sz w:val="20"/>
          <w:szCs w:val="20"/>
          <w:color w:val="auto"/>
        </w:rPr>
      </w:pPr>
    </w:p>
    <w:p>
      <w:pPr>
        <w:ind w:left="120" w:right="220" w:hanging="4"/>
        <w:spacing w:after="0" w:line="253"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93"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Although permitted by Delaware law, publicly listed companies do not typically permit stockholders of a corporation to take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Appraisal rights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Subject to certain exceptions, Dutch law does not recognize the concept of appraisal or dissenters’ rights. However, Dutch law</w:t>
      </w:r>
      <w:r>
        <w:rPr>
          <w:rFonts w:ascii="Arial" w:cs="Arial" w:eastAsia="Arial" w:hAnsi="Arial"/>
          <w:sz w:val="18"/>
          <w:szCs w:val="18"/>
          <w:i w:val="1"/>
          <w:iCs w:val="1"/>
          <w:color w:val="auto"/>
        </w:rPr>
        <w:t xml:space="preserve"> </w:t>
      </w:r>
      <w:r>
        <w:rPr>
          <w:rFonts w:ascii="Arial" w:cs="Arial" w:eastAsia="Arial" w:hAnsi="Arial"/>
          <w:sz w:val="18"/>
          <w:szCs w:val="18"/>
          <w:color w:val="auto"/>
        </w:rPr>
        <w:t>does 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92"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for stockholder appraisal rights, or the right to demand payment in cash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judicially determined fair value of the stockholder’s shares, in connection with certain mergers and consolidations.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suits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In the event a third-party is liable to a Dutch company, only the Company itself can bring a civil action against that party.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shareholders do not have the right to bring an action on behalf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our directors and officers can still be subject to liability under U.S. securities laws.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Articles of Association provide that the sole and exclusive forum for any complaint asserting a cause of action arising under the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Act of 1933, as amended, to the fullest extent permitted by applicable law, shall be the U.S. federal district courts.</w:t>
      </w:r>
    </w:p>
    <w:p>
      <w:pPr>
        <w:spacing w:after="0" w:line="21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stockholder may bring a derivative action on behalf of the corporation to enforce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Repurchase of shares</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when issuing shares, a public company such as ours may not subscribe for newly issued shares in its own</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Arial" w:cs="Arial" w:eastAsia="Arial" w:hAnsi="Arial"/>
          <w:sz w:val="17"/>
          <w:szCs w:val="17"/>
          <w:i w:val="1"/>
          <w:iCs w:val="1"/>
          <w:color w:val="auto"/>
        </w:rPr>
        <w:t>pandrecht</w:t>
      </w:r>
      <w:r>
        <w:rPr>
          <w:rFonts w:ascii="Arial" w:cs="Arial" w:eastAsia="Arial" w:hAnsi="Arial"/>
          <w:sz w:val="17"/>
          <w:szCs w:val="17"/>
          <w:color w:val="auto"/>
        </w:rPr>
        <w:t>) or which are held by a subsidiary of the company, would not exceed 50% of its then-current issued share capital. Such company may only acquire its own shares if its general meeting has granted the board of directors the authority to effect such acquisitions.</w:t>
      </w:r>
    </w:p>
    <w:p>
      <w:pPr>
        <w:spacing w:after="0" w:line="18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An acquisition by us of shares in our capital for a consideration must be authorized by our general meeting. Such authorization may be granted for a maximum period of 18 months and must specify the number of shares that may be acquired, the manner in which shares may be acquired and the price limits within which ordinary shares may be acquired. The actual acquisition may only be effected pursuant to a resolution of our Board. On February 1, 2021, our general meeting adopted a resolution pursuant to which our Board is authorized, for a period of 18 months following February 9, 2021, to cause the repurchase of ordinary shares (or depositary receipts for ordinary shares) by us of up to 10% of our issued share capital, for a price per share not exceeding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 No authorization of the general meeting is required if fully paid ordinary shares are acquired by us with the intention of transferring such ordinary shares to our employees under an applicable employee stock purchase plan.</w:t>
      </w:r>
    </w:p>
    <w:p>
      <w:pPr>
        <w:spacing w:after="0" w:line="15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corporation may generally purchase or redeem its own shares unless the capital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Under Dutch law, various protective measures are possible and permissible within the boundaries set by Dutch law and Dutch</w:t>
      </w:r>
      <w:r>
        <w:rPr>
          <w:rFonts w:ascii="Arial" w:cs="Arial" w:eastAsia="Arial" w:hAnsi="Arial"/>
          <w:sz w:val="18"/>
          <w:szCs w:val="18"/>
          <w:i w:val="1"/>
          <w:iCs w:val="1"/>
          <w:color w:val="auto"/>
        </w:rPr>
        <w:t xml:space="preserve"> </w:t>
      </w:r>
      <w:r>
        <w:rPr>
          <w:rFonts w:ascii="Arial" w:cs="Arial" w:eastAsia="Arial" w:hAnsi="Arial"/>
          <w:sz w:val="18"/>
          <w:szCs w:val="18"/>
          <w:color w:val="auto"/>
        </w:rPr>
        <w:t>case law. In this respect, certain provisions of our articles of association may make it more difficult for a third-party to acquire control of us or effect a change in the composition of our Board. These include:</w:t>
      </w:r>
    </w:p>
    <w:p>
      <w:pPr>
        <w:spacing w:after="0" w:line="89" w:lineRule="exact"/>
        <w:rPr>
          <w:sz w:val="20"/>
          <w:szCs w:val="20"/>
          <w:color w:val="auto"/>
        </w:rPr>
      </w:pPr>
    </w:p>
    <w:p>
      <w:pPr>
        <w:ind w:left="1080" w:right="2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authorization of a class of preferred shares that may be issued to a protective foundation pursuant to a call option to that effect and in such a manner as to dilute the interest of any potential acquirer or shareholder activist;</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provision that our directors may only be dismissed at the general meeting by a two-thirds majority of votes cast representing more than half of our issued share capital, unless the dismissal is proposed by our Board in which latter case a simple majority of the votes cast would be sufficient ;</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provision that our directors being appointed on the basis of a binding nomination prepared by our Board, which can only be overruled by the general meeting by a resolution adopted by a two-thirds majority of the votes cast representing more than half of the issued share capital (in which case the Board shall make a new nomination);</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provision which allows the former chairperson of our Board or our former chief executive officer to be charged with our management if all of our directors are absent or incapacitated;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certain matters, including an amendment of our Articles of Association, may only be resolved upon by our general meeting if proposed by our Board.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Dutch law also allows for staggered multi-year terms of our directors, as a result of which only part of our directors may be subject to appointment or re-appointment in any given year.</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Furthermore, our board of directors may, under certain circumstances invoke a reasonable period of up to 180 days to respond to certain shareholder proposals or a statutory cooling-off period of up to 250 days to respond to certain shareholder proposals or a hostile bid. See above under “Shareholder Proposals.”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In addition to other aspects of Delaware law governing fiduciary duties of directors during a potential takeover, the Delaware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Law also contains provisions that protect Delaware companies from hostile takeovers and from actions following the takeover by prohibiting some transactions once an acquirer has gained a significant holding in the corporation.</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Section 203 of the Delaware General Corporation Law prohibits “business combinations,” including mergers, sales and leases of assets, issuances of securities and similar transactions with an “interested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stockholder” (which could include a shareholder that beneficially owns 15% or more of a corporation’s voting stock) for a period of three years following the time that such person becomes an interested stockholder, unless:</w:t>
      </w:r>
    </w:p>
    <w:p>
      <w:pPr>
        <w:spacing w:after="0" w:line="76" w:lineRule="exact"/>
        <w:rPr>
          <w:sz w:val="20"/>
          <w:szCs w:val="20"/>
          <w:color w:val="auto"/>
        </w:rPr>
      </w:pPr>
    </w:p>
    <w:p>
      <w:pPr>
        <w:ind w:left="1080" w:right="20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9"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Inspection of Books and Records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The Board must provide the general meeting all information that it requires, unless this would be contrary to an overriding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of our Company. If the Board invokes such an overriding interest, it must give reasons.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any stockholder may inspect for any proper purpose certain of the corporation’s books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records during the corporation’s usual hours of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Dismissal of Directors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Under our articles of association, our directors can only be dismissed by the general meeting by simple majority, 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Under our Articles of Association, our directors can only be dismissed by the general meeting by simple majority, provided that our board of directors proposes the dismissal. In other cases, the general meeting can only pass such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any director or the entire board of directors may be removed, with or without cause, by</w:t>
      </w:r>
      <w:r>
        <w:rPr>
          <w:rFonts w:ascii="Arial" w:cs="Arial" w:eastAsia="Arial" w:hAnsi="Arial"/>
          <w:sz w:val="17"/>
          <w:szCs w:val="17"/>
          <w:i w:val="1"/>
          <w:iCs w:val="1"/>
          <w:color w:val="auto"/>
        </w:rPr>
        <w:t xml:space="preserve"> </w:t>
      </w:r>
      <w:r>
        <w:rPr>
          <w:rFonts w:ascii="Arial" w:cs="Arial" w:eastAsia="Arial" w:hAnsi="Arial"/>
          <w:sz w:val="17"/>
          <w:szCs w:val="17"/>
          <w:color w:val="auto"/>
        </w:rPr>
        <w:t>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Shares</w:t>
      </w:r>
    </w:p>
    <w:p>
      <w:pPr>
        <w:spacing w:after="0" w:line="121"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Under Dutch law, a company’s general meeting is the corporate body authorized to resolve on the issuance of shares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granting of rights to subscribe for shares. The general meeting can delegate such authority to another corporate body of the company for a period not exceeding five years; this authorization may only be extended from time to time for a maximum period of five years.</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February 1, 2021, our general meeting adopted a resolution pursuant to which our Board is authorized, for a period of five years following February 5, 2021, to issue shares or grant rights to subscribe for shares up to our authorized share capital from time to time. We may not subscribe for our own shares on issue.</w:t>
      </w:r>
    </w:p>
    <w:p>
      <w:pPr>
        <w:spacing w:after="0" w:line="184" w:lineRule="exact"/>
        <w:rPr>
          <w:sz w:val="20"/>
          <w:szCs w:val="20"/>
          <w:color w:val="auto"/>
        </w:rPr>
      </w:pPr>
    </w:p>
    <w:p>
      <w:pPr>
        <w:ind w:left="120" w:right="660" w:firstLine="440"/>
        <w:spacing w:after="0" w:line="30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The issuance of shares requires the board of directors to adopt a resolution or resolutions, authorizing the issuance,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expressly vested in the board of directors by the provisions of the Company’s certificate of incorporation.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Pre-emption Rights</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Under Dutch law, in the event of an issuance of ordinary shares, each shareholder will have a pro rata pre-emption right in</w:t>
      </w:r>
      <w:r>
        <w:rPr>
          <w:rFonts w:ascii="Arial" w:cs="Arial" w:eastAsia="Arial" w:hAnsi="Arial"/>
          <w:sz w:val="17"/>
          <w:szCs w:val="17"/>
          <w:i w:val="1"/>
          <w:iCs w:val="1"/>
          <w:color w:val="auto"/>
        </w:rPr>
        <w:t xml:space="preserve"> </w:t>
      </w:r>
      <w:r>
        <w:rPr>
          <w:rFonts w:ascii="Arial" w:cs="Arial" w:eastAsia="Arial" w:hAnsi="Arial"/>
          <w:sz w:val="17"/>
          <w:szCs w:val="17"/>
          <w:color w:val="auto"/>
        </w:rPr>
        <w:t>proportion to the aggregate nominal value of the ordinary shares held by such holder (except in the case of an issue of ordinary shares to employees, or against a contribution other than in cash or pursuant to the exercise of a previously acquired right to subscribe for shares). Under our Articles of Association, the pre-emption rights in respect of newly issued ordinary shares may be restricted or excluded by a resolution of the general meeting upon proposal of the board of directors. Our preferred shares carry no pre-emption rights.</w:t>
      </w:r>
    </w:p>
    <w:p>
      <w:pPr>
        <w:spacing w:after="0" w:line="176"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Another corporate body may restrict or exclude the pre-emption rights in respect of newly issued ordinary shares if it has been designated as the authorized body to do so by the general meeting. Such designation can be granted for a period not exceeding five years. A resolution of the general meeting to restrict or exclude the pre-emption rights or to designate another corporate body as the authorized body to do so requires a majority of not less than two-thirds of the votes cast, if less than one-half of our issued share capital is represented at the meeting.</w:t>
      </w:r>
    </w:p>
    <w:p>
      <w:pPr>
        <w:spacing w:after="0" w:line="171"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On February 1, 2021, our general meeting authorized our Board, for a period of five years following February 5, 2021 to limit or exclude pre-emption rights in relation to an issuance of shares or a grant of rights to subscribe for shares that the Board is authorized to resolve upon.</w:t>
      </w:r>
    </w:p>
    <w:p>
      <w:pPr>
        <w:spacing w:after="0" w:line="12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Under the Delaware General Corporation Law, stockholders have no preemptive rights to subscribe for additional issues of stock or to</w:t>
      </w:r>
      <w:r>
        <w:rPr>
          <w:rFonts w:ascii="Arial" w:cs="Arial" w:eastAsia="Arial" w:hAnsi="Arial"/>
          <w:sz w:val="16"/>
          <w:szCs w:val="16"/>
          <w:i w:val="1"/>
          <w:iCs w:val="1"/>
          <w:color w:val="auto"/>
        </w:rPr>
        <w:t xml:space="preserve"> </w:t>
      </w:r>
      <w:r>
        <w:rPr>
          <w:rFonts w:ascii="Arial" w:cs="Arial" w:eastAsia="Arial" w:hAnsi="Arial"/>
          <w:sz w:val="16"/>
          <w:szCs w:val="16"/>
          <w:color w:val="auto"/>
        </w:rPr>
        <w:t>any security convertible into such stock unless, and to the extent that, such rights are expressly provided for in the certificate of incorporation.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The Netherlands</w:t>
      </w:r>
      <w:r>
        <w:rPr>
          <w:rFonts w:ascii="Arial" w:cs="Arial" w:eastAsia="Arial" w:hAnsi="Arial"/>
          <w:sz w:val="17"/>
          <w:szCs w:val="17"/>
          <w:color w:val="auto"/>
        </w:rPr>
        <w:t>. Under Dutch law, we may only pay dividends and other distributions from our reserves to the extent our shareholders’ equity</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eigen vermogen</w:t>
      </w:r>
      <w:r>
        <w:rPr>
          <w:rFonts w:ascii="Arial" w:cs="Arial" w:eastAsia="Arial" w:hAnsi="Arial"/>
          <w:sz w:val="17"/>
          <w:szCs w:val="17"/>
          <w:color w:val="auto"/>
        </w:rPr>
        <w:t>)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w:t>
      </w:r>
    </w:p>
    <w:p>
      <w:pPr>
        <w:spacing w:after="0" w:line="17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Under our Articles of Association, if any preferred shares are or have been outstanding, a dividend is first paid out of our profits, if available for distribution, to the holders or former holders, as applicable, of those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preferred shares to the extent they are entitled to such distribution under our articles of association, which we refer to as our preferred dividend. Thereafter, our Board may decide that all or part of the remaining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 Our Board of directors is permitted, subject to certain requirements and applicable restrictions of Dutch law, to declare interim dividends without the approval of our general meeting. Dividends and other distributions shall be made payable no later than a date determined by us.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6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subject to any restrictions contained in the corporation’s certificate of incorporation, a</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Vote on Certain Reorganizations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Under Dutch law, the general meeting must approve resolutions of the board of directors relating to a significant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identity or the character of the Company or the business of the Company, which includes:</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transfer of the business or virtually the entire business to a third-party;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89" w:lineRule="exact"/>
        <w:rPr>
          <w:rFonts w:ascii="Arial" w:cs="Arial" w:eastAsia="Arial" w:hAnsi="Arial"/>
          <w:sz w:val="18"/>
          <w:szCs w:val="18"/>
          <w:color w:val="auto"/>
        </w:rPr>
      </w:pPr>
    </w:p>
    <w:p>
      <w:pPr>
        <w:ind w:left="1080" w:right="140" w:hanging="424"/>
        <w:spacing w:after="0" w:line="311"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41"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The absence of such approval shall result in the relevant resolution being null and void but shall not affect the powers or representation of the Board.</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the vote of a majority of the outstanding shares of capital stock entitled to vote thereon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 of Directors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 Dutch law does not provide for limitations with respect to the aggregate annual compensation paid to our directors, 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such compensation is consistent with our compensation policy. Our compensation policy has been adopted by the general meeting with effect from February 5, 2021. Changes to the compensation policy will require a vote of our general meeting by simple majority of the votes cast. The Board determines the remuneration of individual directors with due observance of the compensation policy. A proposal with respect to remuneration schemes in the form of shares or rights to shares in which directors may participate is subject to approval by our general meeting by simple majority of votes cast. Such a proposal must set out at least the maximum number of shares or rights to subscribe for shares to be granted to our directors and the criteria for granting or amendment.</w:t>
      </w:r>
    </w:p>
    <w:p>
      <w:pPr>
        <w:spacing w:after="0" w:line="19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the stockholders do not generally have the right to approve the compensation policy for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the senior management of the corporation, although certain aspects of executive compensation may be subject to stockholder vote due to the provisions of U.S. federal securities and tax law, as well as exchange requirements.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debt securities will be our direct general obligations. The debt securities will be either senior debt securities or subordinated debt securities and may be secured or unsecured and may be convertible into other securities, including our ordinary shares. The debt securities will be issued under one or more separate indentures between our company and a financial institution that will act as trustee. Senior debt securities will be issued under a senior indenture. Subordinated debt securities will be issued under a subordinated indenture. Each of the senior indenture and the subordinated indenture is referred to individually as an indenture and collectively as the indentures. Each of the senior debt trustee and the subordinated debt trustee is referred to individually as a trustee and collectively as the trustees. The material terms of any indenture will be set forth in the applicable prospectus supplement.</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summarized certain terms and provisions of the indentures. The summary is not complete. The indentures are subject to and governed by the Trust Indenture Act of 1939, as amended. The senior indenture and subordinated indenture are substantially identical, except for the provisions relating to subordination.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We may issue debt securities up to an aggregate principal amount as we may authorize from time to time. The applicable prospectus supplement will describe the terms of any debt securities being offered. These terms will include some or all of the following:</w:t>
      </w:r>
    </w:p>
    <w:p>
      <w:pPr>
        <w:spacing w:after="0" w:line="8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classification as senior or subordinated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ranking of the specific series of debt securities relative to other outstanding indebtedness, including subsidiaries’ debt;</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may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at which the debt securities shall bear interest, if any;</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on which such interest shall be payable, and on which a record shall be taken for the determination of holders of the debt securities to whom interest is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or places where the principal and interest shall be payable;</w:t>
      </w:r>
    </w:p>
    <w:p>
      <w:pPr>
        <w:spacing w:after="0" w:line="130"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right, if any, to redeem the debt securities, in whole or in part, at our option and the period or periods within which, the price or prices at which and any terms and conditions upon which such debt securities may be so redeemed, pursuant to any sinking fund or otherwise;</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obligation, if any, of the Company to redeem, purchase or repay any debt securities pursuant to any mandatory redemption, sinking fund or other provisions or at the option of a holder of the debt securities;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denominations of $2,000 and any higher integral multiple of $1,000, the denominations in which the debt securities will be issuable;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other than the currency of the United States, the currency or currencies, in which payment of the principal and interest shall be payable;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if any, for the defeasance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material U.S. federal income tax consequences;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specific terms, including any deletions from, modifications of or additions to the events of default or covenants described below or in the applicable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Debt</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may issue under the senior indenture the debt securities that will constitute part of our senior debt. These senior debt securities will rank equally and pari passu with all our other unsecured and unsubordinated debt.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Subordinated Debt</w:t>
      </w:r>
    </w:p>
    <w:p>
      <w:pPr>
        <w:spacing w:after="0" w:line="12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We may issue under the subordinated indenture the debt securities that will constitute part of our subordinated debt. These subordinated debt securities will be subordinate and junior in right of payment, to the extent and in the manner set forth in the subordinated indenture, to all our “senior indebtedness.” “Senior indebtedness” is defined in the subordinated indenture and generally includes obligations of, or guaranteed by, us for borrowed money, or as evidenced by bonds, debentures, notes or other similar instruments, or in respect of letters of credit or other similar instruments, or to pay the deferred purchase price of property or services, or as a lessee under capital leases, or as secured by a lien on any asset of ours. “Senior indebtedness” does not include the subordinated debt securities or any other obligations specifically designated as being subordinate in right of payment to, or pari passu with, the subordinated debt securities. In general, the holders of all senior indebtedness are first entitled to receive payment in full of such senior indebtedness before the holders of any of the subordinated debt securities are entitled to receive a payment on account of the principal or interest on the indebtedness evidenced by the subordinated debt securities in certain events. These events include:</w:t>
      </w:r>
    </w:p>
    <w:p>
      <w:pPr>
        <w:spacing w:after="0" w:line="72" w:lineRule="exact"/>
        <w:rPr>
          <w:sz w:val="20"/>
          <w:szCs w:val="20"/>
          <w:color w:val="auto"/>
        </w:rPr>
      </w:pPr>
    </w:p>
    <w:p>
      <w:pPr>
        <w:ind w:left="1080" w:right="180" w:hanging="424"/>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Dutch law, any insolvency or bankruptcy proceedings, or any receivership, dissolution, winding up, total or partial liquidation, reorganization or other similar proceedings in respect of us or a substantial part of our property, whether voluntary or involuntary;</w:t>
      </w:r>
    </w:p>
    <w:p>
      <w:pPr>
        <w:spacing w:after="0" w:line="29" w:lineRule="exact"/>
        <w:rPr>
          <w:rFonts w:ascii="Arial" w:cs="Arial" w:eastAsia="Arial" w:hAnsi="Arial"/>
          <w:sz w:val="16"/>
          <w:szCs w:val="16"/>
          <w:color w:val="auto"/>
        </w:rPr>
      </w:pPr>
    </w:p>
    <w:p>
      <w:pPr>
        <w:ind w:left="1080" w:right="40" w:hanging="424"/>
        <w:spacing w:after="0" w:line="296"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a default having occurred with respect to the payment of principal or interest on or other monetary amounts due and payable with respect to any senior indebtedness or (ii) an event of default (other than a default described in clause (i) above) having occurred with respect to any senior indebtedness that permits the holder or holders of such senior indebtedness to accelerate the maturity of such senior indebtedness. Such a default or event of default must have continued beyond the period of grace, if any, provided in respect of such default or event of default, and such a default or event of default shall not have been cured or waived or shall not have ceased to exist; and</w:t>
      </w:r>
    </w:p>
    <w:p>
      <w:pPr>
        <w:spacing w:after="0" w:line="66"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principal of, and accrued interest on, any series of the subordinated debt securities having been declared due and payable upon an event of default pursuant to the subordinated indenture. This declaration must not have been rescinded and annulled as provided in the subordinated indenture.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Authentication and Delivery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deliver the debt securities to the trustee for authentication, and the trustee will authenticate and deliver the debt securities upon our written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order.</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When we use the term “Event of Default” in the indentures with respect to the debt securities of any series, set forth below are some examples of what we mean:</w:t>
      </w:r>
    </w:p>
    <w:p>
      <w:pPr>
        <w:spacing w:after="0" w:line="76" w:lineRule="exact"/>
        <w:rPr>
          <w:sz w:val="20"/>
          <w:szCs w:val="20"/>
          <w:color w:val="auto"/>
        </w:rPr>
      </w:pPr>
    </w:p>
    <w:p>
      <w:pPr>
        <w:ind w:left="5540" w:right="1420" w:hanging="4992"/>
        <w:spacing w:after="0" w:line="449" w:lineRule="auto"/>
        <w:tabs>
          <w:tab w:leader="none" w:pos="10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payment of the principal on the debt securities when it becomes due and payable at maturity or otherwise; 28</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interest on the debt securities when it becomes due and payable, and such default continues for a period of 30 days;</w:t>
      </w:r>
    </w:p>
    <w:p>
      <w:pPr>
        <w:spacing w:after="0" w:line="75" w:lineRule="exact"/>
        <w:rPr>
          <w:rFonts w:ascii="Arial" w:cs="Arial" w:eastAsia="Arial" w:hAnsi="Arial"/>
          <w:sz w:val="18"/>
          <w:szCs w:val="18"/>
          <w:color w:val="auto"/>
        </w:rPr>
      </w:pPr>
    </w:p>
    <w:p>
      <w:pPr>
        <w:ind w:left="1080" w:right="160" w:hanging="532"/>
        <w:spacing w:after="0" w:line="31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in the indenture (other than defaults specified in clauses (1) or (2) above) and the default or breach continues for a period of 90 consecutive days or more after written notice to us by the trustee or to us and the trustee by the holders of 25% or more in aggregate principal amount of the outstanding debt securities of all series affected thereby;</w:t>
      </w:r>
    </w:p>
    <w:p>
      <w:pPr>
        <w:spacing w:after="0" w:line="54"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occurrence of certain events of bankruptcy, insolvency, or similar proceedings with respect to us or any substantial part of our property;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Events of Default that may be set forth in the applicable prospectus supplement.</w:t>
      </w:r>
    </w:p>
    <w:p>
      <w:pPr>
        <w:spacing w:after="0" w:line="22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clause (4) above) with respect to the debt securities of any series then outstanding occurs and is continuing, then either the trustee or the holders of not less than 25% in principal amount of the securities of all such series then outstanding in respect of which an Event of Default has occurred may by notice in writing to us declare the entire principal amount of all debt securities of the affected series, and accrued interest, if any, to be due and payable immediately, and upon any such declaration the same shall become immediately due and payable.</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an Event of Default described in clause (4) above occurs and is continuing, then the principal amount of all the debt securities then outstanding and accrued interest shall be and become due immediately and payable without any declaration, notice or other action by any holder of the debt securities or the trustee.</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trustee will, within 90 days after the occurrence of any default actually known to it, give notice of the default to the holders of the debt securities of that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Discharge and Defeasance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discharge our obligations under each indenture, except as to:</w:t>
      </w:r>
    </w:p>
    <w:p>
      <w:pPr>
        <w:spacing w:after="0" w:line="131"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of registration of transfer and exchange of debt securities, and our right of optional redemption,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substitution of mutilated, defaced, destroyed, lost or stolen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of holders of the debt securities to receive payments of principal and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obligations and immunities of the trustee;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of the holders of the debt securities as beneficiaries with respect to the property deposited with the trustee payable to them (as described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w:t>
      </w:r>
    </w:p>
    <w:p>
      <w:pPr>
        <w:spacing w:after="0" w:line="131"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540" w:right="600" w:hanging="331"/>
        <w:spacing w:after="0" w:line="277"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debt securities of any series issued that have been authenticated and delivered have been delivered by us to the trustee for cancellation; or</w:t>
      </w:r>
    </w:p>
    <w:p>
      <w:pPr>
        <w:spacing w:after="0" w:line="75" w:lineRule="exact"/>
        <w:rPr>
          <w:rFonts w:ascii="Arial" w:cs="Arial" w:eastAsia="Arial" w:hAnsi="Arial"/>
          <w:sz w:val="18"/>
          <w:szCs w:val="18"/>
          <w:color w:val="auto"/>
        </w:rPr>
      </w:pPr>
    </w:p>
    <w:p>
      <w:pPr>
        <w:ind w:left="1540" w:right="340" w:hanging="331"/>
        <w:spacing w:after="0" w:line="279" w:lineRule="auto"/>
        <w:tabs>
          <w:tab w:leader="none" w:pos="15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the debt securities of any series issued that have not been delivered by us to the trustee for cancellation have become due and payable or will become due and payable within one year or are to be called for redemption within one year under arrangements satisfactory to the trustee for the giving of notice of redemption by such trustee in our name and at our expense, and we have irrevocably deposited or caused to be deposited with the trustee as trust funds the entire amount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0"/>
        <w:spacing w:after="0" w:line="308" w:lineRule="auto"/>
        <w:rPr>
          <w:sz w:val="20"/>
          <w:szCs w:val="20"/>
          <w:color w:val="auto"/>
        </w:rPr>
      </w:pPr>
      <w:r>
        <w:rPr>
          <w:rFonts w:ascii="Arial" w:cs="Arial" w:eastAsia="Arial" w:hAnsi="Arial"/>
          <w:sz w:val="17"/>
          <w:szCs w:val="17"/>
          <w:color w:val="auto"/>
        </w:rPr>
        <w:t>sufficient to pay at maturity or upon redemption all debt securities of such series not delivered to the trustee for cancellation, including principal and interest due or to become due on or prior to such date of maturity or redemption;</w:t>
      </w:r>
    </w:p>
    <w:p>
      <w:pPr>
        <w:spacing w:after="0" w:line="52"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such indenture; and</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all conditions precedent under such indenture relating to the satisfaction and discharge of such indenture have been complied with.</w:t>
      </w:r>
    </w:p>
    <w:p>
      <w:pPr>
        <w:spacing w:after="0" w:line="170"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In addition, unless the applicable prospectus supplement and supplemental indenture otherwise provide, we may elect either (i) to have our obligations under each indenture discharged with respect to the outstanding debt securities of any series (“legal defeasance”) or (ii) to be released from our obligations under each indenture with respect to certain covenants applicable to the outstanding debt securities of any series (“covenant defeasance”). Legal defeasance means that we will be deemed to have paid and discharged the entire indebtedness represented by the outstanding debt securities of such series under such indenture and covenant defeasance means that we will no longer be required to comply with the obligations with respect to such covenants (and an omission to comply with such obligations will not constitute a default or event of default).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exercise legal defeasance or covenant defeasance with respect to outstanding debt securities of any series:</w:t>
      </w:r>
    </w:p>
    <w:p>
      <w:pPr>
        <w:spacing w:after="0" w:line="131" w:lineRule="exact"/>
        <w:rPr>
          <w:sz w:val="20"/>
          <w:szCs w:val="20"/>
          <w:color w:val="auto"/>
        </w:rPr>
      </w:pPr>
    </w:p>
    <w:p>
      <w:pPr>
        <w:ind w:left="1080" w:right="50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in trust for the purpose of making the following payments, specifically pledged as security for, and dedicated solely to the benefits of the holders of the debt securities of a series:</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money in an amount;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U.S. government obligations;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combination of money and U.S. government obligations,</w:t>
      </w:r>
    </w:p>
    <w:p>
      <w:pPr>
        <w:spacing w:after="0" w:line="225"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in each case sufficient without reinvestment, in the written opinion of a nationally recognized firm of independent public accountants, to pay and discharge, and which shall be applied by the trustee to pay and discharge, all of the principal and interest at due date or maturity or if we have made irrevocable arrangements satisfactory to the trustee for the giving of notice of redemption by the trustee, the redemption date;</w:t>
      </w:r>
    </w:p>
    <w:p>
      <w:pPr>
        <w:spacing w:after="0" w:line="71" w:lineRule="exact"/>
        <w:rPr>
          <w:sz w:val="20"/>
          <w:szCs w:val="20"/>
          <w:color w:val="auto"/>
        </w:rPr>
      </w:pPr>
    </w:p>
    <w:p>
      <w:pPr>
        <w:jc w:val="both"/>
        <w:ind w:left="1080" w:right="22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stating that, under then applicable U.S. federal income tax law, the holders of the debt securities of that series will not recognize gain or loss for U.S. federal income tax purposes as a result of the defeasance and will be subject to the same federal income tax as would be the case if the defeasance did not occur;</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default relating to bankruptcy or insolvency and, in the case of a covenant defeasance, no other default has occurred and is continuing at any time;</w:t>
      </w:r>
    </w:p>
    <w:p>
      <w:pPr>
        <w:spacing w:after="0" w:line="75"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at such time the debt securities of such series are listed on a national securities exchange, we have delivered to the trustee an opinion of counsel to the effect that the debt securities of such series will not be delisted as a result of such defeasance; and</w:t>
      </w:r>
    </w:p>
    <w:p>
      <w:pPr>
        <w:spacing w:after="0" w:line="51"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defeasance have been complied with.</w:t>
      </w:r>
    </w:p>
    <w:p>
      <w:pPr>
        <w:spacing w:after="0" w:line="170" w:lineRule="exact"/>
        <w:rPr>
          <w:sz w:val="20"/>
          <w:szCs w:val="20"/>
          <w:color w:val="auto"/>
        </w:rPr>
      </w:pPr>
    </w:p>
    <w:p>
      <w:pPr>
        <w:jc w:val="center"/>
        <w:ind w:right="360"/>
        <w:spacing w:after="0" w:line="449" w:lineRule="auto"/>
        <w:rPr>
          <w:sz w:val="20"/>
          <w:szCs w:val="20"/>
          <w:color w:val="auto"/>
        </w:rPr>
      </w:pPr>
      <w:r>
        <w:rPr>
          <w:rFonts w:ascii="Arial" w:cs="Arial" w:eastAsia="Arial" w:hAnsi="Arial"/>
          <w:sz w:val="18"/>
          <w:szCs w:val="18"/>
          <w:color w:val="auto"/>
        </w:rPr>
        <w:t>We are required to furnish to each trustee an annual statement as to compliance with all conditions and covenants under the indenture. 30</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warrants to purchase debt securities, ordinary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w:t>
      </w:r>
    </w:p>
    <w:p>
      <w:pPr>
        <w:spacing w:after="0" w:line="16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prospectus supplement relating to any warrants we offer will include specific terms relating to the offering. These terms will include some or all of the following:</w:t>
      </w:r>
    </w:p>
    <w:p>
      <w:pPr>
        <w:spacing w:after="0" w:line="76"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aggregate number of warrants offered;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designation, number and terms of the debt securities, ordinary shares or other securities purchasable upon exercise of the warrants and procedures by which those numbers may be adjusted;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terms relating to the modification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specific terms of the warrants.</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terms of any warrants to be issued and a description of the material provisions of the applicable warrant agreement will be set forth in the applicable prospectus supplement.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w:t>
      </w:r>
    </w:p>
    <w:p>
      <w:pPr>
        <w:spacing w:after="0" w:line="12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Each purchase contract will entitle the holder thereof to purchase or sell, and obligate us to sell or purchase, on specified dates, such securities at a specified purchase price, which may be based on a formula, all as set forth in the applicable prospectus supplement. A purchase by us or any of our subsidiaries of ordinary shares pursuant to any such purchase contract shall be subject to certain restrictions under Dutch law that generally apply to a repurchase of shares. We may, however, satisfy our obligations, if any, with respect to any purchase contract by delivering the cash value of such purchase contract or the cash value of the property otherwise deliverable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ordinary shares, debt securities, warrants, purchase contracts or any combination of such securities. The applicable prospectus supplement will describe:</w:t>
      </w:r>
    </w:p>
    <w:p>
      <w:pPr>
        <w:spacing w:after="0" w:line="76" w:lineRule="exact"/>
        <w:rPr>
          <w:sz w:val="20"/>
          <w:szCs w:val="20"/>
          <w:color w:val="auto"/>
        </w:rPr>
      </w:pPr>
    </w:p>
    <w:p>
      <w:pPr>
        <w:ind w:left="1080" w:right="18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of the units and of the ordinary shares, debt securities, warrants and/ or purchase contracts comprising the units, including whether and under what circumstances the securities comprising the units may be traded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40"/>
          </w:cols>
          <w:pgMar w:left="320" w:top="459" w:right="8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Global Securities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6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Pharvaris N.V., its affiliates, the trustees, the warrant agents, the unit agents or any other agent of Pharvaris N.V.,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in one or more of the following ways (or in any combination) from time to time:</w:t>
      </w:r>
    </w:p>
    <w:p>
      <w:pPr>
        <w:spacing w:after="0" w:line="131"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the applicable prospectus supplement.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securities, including:</w:t>
      </w:r>
    </w:p>
    <w:p>
      <w:pPr>
        <w:spacing w:after="0" w:line="131"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Any public offering price and any discounts or concessions allowed or reallowed or paid to dealers may be changed from time to time.</w:t>
      </w:r>
    </w:p>
    <w:p>
      <w:pPr>
        <w:spacing w:after="0" w:line="23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underwriters are used in the sale, the securities will be acquired by the underwriters for their own account and may be resold from time to time in one or more transactions, including:</w:t>
      </w:r>
    </w:p>
    <w:p>
      <w:pPr>
        <w:spacing w:after="0" w:line="76"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680" w:firstLine="440"/>
        <w:spacing w:after="0" w:line="342" w:lineRule="auto"/>
        <w:rPr>
          <w:sz w:val="20"/>
          <w:szCs w:val="20"/>
          <w:color w:val="auto"/>
        </w:rPr>
      </w:pPr>
      <w:r>
        <w:rPr>
          <w:rFonts w:ascii="Arial" w:cs="Arial" w:eastAsia="Arial" w:hAnsi="Arial"/>
          <w:sz w:val="16"/>
          <w:szCs w:val="16"/>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2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securities may be sold through agents from time to time. The prospectus supplement will name any agent involved in the offer or sale of the securities and any commissions paid to them. Generally, any agent will be acting on commercially reasonable efforts basis for the period of its appointment.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59"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8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2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affiliates in the ordinary course of business.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Each series of securities will be a new issue of securities and will have no established trading market, other than our ordinary shares, which are listed on The Nasdaq Global Select Market.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131"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Our Annual Report on Form 20-F for the fiscal year ended December 31, 2020 filed on </w:t>
      </w:r>
      <w:hyperlink r:id="rId41">
        <w:r>
          <w:rPr>
            <w:rFonts w:ascii="Arial" w:cs="Arial" w:eastAsia="Arial" w:hAnsi="Arial"/>
            <w:sz w:val="18"/>
            <w:szCs w:val="18"/>
            <w:u w:val="single" w:color="auto"/>
            <w:color w:val="0000EE"/>
          </w:rPr>
          <w:t>April 29,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48"/>
        </w:numPr>
        <w:rPr>
          <w:rFonts w:ascii="Arial" w:cs="Arial" w:eastAsia="Arial" w:hAnsi="Arial"/>
          <w:sz w:val="17"/>
          <w:szCs w:val="17"/>
          <w:color w:val="0000EE"/>
        </w:rPr>
      </w:pPr>
      <w:r>
        <w:rPr>
          <w:rFonts w:ascii="Arial" w:cs="Arial" w:eastAsia="Arial" w:hAnsi="Arial"/>
          <w:sz w:val="17"/>
          <w:szCs w:val="17"/>
          <w:color w:val="auto"/>
        </w:rPr>
        <w:t xml:space="preserve">Our Forms 6-K filed on </w:t>
      </w:r>
      <w:hyperlink r:id="rId42">
        <w:r>
          <w:rPr>
            <w:rFonts w:ascii="Arial" w:cs="Arial" w:eastAsia="Arial" w:hAnsi="Arial"/>
            <w:sz w:val="17"/>
            <w:szCs w:val="17"/>
            <w:u w:val="single" w:color="auto"/>
            <w:color w:val="0000EE"/>
          </w:rPr>
          <w:t>May 12, 2021</w:t>
        </w:r>
      </w:hyperlink>
      <w:r>
        <w:rPr>
          <w:rFonts w:ascii="Arial" w:cs="Arial" w:eastAsia="Arial" w:hAnsi="Arial"/>
          <w:sz w:val="17"/>
          <w:szCs w:val="17"/>
          <w:color w:val="auto"/>
        </w:rPr>
        <w:t xml:space="preserve">, </w:t>
      </w:r>
      <w:hyperlink r:id="rId43">
        <w:r>
          <w:rPr>
            <w:rFonts w:ascii="Arial" w:cs="Arial" w:eastAsia="Arial" w:hAnsi="Arial"/>
            <w:sz w:val="17"/>
            <w:szCs w:val="17"/>
            <w:u w:val="single" w:color="auto"/>
            <w:color w:val="0000EE"/>
          </w:rPr>
          <w:t>May 26,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exhibit 99.1), </w:t>
      </w:r>
      <w:hyperlink r:id="rId44">
        <w:r>
          <w:rPr>
            <w:rFonts w:ascii="Arial" w:cs="Arial" w:eastAsia="Arial" w:hAnsi="Arial"/>
            <w:sz w:val="17"/>
            <w:szCs w:val="17"/>
            <w:u w:val="single" w:color="auto"/>
            <w:color w:val="0000EE"/>
          </w:rPr>
          <w:t>July 1, 2021</w:t>
        </w:r>
      </w:hyperlink>
      <w:r>
        <w:rPr>
          <w:rFonts w:ascii="Arial" w:cs="Arial" w:eastAsia="Arial" w:hAnsi="Arial"/>
          <w:sz w:val="17"/>
          <w:szCs w:val="17"/>
          <w:color w:val="auto"/>
        </w:rPr>
        <w:t xml:space="preserve">, </w:t>
      </w:r>
      <w:hyperlink r:id="rId45">
        <w:r>
          <w:rPr>
            <w:rFonts w:ascii="Arial" w:cs="Arial" w:eastAsia="Arial" w:hAnsi="Arial"/>
            <w:sz w:val="17"/>
            <w:szCs w:val="17"/>
            <w:u w:val="single" w:color="auto"/>
            <w:color w:val="0000EE"/>
          </w:rPr>
          <w:t>July 30,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exhibit 99.1), </w:t>
      </w:r>
      <w:hyperlink r:id="rId46">
        <w:r>
          <w:rPr>
            <w:rFonts w:ascii="Arial" w:cs="Arial" w:eastAsia="Arial" w:hAnsi="Arial"/>
            <w:sz w:val="17"/>
            <w:szCs w:val="17"/>
            <w:u w:val="single" w:color="auto"/>
            <w:color w:val="0000EE"/>
          </w:rPr>
          <w:t>November 10, 2021</w:t>
        </w:r>
        <w:r>
          <w:rPr>
            <w:rFonts w:ascii="Arial" w:cs="Arial" w:eastAsia="Arial" w:hAnsi="Arial"/>
            <w:sz w:val="17"/>
            <w:szCs w:val="17"/>
            <w:color w:val="0000EE"/>
          </w:rPr>
          <w:t xml:space="preserve"> </w:t>
        </w:r>
      </w:hyperlink>
      <w:r>
        <w:rPr>
          <w:rFonts w:ascii="Arial" w:cs="Arial" w:eastAsia="Arial" w:hAnsi="Arial"/>
          <w:sz w:val="17"/>
          <w:szCs w:val="17"/>
          <w:color w:val="000000"/>
        </w:rPr>
        <w:t>(other</w:t>
      </w:r>
      <w:r>
        <w:rPr>
          <w:rFonts w:ascii="Arial" w:cs="Arial" w:eastAsia="Arial" w:hAnsi="Arial"/>
          <w:sz w:val="17"/>
          <w:szCs w:val="17"/>
          <w:color w:val="0000EE"/>
        </w:rPr>
        <w:t xml:space="preserve"> </w:t>
      </w:r>
      <w:r>
        <w:rPr>
          <w:rFonts w:ascii="Arial" w:cs="Arial" w:eastAsia="Arial" w:hAnsi="Arial"/>
          <w:sz w:val="17"/>
          <w:szCs w:val="17"/>
          <w:color w:val="000000"/>
        </w:rPr>
        <w:t>than exhibit 99.1),</w:t>
      </w:r>
      <w:r>
        <w:rPr>
          <w:rFonts w:ascii="Arial" w:cs="Arial" w:eastAsia="Arial" w:hAnsi="Arial"/>
          <w:sz w:val="17"/>
          <w:szCs w:val="17"/>
          <w:color w:val="0000EE"/>
        </w:rPr>
        <w:t xml:space="preserve"> </w:t>
      </w:r>
      <w:hyperlink r:id="rId47">
        <w:r>
          <w:rPr>
            <w:rFonts w:ascii="Arial" w:cs="Arial" w:eastAsia="Arial" w:hAnsi="Arial"/>
            <w:sz w:val="17"/>
            <w:szCs w:val="17"/>
            <w:u w:val="single" w:color="auto"/>
            <w:color w:val="0000EE"/>
          </w:rPr>
          <w:t>December 7,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48">
        <w:r>
          <w:rPr>
            <w:rFonts w:ascii="Arial" w:cs="Arial" w:eastAsia="Arial" w:hAnsi="Arial"/>
            <w:sz w:val="17"/>
            <w:szCs w:val="17"/>
            <w:u w:val="single" w:color="auto"/>
            <w:color w:val="0000EE"/>
          </w:rPr>
          <w:t xml:space="preserve">December 22, 2021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49">
        <w:r>
          <w:rPr>
            <w:rFonts w:ascii="Arial" w:cs="Arial" w:eastAsia="Arial" w:hAnsi="Arial"/>
            <w:sz w:val="17"/>
            <w:szCs w:val="17"/>
            <w:u w:val="single" w:color="auto"/>
            <w:color w:val="0000EE"/>
          </w:rPr>
          <w:t>January 10, 2022</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and</w:t>
      </w:r>
    </w:p>
    <w:p>
      <w:pPr>
        <w:spacing w:after="0" w:line="51" w:lineRule="exact"/>
        <w:rPr>
          <w:rFonts w:ascii="Arial" w:cs="Arial" w:eastAsia="Arial" w:hAnsi="Arial"/>
          <w:sz w:val="17"/>
          <w:szCs w:val="17"/>
          <w:color w:val="0000EE"/>
        </w:rPr>
      </w:pPr>
    </w:p>
    <w:p>
      <w:pPr>
        <w:ind w:left="1080" w:right="2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our registration statement on Form 8-A filed with the SEC on </w:t>
      </w:r>
      <w:hyperlink r:id="rId50">
        <w:r>
          <w:rPr>
            <w:rFonts w:ascii="Arial" w:cs="Arial" w:eastAsia="Arial" w:hAnsi="Arial"/>
            <w:sz w:val="18"/>
            <w:szCs w:val="18"/>
            <w:u w:val="single" w:color="auto"/>
            <w:color w:val="0000EE"/>
          </w:rPr>
          <w:t>February 4, 2021</w:t>
        </w:r>
      </w:hyperlink>
      <w:r>
        <w:rPr>
          <w:rFonts w:ascii="Arial" w:cs="Arial" w:eastAsia="Arial" w:hAnsi="Arial"/>
          <w:sz w:val="18"/>
          <w:szCs w:val="18"/>
          <w:color w:val="auto"/>
        </w:rPr>
        <w:t xml:space="preserve">, as updated by the description of our ordinary shares filed as </w:t>
      </w:r>
      <w:hyperlink r:id="rId51">
        <w:r>
          <w:rPr>
            <w:rFonts w:ascii="Arial" w:cs="Arial" w:eastAsia="Arial" w:hAnsi="Arial"/>
            <w:sz w:val="18"/>
            <w:szCs w:val="18"/>
            <w:u w:val="single" w:color="auto"/>
            <w:color w:val="0000EE"/>
          </w:rPr>
          <w:t>Exhibit 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20-F for the fiscal year ended December 31, 2020.</w:t>
      </w:r>
    </w:p>
    <w:p>
      <w:pPr>
        <w:spacing w:after="0" w:line="184" w:lineRule="exact"/>
        <w:rPr>
          <w:rFonts w:ascii="Arial" w:cs="Arial" w:eastAsia="Arial" w:hAnsi="Arial"/>
          <w:sz w:val="18"/>
          <w:szCs w:val="18"/>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6-K that it is being incorporated by reference into this prospectus.</w:t>
      </w:r>
    </w:p>
    <w:p>
      <w:pPr>
        <w:spacing w:after="0" w:line="187" w:lineRule="exact"/>
        <w:rPr>
          <w:rFonts w:ascii="Arial" w:cs="Arial" w:eastAsia="Arial" w:hAnsi="Arial"/>
          <w:sz w:val="18"/>
          <w:szCs w:val="18"/>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J.H. Oortweg 21, 2333 CH Leiden, The Netherlands or via telephone at +31 (0)71 203 6410.</w:t>
      </w:r>
    </w:p>
    <w:p>
      <w:pPr>
        <w:spacing w:after="0" w:line="81"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ability of shareholders in certain countries other than the Netherlands, in particular in the United States, to bring an action against us may be limited under Dutch law. We are incorporated under the laws of the Netherlands and have our statutory seat (</w:t>
      </w:r>
      <w:r>
        <w:rPr>
          <w:rFonts w:ascii="Arial" w:cs="Arial" w:eastAsia="Arial" w:hAnsi="Arial"/>
          <w:sz w:val="16"/>
          <w:szCs w:val="16"/>
          <w:i w:val="1"/>
          <w:iCs w:val="1"/>
          <w:color w:val="auto"/>
        </w:rPr>
        <w:t>statutaire zetel</w:t>
      </w:r>
      <w:r>
        <w:rPr>
          <w:rFonts w:ascii="Arial" w:cs="Arial" w:eastAsia="Arial" w:hAnsi="Arial"/>
          <w:sz w:val="16"/>
          <w:szCs w:val="16"/>
          <w:color w:val="auto"/>
        </w:rPr>
        <w:t>) in Leiden, the Netherlands.</w:t>
      </w:r>
    </w:p>
    <w:p>
      <w:pPr>
        <w:spacing w:after="0" w:line="12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majority of the members of the Board are resident of countries other than the United States. All or a substantial proportion of the assets of these individuals are located outside the United States. Our assets are predominantly located outside the United States. As a result, it may not be possible for investors to effect service of process within the United States upon such persons, or to enforce against them or us in U.S. courts, including judgments predicated upon the civil liability provisions of the federal securities laws of the United States.</w:t>
      </w:r>
    </w:p>
    <w:p>
      <w:pPr>
        <w:spacing w:after="0" w:line="17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Arial" w:cs="Arial" w:eastAsia="Arial" w:hAnsi="Arial"/>
          <w:sz w:val="16"/>
          <w:szCs w:val="16"/>
          <w:i w:val="1"/>
          <w:iCs w:val="1"/>
          <w:color w:val="auto"/>
        </w:rPr>
        <w:t>openbare orde</w:t>
      </w:r>
      <w:r>
        <w:rPr>
          <w:rFonts w:ascii="Arial" w:cs="Arial" w:eastAsia="Arial" w:hAnsi="Arial"/>
          <w:sz w:val="16"/>
          <w:szCs w:val="16"/>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w:t>
      </w:r>
      <w:r>
        <w:rPr>
          <w:rFonts w:ascii="Arial" w:cs="Arial" w:eastAsia="Arial" w:hAnsi="Arial"/>
          <w:sz w:val="16"/>
          <w:szCs w:val="16"/>
          <w:i w:val="1"/>
          <w:iCs w:val="1"/>
          <w:color w:val="auto"/>
        </w:rPr>
        <w:t>Wetboek van Burgerlijke</w:t>
      </w:r>
      <w:r>
        <w:rPr>
          <w:rFonts w:ascii="Arial" w:cs="Arial" w:eastAsia="Arial" w:hAnsi="Arial"/>
          <w:sz w:val="16"/>
          <w:szCs w:val="16"/>
          <w:color w:val="auto"/>
        </w:rPr>
        <w:t xml:space="preserve"> </w:t>
      </w:r>
      <w:r>
        <w:rPr>
          <w:rFonts w:ascii="Arial" w:cs="Arial" w:eastAsia="Arial" w:hAnsi="Arial"/>
          <w:sz w:val="16"/>
          <w:szCs w:val="16"/>
          <w:i w:val="1"/>
          <w:iCs w:val="1"/>
          <w:color w:val="auto"/>
        </w:rPr>
        <w:t>Rechtsvordering</w:t>
      </w:r>
      <w:r>
        <w:rPr>
          <w:rFonts w:ascii="Arial" w:cs="Arial" w:eastAsia="Arial" w:hAnsi="Arial"/>
          <w:sz w:val="16"/>
          <w:szCs w:val="16"/>
          <w:color w:val="auto"/>
        </w:rPr>
        <w:t>). Based on the foregoing, there can be no assurance that U.S. investors will be able to enforce any judgments obtained in U.S. courts in</w:t>
      </w:r>
      <w:r>
        <w:rPr>
          <w:rFonts w:ascii="Arial" w:cs="Arial" w:eastAsia="Arial" w:hAnsi="Arial"/>
          <w:sz w:val="16"/>
          <w:szCs w:val="16"/>
          <w:i w:val="1"/>
          <w:iCs w:val="1"/>
          <w:color w:val="auto"/>
        </w:rPr>
        <w:t xml:space="preserve"> </w:t>
      </w:r>
      <w:r>
        <w:rPr>
          <w:rFonts w:ascii="Arial" w:cs="Arial" w:eastAsia="Arial" w:hAnsi="Arial"/>
          <w:sz w:val="16"/>
          <w:szCs w:val="16"/>
          <w:color w:val="auto"/>
        </w:rPr>
        <w:t>civil and commercial matters, including judgments under the U.S. federal securities laws.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ectPr>
          <w:pgSz w:w="11900" w:h="16838" w:orient="portrait"/>
          <w:cols w:equalWidth="0" w:num="1">
            <w:col w:w="10820"/>
          </w:cols>
          <w:pgMar w:left="320" w:top="459" w:right="7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-107315</wp:posOffset>
            </wp:positionV>
            <wp:extent cx="531495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Miscellaneous</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060"/>
        <w:spacing w:after="0"/>
        <w:rPr>
          <w:sz w:val="20"/>
          <w:szCs w:val="20"/>
          <w:color w:val="auto"/>
        </w:rPr>
      </w:pPr>
      <w:r>
        <w:rPr>
          <w:rFonts w:ascii="Arial" w:cs="Arial" w:eastAsia="Arial" w:hAnsi="Arial"/>
          <w:sz w:val="14"/>
          <w:szCs w:val="14"/>
          <w:b w:val="1"/>
          <w:bCs w:val="1"/>
          <w:color w:val="auto"/>
        </w:rPr>
        <w:t>Amount</w:t>
      </w:r>
    </w:p>
    <w:p>
      <w:pPr>
        <w:spacing w:after="0" w:line="4" w:lineRule="exact"/>
        <w:rPr>
          <w:sz w:val="20"/>
          <w:szCs w:val="20"/>
          <w:color w:val="auto"/>
        </w:rPr>
      </w:pPr>
    </w:p>
    <w:p>
      <w:pPr>
        <w:jc w:val="center"/>
        <w:ind w:right="1060"/>
        <w:spacing w:after="0"/>
        <w:rPr>
          <w:sz w:val="20"/>
          <w:szCs w:val="20"/>
          <w:color w:val="auto"/>
        </w:rPr>
      </w:pPr>
      <w:r>
        <w:rPr>
          <w:rFonts w:ascii="Arial" w:cs="Arial" w:eastAsia="Arial" w:hAnsi="Arial"/>
          <w:sz w:val="13"/>
          <w:szCs w:val="13"/>
          <w:b w:val="1"/>
          <w:bCs w:val="1"/>
          <w:u w:val="single" w:color="auto"/>
          <w:color w:val="auto"/>
        </w:rPr>
        <w:t>To Be Paid</w:t>
      </w:r>
    </w:p>
    <w:p>
      <w:pPr>
        <w:spacing w:after="0" w:line="21" w:lineRule="exact"/>
        <w:rPr>
          <w:sz w:val="20"/>
          <w:szCs w:val="20"/>
          <w:color w:val="auto"/>
        </w:rPr>
      </w:pPr>
    </w:p>
    <w:p>
      <w:pPr>
        <w:ind w:left="180" w:hanging="180"/>
        <w:spacing w:after="0"/>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32,445</w:t>
      </w:r>
    </w:p>
    <w:p>
      <w:pPr>
        <w:spacing w:after="0" w:line="30"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53,000</w:t>
      </w:r>
    </w:p>
    <w:p>
      <w:pPr>
        <w:spacing w:after="0" w:line="3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286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ind w:left="580" w:hanging="580"/>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286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4286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1740"/>
          </w:cols>
          <w:pgMar w:left="320" w:top="459" w:right="759" w:bottom="1440" w:gutter="0" w:footer="0" w:header="0"/>
          <w:type w:val="continuous"/>
        </w:sectPr>
      </w:pPr>
    </w:p>
    <w:p>
      <w:pPr>
        <w:spacing w:after="0" w:line="56" w:lineRule="exact"/>
        <w:rPr>
          <w:sz w:val="20"/>
          <w:szCs w:val="20"/>
          <w:color w:val="auto"/>
        </w:rPr>
      </w:pPr>
    </w:p>
    <w:p>
      <w:pPr>
        <w:ind w:left="5540" w:right="1640" w:hanging="5424"/>
        <w:spacing w:after="0" w:line="449" w:lineRule="auto"/>
        <w:tabs>
          <w:tab w:leader="none" w:pos="3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be provided by a prospectus supplement or a Report on Form 6–K that is incorporated by reference into this prospectus. 40</w:t>
      </w:r>
    </w:p>
    <w:p>
      <w:pPr>
        <w:sectPr>
          <w:pgSz w:w="11900" w:h="16838" w:orient="portrait"/>
          <w:cols w:equalWidth="0" w:num="1">
            <w:col w:w="10820"/>
          </w:cols>
          <w:pgMar w:left="320" w:top="459" w:right="75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validity of the ordinary shares and certain other matters of Dutch law will be passed upon for us by NautaDutilh N.V. Certain matters of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and New York State law will be passed upon for us by Kirkland &amp; Ellis LLP, New York, New York.</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320" w:top="459" w:right="5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20-F for the year ended December 31, 2020 have been so incorporated in reliance on the report of PricewaterhouseCoopers Accountants N.V., an independent registered public accounting firm, given on the authority of said firm as experts in auditing and accounting.</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320" w:top="459" w:right="6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1609725</wp:posOffset>
            </wp:positionV>
            <wp:extent cx="2151380" cy="3346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21513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00"/>
        <w:spacing w:after="0"/>
        <w:rPr>
          <w:sz w:val="20"/>
          <w:szCs w:val="20"/>
          <w:color w:val="auto"/>
        </w:rPr>
      </w:pPr>
      <w:r>
        <w:rPr>
          <w:rFonts w:ascii="Arial" w:cs="Arial" w:eastAsia="Arial" w:hAnsi="Arial"/>
          <w:sz w:val="26"/>
          <w:szCs w:val="26"/>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1699260</wp:posOffset>
            </wp:positionV>
            <wp:extent cx="1474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343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20"/>
        <w:spacing w:after="0"/>
        <w:rPr>
          <w:sz w:val="20"/>
          <w:szCs w:val="20"/>
          <w:color w:val="auto"/>
        </w:rPr>
      </w:pPr>
      <w:r>
        <w:rPr>
          <w:rFonts w:ascii="Arial" w:cs="Arial" w:eastAsia="Arial" w:hAnsi="Arial"/>
          <w:sz w:val="29"/>
          <w:szCs w:val="29"/>
          <w:b w:val="1"/>
          <w:bCs w:val="1"/>
          <w:color w:val="auto"/>
        </w:rPr>
        <w:t>SVB Leerink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480060</wp:posOffset>
            </wp:positionV>
            <wp:extent cx="699516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52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lowerRoman"/>
      <w:start w:val="2"/>
    </w:lvl>
  </w:abstractNum>
  <w:abstractNum w:abstractNumId="6">
    <w:nsid w:val="2901D82"/>
    <w:multiLevelType w:val="hybridMultilevel"/>
    <w:lvl w:ilvl="0">
      <w:lvlJc w:val="left"/>
      <w:lvlText w:val="(%1)"/>
      <w:numFmt w:val="lowerRoman"/>
      <w:start w:val="1"/>
    </w:lvl>
  </w:abstractNum>
  <w:abstractNum w:abstractNumId="7">
    <w:nsid w:val="3A95F874"/>
    <w:multiLevelType w:val="hybridMultilevel"/>
    <w:lvl w:ilvl="0">
      <w:lvlJc w:val="left"/>
      <w:lvlText w:val="(%1)"/>
      <w:numFmt w:val="lowerRoman"/>
      <w:start w:val="4"/>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lowerRoman"/>
      <w:start w:val="1"/>
    </w:lvl>
  </w:abstractNum>
  <w:abstractNum w:abstractNumId="11">
    <w:nsid w:val="737B8DDC"/>
    <w:multiLevelType w:val="hybridMultilevel"/>
    <w:lvl w:ilvl="0">
      <w:lvlJc w:val="left"/>
      <w:lvlText w:val="%1."/>
      <w:numFmt w:val="lowerRoman"/>
      <w:start w:val="1"/>
    </w:lvl>
  </w:abstractNum>
  <w:abstractNum w:abstractNumId="12">
    <w:nsid w:val="6CEAF087"/>
    <w:multiLevelType w:val="hybridMultilevel"/>
    <w:lvl w:ilvl="0">
      <w:lvlJc w:val="left"/>
      <w:lvlText w:val="%1."/>
      <w:numFmt w:val="lowerRoman"/>
      <w:start w:val="1"/>
    </w:lvl>
  </w:abstractNum>
  <w:abstractNum w:abstractNumId="13">
    <w:nsid w:val="22221A70"/>
    <w:multiLevelType w:val="hybridMultilevel"/>
    <w:lvl w:ilvl="0">
      <w:lvlJc w:val="left"/>
      <w:lvlText w:val="%1."/>
      <w:numFmt w:val="lowerRoman"/>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upperLetter"/>
      <w:start w:val="2"/>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lowerRoman"/>
      <w:start w:val="2"/>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lowerRoman"/>
      <w:start w:val="2"/>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lowerRoman"/>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2"/>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lvl w:ilvl="1">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lvl w:ilvl="1">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jpe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jpe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41" Type="http://schemas.openxmlformats.org/officeDocument/2006/relationships/hyperlink" Target="http://www.sec.gov/Archives/edgar/data/1830487/000119312521140476/d51199d20f.htm" TargetMode="External"/><Relationship Id="rId42" Type="http://schemas.openxmlformats.org/officeDocument/2006/relationships/hyperlink" Target="http://www.sec.gov/Archives/edgar/data/1830487/000119312521159124/d853324d6k.htm" TargetMode="External"/><Relationship Id="rId43" Type="http://schemas.openxmlformats.org/officeDocument/2006/relationships/hyperlink" Target="http://www.sec.gov/Archives/edgar/data/1830487/000156459021029889/phvs-6k_20210526.htm" TargetMode="External"/><Relationship Id="rId44" Type="http://schemas.openxmlformats.org/officeDocument/2006/relationships/hyperlink" Target="http://www.sec.gov/Archives/edgar/data/1830487/000156459021035421/phvs-6k_20210701.htm" TargetMode="External"/><Relationship Id="rId45" Type="http://schemas.openxmlformats.org/officeDocument/2006/relationships/hyperlink" Target="http://www.sec.gov/Archives/edgar/data/1830487/000156459021039331/phvs-6k_20210730.htm" TargetMode="External"/><Relationship Id="rId46" Type="http://schemas.openxmlformats.org/officeDocument/2006/relationships/hyperlink" Target="http://www.sec.gov/Archives/edgar/data/1830487/000156459021055938/phvs-6k_20211110.htm" TargetMode="External"/><Relationship Id="rId47" Type="http://schemas.openxmlformats.org/officeDocument/2006/relationships/hyperlink" Target="http://www.sec.gov/Archives/edgar/data/1830487/000119312521349696/d222757d6k.htm" TargetMode="External"/><Relationship Id="rId48" Type="http://schemas.openxmlformats.org/officeDocument/2006/relationships/hyperlink" Target="http://www.sec.gov/Archives/edgar/data/1830487/000119312521364304/d262163d6k.htm" TargetMode="External"/><Relationship Id="rId49" Type="http://schemas.openxmlformats.org/officeDocument/2006/relationships/hyperlink" Target="http://www.sec.gov/Archives/edgar/data/1830487/000119312522005106/d246773d6k.htm" TargetMode="External"/><Relationship Id="rId50" Type="http://schemas.openxmlformats.org/officeDocument/2006/relationships/hyperlink" Target="http://www.sec.gov/Archives/edgar/data/1830487/000119312521028346/d91705d8a12b.htm" TargetMode="External"/><Relationship Id="rId51" Type="http://schemas.openxmlformats.org/officeDocument/2006/relationships/hyperlink" Target="http://www.sec.gov/Archives/edgar/data/1830487/000119312521140476/d51199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2022-03-15T15:23:03Z</dcterms:created>
  <dcterms:modified xsi:type="dcterms:W3CDTF">2022-03-15T15:23:03Z</dcterms:modified>
</cp:coreProperties>
</file>