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Pharvaris, B.V.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J.H. Oortweg 21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2333 CH Leiden, The Netherlands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Pharvaris, B.V.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0001830487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Modig: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 submitted January 11,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revised disclosure in response to prior comments 1 and 2 and your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that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"[p]otency as used in this prospectus refers to the amount of drug required to produce a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pharmacological effect of given intensity and is not a measure of therapeutic efficacy" and that you,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"have not conducted a head-to-head comparison of icatibant or any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drug candidate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PHA121 in a clinical trial." Please include clarifying language 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when you state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belief that PHVS416 is "More potent inhibitor than icatibant"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"Longer half-life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than icatibant." Specifically, include disclosure that your beliefs are not based on</w:t>
      </w:r>
    </w:p>
    <w:p>
      <w:pPr>
        <w:ind w:left="120" w:right="21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head-to-head studies but on your models and that potency is not a measure of Berndt Modig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LastNameBerndt Modig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Pharvaris, B.V.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15,NamePharvaris,</w:t>
      </w:r>
    </w:p>
    <w:p>
      <w:pPr>
        <w:ind w:left="1280"/>
        <w:spacing w:after="0" w:line="237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B.V.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15,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efficacy.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4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3 and reissue in part. The pipeline table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clearly depict your material product candidates and their current stage of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development. For example, text that reflects upcoming milestones should not be included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"Phase 1" and "Phase 2" columns, but should be in the "Upcoming Milestone"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column. In addition, please include narrative disclosure here and elsewhere you include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pipeline table to make clear that the sole active pharmaceutical ingredient in PHA121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the same active pharmaceutical ingredients in PHVS416 and PHVS719 and discuss how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plan to rely on trial data from PHA121 to advance PHVS416 and PHVS719. Also, we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 disclosure on page 1, where you state you "are developing PHA121 for the on-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demand setting as PHVS416, which is delivered in a soft capsule designed to rapidly treat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symptoms with a single dose." However, your pipeline table indicates that you 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developing PHVS416 for both the on-demand and prophylactic treatments of HAE. Please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pipeline table or otherwise advise.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PHA121, page 101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statement on page 101 where you state, "PHA121 combines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 effectiveness and selectivity of bradykinin-B2-receptor antagonism with oral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bioavailability and extended exposure upon a single dose." Please revise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any similar statements throughout your prospectus that state or imply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product candidates are safe or effective as these determinations are solely within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of the FDA and comparable regulatory bodies. License Agreement, page 113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4, including your updated disclosure on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56"/>
        <w:spacing w:after="0" w:line="235" w:lineRule="auto"/>
        <w:tabs>
          <w:tab w:leader="none" w:pos="147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(i) identify your product candidates that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dependent on the license agreement; (ii) disclose when the latest to expire patents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scheduled to expire; (iii) aggregate amounts paid to date under the license agreement;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(iv) aggregate potential milestone payments outstanding. Material United States and Dutch Income Tax Considerations, page 176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tax opinions filed as Exhibit 8.2 and Exhibit 8.1 are short-form tax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opinions. Please revise the tax disclosure in your tax section to clearly identify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articulate the opinion being rendered and state clearly that it is the opinion of the named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counsel. Please also revise opinion itself to state, if true, that the statements made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constitute counsel's opinion, as opposed to summaries. For guidance, refer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III.B of Staff Legal Bulletin No. 19.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Julie Sherman at 202-551-3640 or Kate Tillan at 202-551-3604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 Pharvaris, B.V. January 15, 2021 Page 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Jason L. Drory at 202-551-8342 or Chris Edwards at 202-551-6761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LastNameBerndt Modig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NamePharvaris, B.V.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15, 2021 Page 3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left="-8" w:right="7079" w:firstLine="8"/>
        <w:spacing w:after="0" w:line="235" w:lineRule="auto"/>
        <w:tabs>
          <w:tab w:leader="none" w:pos="1045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Sophia Hudson, Esq. FirstName LastName</w:t>
      </w:r>
    </w:p>
    <w:sectPr>
      <w:pgSz w:w="11900" w:h="16838" w:orient="portrait"/>
      <w:cols w:equalWidth="0" w:num="1">
        <w:col w:w="10131"/>
      </w:cols>
      <w:pgMar w:left="328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."/>
      <w:numFmt w:val="decimal"/>
      <w:start w:val="113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2021-03-05T23:46:40Z</dcterms:created>
  <dcterms:modified xsi:type="dcterms:W3CDTF">2021-03-05T23:46:40Z</dcterms:modified>
</cp:coreProperties>
</file>