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300990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156210</wp:posOffset>
            </wp:positionV>
            <wp:extent cx="2751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259715</wp:posOffset>
            </wp:positionV>
            <wp:extent cx="2751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2021</w:t>
      </w: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440690</wp:posOffset>
            </wp:positionV>
            <wp:extent cx="2751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280"/>
        <w:spacing w:after="0"/>
        <w:rPr>
          <w:sz w:val="20"/>
          <w:szCs w:val="20"/>
          <w:color w:val="auto"/>
        </w:rPr>
      </w:pPr>
      <w:r>
        <w:rPr>
          <w:rFonts w:ascii="Arial" w:cs="Arial" w:eastAsia="Arial" w:hAnsi="Arial"/>
          <w:sz w:val="43"/>
          <w:szCs w:val="43"/>
          <w:b w:val="1"/>
          <w:bCs w:val="1"/>
          <w:color w:val="auto"/>
        </w:rPr>
        <w:t>Pharvaris N.V.</w:t>
      </w:r>
    </w:p>
    <w:p>
      <w:pPr>
        <w:spacing w:after="0" w:line="24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259715</wp:posOffset>
            </wp:positionV>
            <wp:extent cx="2751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J.H. Oortweg 21</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2333 CH Leiden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Netherlands</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0" w:lineRule="exact"/>
        <w:rPr>
          <w:sz w:val="24"/>
          <w:szCs w:val="24"/>
          <w:color w:val="auto"/>
        </w:rPr>
      </w:pPr>
    </w:p>
    <w:p>
      <w:pPr>
        <w:spacing w:after="0" w:line="207" w:lineRule="exact"/>
        <w:tabs>
          <w:tab w:leader="none" w:pos="2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303" w:lineRule="exact"/>
        <w:rPr>
          <w:sz w:val="24"/>
          <w:szCs w:val="24"/>
          <w:color w:val="auto"/>
        </w:rPr>
      </w:pPr>
    </w:p>
    <w:p>
      <w:pPr>
        <w:ind w:right="1599"/>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71761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861" w:right="1440" w:bottom="1440" w:gutter="0" w:footer="0" w:header="0"/>
        </w:sectPr>
      </w:pPr>
    </w:p>
    <w:bookmarkStart w:id="1" w:name="page2"/>
    <w:bookmarkEnd w:id="1"/>
    <w:p>
      <w:pPr>
        <w:spacing w:after="0" w:line="272"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172085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26, 2021, Pharvaris N.V. issued a press release.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PHARVARIS N.V.</w:t>
            </w:r>
          </w:p>
        </w:tc>
      </w:tr>
      <w:tr>
        <w:trPr>
          <w:trHeight w:val="490"/>
        </w:trPr>
        <w:tc>
          <w:tcPr>
            <w:tcW w:w="3540" w:type="dxa"/>
            <w:vAlign w:val="bottom"/>
          </w:tcPr>
          <w:p>
            <w:pPr>
              <w:spacing w:after="0"/>
              <w:rPr>
                <w:sz w:val="20"/>
                <w:szCs w:val="20"/>
                <w:color w:val="auto"/>
              </w:rPr>
            </w:pPr>
            <w:r>
              <w:rPr>
                <w:rFonts w:ascii="Arial" w:cs="Arial" w:eastAsia="Arial" w:hAnsi="Arial"/>
                <w:sz w:val="18"/>
                <w:szCs w:val="18"/>
                <w:color w:val="auto"/>
              </w:rPr>
              <w:t>Date: May 26, 2021</w:t>
            </w:r>
          </w:p>
        </w:tc>
        <w:tc>
          <w:tcPr>
            <w:tcW w:w="2640" w:type="dxa"/>
            <w:vAlign w:val="bottom"/>
          </w:tcPr>
          <w:p>
            <w:pPr>
              <w:ind w:left="21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6"/>
        </w:trPr>
        <w:tc>
          <w:tcPr>
            <w:tcW w:w="3540" w:type="dxa"/>
            <w:vAlign w:val="bottom"/>
          </w:tcPr>
          <w:p>
            <w:pPr>
              <w:spacing w:after="0"/>
              <w:rPr>
                <w:sz w:val="19"/>
                <w:szCs w:val="19"/>
                <w:color w:val="auto"/>
              </w:rPr>
            </w:pPr>
          </w:p>
        </w:tc>
        <w:tc>
          <w:tcPr>
            <w:tcW w:w="2640" w:type="dxa"/>
            <w:vAlign w:val="bottom"/>
          </w:tcPr>
          <w:p>
            <w:pPr>
              <w:ind w:left="2100"/>
              <w:spacing w:after="0"/>
              <w:rPr>
                <w:sz w:val="20"/>
                <w:szCs w:val="20"/>
                <w:color w:val="auto"/>
              </w:rPr>
            </w:pPr>
            <w:r>
              <w:rPr>
                <w:rFonts w:ascii="Arial" w:cs="Arial" w:eastAsia="Arial" w:hAnsi="Arial"/>
                <w:sz w:val="18"/>
                <w:szCs w:val="18"/>
                <w:color w:val="auto"/>
                <w:w w:val="98"/>
              </w:rPr>
              <w:t>Name:</w:t>
            </w:r>
          </w:p>
        </w:tc>
        <w:tc>
          <w:tcPr>
            <w:tcW w:w="5060" w:type="dxa"/>
            <w:vAlign w:val="bottom"/>
          </w:tcPr>
          <w:p>
            <w:pPr>
              <w:ind w:left="520"/>
              <w:spacing w:after="0"/>
              <w:rPr>
                <w:sz w:val="20"/>
                <w:szCs w:val="20"/>
                <w:color w:val="auto"/>
              </w:rPr>
            </w:pPr>
            <w:r>
              <w:rPr>
                <w:rFonts w:ascii="Arial" w:cs="Arial" w:eastAsia="Arial" w:hAnsi="Arial"/>
                <w:sz w:val="18"/>
                <w:szCs w:val="18"/>
                <w:color w:val="auto"/>
              </w:rPr>
              <w:t>Berndt Modig</w:t>
            </w:r>
          </w:p>
        </w:tc>
      </w:tr>
      <w:tr>
        <w:trPr>
          <w:trHeight w:val="227"/>
        </w:trPr>
        <w:tc>
          <w:tcPr>
            <w:tcW w:w="3540" w:type="dxa"/>
            <w:vAlign w:val="bottom"/>
          </w:tcPr>
          <w:p>
            <w:pPr>
              <w:spacing w:after="0"/>
              <w:rPr>
                <w:sz w:val="19"/>
                <w:szCs w:val="19"/>
                <w:color w:val="auto"/>
              </w:rPr>
            </w:pPr>
          </w:p>
        </w:tc>
        <w:tc>
          <w:tcPr>
            <w:tcW w:w="2640" w:type="dxa"/>
            <w:vAlign w:val="bottom"/>
          </w:tcPr>
          <w:p>
            <w:pPr>
              <w:ind w:left="2100"/>
              <w:spacing w:after="0"/>
              <w:rPr>
                <w:sz w:val="20"/>
                <w:szCs w:val="20"/>
                <w:color w:val="auto"/>
              </w:rPr>
            </w:pPr>
            <w:r>
              <w:rPr>
                <w:rFonts w:ascii="Arial" w:cs="Arial" w:eastAsia="Arial" w:hAnsi="Arial"/>
                <w:sz w:val="18"/>
                <w:szCs w:val="18"/>
                <w:color w:val="auto"/>
              </w:rPr>
              <w:t>Title:</w:t>
            </w:r>
          </w:p>
        </w:tc>
        <w:tc>
          <w:tcPr>
            <w:tcW w:w="5060" w:type="dxa"/>
            <w:vAlign w:val="bottom"/>
          </w:tcPr>
          <w:p>
            <w:pPr>
              <w:ind w:left="5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20" w:type="dxa"/>
            <w:vAlign w:val="bottom"/>
            <w:gridSpan w:val="3"/>
          </w:tcPr>
          <w:p>
            <w:pPr>
              <w:ind w:left="1320"/>
              <w:spacing w:after="0"/>
              <w:rPr>
                <w:sz w:val="20"/>
                <w:szCs w:val="20"/>
                <w:color w:val="auto"/>
              </w:rPr>
            </w:pPr>
            <w:r>
              <w:rPr>
                <w:rFonts w:ascii="Arial" w:cs="Arial" w:eastAsia="Arial" w:hAnsi="Arial"/>
                <w:sz w:val="18"/>
                <w:szCs w:val="18"/>
                <w:b w:val="1"/>
                <w:bCs w:val="1"/>
                <w:color w:val="auto"/>
              </w:rPr>
              <w:t>EXHIBIT INDEX</w:t>
            </w: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87"/>
        </w:trPr>
        <w:tc>
          <w:tcPr>
            <w:tcW w:w="102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gridSpan w:val="5"/>
          </w:tcPr>
          <w:p>
            <w:pPr>
              <w:spacing w:after="0" w:line="188"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May 26,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Management’s Discussion and Analysis of Financial Condition and Results of Operations as of and for the Three Months Ended March 31,</w:t>
              </w:r>
            </w:hyperlink>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2021</w:t>
              </w:r>
            </w:hyperlink>
          </w:p>
        </w:tc>
        <w:tc>
          <w:tcPr>
            <w:tcW w:w="2140" w:type="dxa"/>
            <w:vAlign w:val="bottom"/>
            <w:tcBorders>
              <w:top w:val="single" w:sz="8" w:color="0000EE"/>
            </w:tcBorders>
          </w:tcPr>
          <w:p>
            <w:pPr>
              <w:spacing w:after="0"/>
              <w:rPr>
                <w:sz w:val="16"/>
                <w:szCs w:val="16"/>
                <w:color w:val="auto"/>
              </w:rPr>
            </w:pPr>
          </w:p>
        </w:tc>
        <w:tc>
          <w:tcPr>
            <w:tcW w:w="610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r>
      <w:tr>
        <w:trPr>
          <w:trHeight w:val="341"/>
        </w:trPr>
        <w:tc>
          <w:tcPr>
            <w:tcW w:w="1020" w:type="dxa"/>
            <w:vAlign w:val="bottom"/>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Unaudited Condensed Consolidated Interim Financial Statements as of and for the Three Months Ended March 31, 2021</w:t>
              </w:r>
            </w:hyperlink>
          </w:p>
        </w:tc>
      </w:tr>
      <w:tr>
        <w:trPr>
          <w:trHeight w:val="687"/>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Borders>
              <w:top w:val="single" w:sz="8" w:color="0000EE"/>
            </w:tcBorders>
            <w:gridSpan w:val="3"/>
          </w:tcPr>
          <w:p>
            <w:pPr>
              <w:ind w:left="4440"/>
              <w:spacing w:after="0"/>
              <w:rPr>
                <w:sz w:val="20"/>
                <w:szCs w:val="20"/>
                <w:color w:val="auto"/>
              </w:rPr>
            </w:pPr>
            <w:r>
              <w:rPr>
                <w:rFonts w:ascii="Arial" w:cs="Arial" w:eastAsia="Arial" w:hAnsi="Arial"/>
                <w:sz w:val="18"/>
                <w:szCs w:val="18"/>
                <w:color w:val="auto"/>
              </w:rPr>
              <w:t>5</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40"/>
          </w:cols>
          <w:pgMar w:left="320" w:top="616" w:right="339" w:bottom="1440" w:gutter="0" w:footer="0" w:header="0"/>
        </w:sectPr>
      </w:pPr>
    </w:p>
    <w:bookmarkStart w:id="5" w:name="page6"/>
    <w:bookmarkEnd w:id="5"/>
    <w:p>
      <w:pPr>
        <w:ind w:left="10220"/>
        <w:spacing w:after="0"/>
        <w:rPr>
          <w:sz w:val="20"/>
          <w:szCs w:val="20"/>
          <w:color w:val="auto"/>
        </w:rPr>
      </w:pPr>
      <w:r>
        <w:rPr>
          <w:rFonts w:ascii="Arial" w:cs="Arial" w:eastAsia="Arial" w:hAnsi="Arial"/>
          <w:sz w:val="17"/>
          <w:szCs w:val="17"/>
          <w:b w:val="1"/>
          <w:bCs w:val="1"/>
          <w:color w:val="auto"/>
        </w:rPr>
        <w:t>Exhibit 99.1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Reports First Quarter 2021 Financial Results and Provides Business Highlights</w:t>
      </w:r>
    </w:p>
    <w:p>
      <w:pPr>
        <w:spacing w:after="0" w:line="225" w:lineRule="exact"/>
        <w:rPr>
          <w:sz w:val="20"/>
          <w:szCs w:val="20"/>
          <w:color w:val="auto"/>
        </w:rPr>
      </w:pPr>
    </w:p>
    <w:p>
      <w:pPr>
        <w:ind w:left="860" w:hanging="425"/>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RAPIDe-1, Phase 2 on-demand study of PHVS416 for the treatment of HAE attacks proceeding</w:t>
      </w:r>
    </w:p>
    <w:p>
      <w:pPr>
        <w:spacing w:after="0" w:line="23" w:lineRule="exact"/>
        <w:rPr>
          <w:rFonts w:ascii="Arial" w:cs="Arial" w:eastAsia="Arial" w:hAnsi="Arial"/>
          <w:sz w:val="18"/>
          <w:szCs w:val="18"/>
          <w:color w:val="auto"/>
        </w:rPr>
      </w:pPr>
    </w:p>
    <w:p>
      <w:pPr>
        <w:ind w:left="860" w:hanging="425"/>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HAE CHAPTER-1, Phase 2 prophylactic study of PHVS416 for prevention of HAE attacks, on-track to initiate in 2021</w:t>
      </w:r>
    </w:p>
    <w:p>
      <w:pPr>
        <w:spacing w:after="0" w:line="20" w:lineRule="exact"/>
        <w:rPr>
          <w:rFonts w:ascii="Arial" w:cs="Arial" w:eastAsia="Arial" w:hAnsi="Arial"/>
          <w:sz w:val="18"/>
          <w:szCs w:val="18"/>
          <w:color w:val="auto"/>
        </w:rPr>
      </w:pPr>
    </w:p>
    <w:p>
      <w:pPr>
        <w:ind w:left="860" w:hanging="425"/>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Viviane Monges nominated to Board of Directors and as Chair of the Audit Committee</w:t>
      </w:r>
    </w:p>
    <w:p>
      <w:pPr>
        <w:spacing w:after="0" w:line="20" w:lineRule="exact"/>
        <w:rPr>
          <w:rFonts w:ascii="Arial" w:cs="Arial" w:eastAsia="Arial" w:hAnsi="Arial"/>
          <w:sz w:val="18"/>
          <w:szCs w:val="18"/>
          <w:color w:val="auto"/>
        </w:rPr>
      </w:pPr>
    </w:p>
    <w:p>
      <w:pPr>
        <w:ind w:left="860" w:hanging="425"/>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Strong financial position with cash and cash equivalents of €238.3 million as of March 31, 2021</w:t>
      </w:r>
    </w:p>
    <w:p>
      <w:pPr>
        <w:spacing w:after="0" w:line="24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 xml:space="preserve">Zug, Switzerland, May 26, 2021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Pharvaris</w:t>
      </w:r>
      <w:r>
        <w:rPr>
          <w:rFonts w:ascii="Arial" w:cs="Arial" w:eastAsia="Arial" w:hAnsi="Arial"/>
          <w:sz w:val="17"/>
          <w:szCs w:val="17"/>
          <w:b w:val="1"/>
          <w:bCs w:val="1"/>
          <w:color w:val="auto"/>
        </w:rPr>
        <w:t xml:space="preserve"> </w:t>
      </w:r>
      <w:r>
        <w:rPr>
          <w:rFonts w:ascii="Arial" w:cs="Arial" w:eastAsia="Arial" w:hAnsi="Arial"/>
          <w:sz w:val="17"/>
          <w:szCs w:val="17"/>
          <w:color w:val="auto"/>
        </w:rPr>
        <w:t>(Nasdaq: PHVS), a clinical-stage company focused on the development and commercialization of novel oral</w:t>
      </w:r>
      <w:r>
        <w:rPr>
          <w:rFonts w:ascii="Arial" w:cs="Arial" w:eastAsia="Arial" w:hAnsi="Arial"/>
          <w:sz w:val="17"/>
          <w:szCs w:val="17"/>
          <w:b w:val="1"/>
          <w:bCs w:val="1"/>
          <w:color w:val="auto"/>
        </w:rPr>
        <w:t xml:space="preserve"> </w:t>
      </w:r>
      <w:r>
        <w:rPr>
          <w:rFonts w:ascii="Arial" w:cs="Arial" w:eastAsia="Arial" w:hAnsi="Arial"/>
          <w:sz w:val="17"/>
          <w:szCs w:val="17"/>
          <w:color w:val="auto"/>
        </w:rPr>
        <w:t>bradykinin-B2-receptor antagonists for the treatment of hereditary angioedema (HAE) and other bradykinin-B2-receptor-mediated indications, today reported financial results for the first quarter ended March 31, 2021, and provided an update on recent business highlights.</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continue to execute on a development strategy which we believe provides value to shareholders and patients, as demonstrated by the successful completion of our IPO in the first quarter of the year and the continued enrollment of our Phase 2 on-demand study of PHVS416, from which we plan to report data next year,” said Berndt Modig, co-founder and chief executive officer of Pharvaris. “In order to meet the unmet need of many HAE patients demanding oral alternative therapies, we plan to initiate our HAE CHAPTER-1 Phase 2 prophylactic study of PHVS416 this year. Pharvaris remains committed to providing access to medicines for patients in need, and the recent appointment of Wim Souverijns to the executive team will guide our clinical development and enable us to prepare for the commercialization of our B2-receptor antagonists. Additionally, we have nominated Viviane Monges to join our board of directors as the chair of the audit committee, bringing diverse global financial experience to our team.”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Upcoming Milestones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20" w:lineRule="exact"/>
        <w:rPr>
          <w:sz w:val="20"/>
          <w:szCs w:val="20"/>
          <w:color w:val="auto"/>
        </w:rPr>
      </w:pPr>
    </w:p>
    <w:p>
      <w:pPr>
        <w:ind w:left="860" w:right="180" w:hanging="425"/>
        <w:spacing w:after="0" w:line="248"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Phase 2 on-demand study (RAPIDe-1) of PHVS416 proceeding. </w:t>
      </w:r>
      <w:r>
        <w:rPr>
          <w:rFonts w:ascii="Arial" w:cs="Arial" w:eastAsia="Arial" w:hAnsi="Arial"/>
          <w:sz w:val="18"/>
          <w:szCs w:val="18"/>
          <w:color w:val="auto"/>
        </w:rPr>
        <w:t>In February 2021, Pharvaris announced that enrollment had commenced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Phase 2 clinical study of PHVS416 for the on-demand treatment of HAE attacks.</w:t>
      </w:r>
    </w:p>
    <w:p>
      <w:pPr>
        <w:ind w:left="860" w:right="480" w:hanging="425"/>
        <w:spacing w:after="0" w:line="25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Phase 2 prophylactic study (HAE CHAPTER-1) of PHVS416 to begin in 2021. </w:t>
      </w:r>
      <w:r>
        <w:rPr>
          <w:rFonts w:ascii="Arial" w:cs="Arial" w:eastAsia="Arial" w:hAnsi="Arial"/>
          <w:sz w:val="18"/>
          <w:szCs w:val="18"/>
          <w:color w:val="auto"/>
        </w:rPr>
        <w:t>In addition to developing PHVS416 for the on-demand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HAE attacks, the company plans to investigate the therapeutic potential of PHVS416 for the prophylactic prevention of HAE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330200</wp:posOffset>
            </wp:positionV>
            <wp:extent cx="71761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860"/>
        <w:spacing w:after="0"/>
        <w:rPr>
          <w:sz w:val="20"/>
          <w:szCs w:val="20"/>
          <w:color w:val="auto"/>
        </w:rPr>
      </w:pPr>
      <w:r>
        <w:rPr>
          <w:rFonts w:ascii="Arial" w:cs="Arial" w:eastAsia="Arial" w:hAnsi="Arial"/>
          <w:sz w:val="18"/>
          <w:szCs w:val="18"/>
          <w:color w:val="auto"/>
        </w:rPr>
        <w:t>In April 2021, Pharvaris announced that an IND is active in the US with the FDA and expects to initiate the study in 2021.</w:t>
      </w:r>
    </w:p>
    <w:p>
      <w:pPr>
        <w:spacing w:after="0" w:line="20" w:lineRule="exact"/>
        <w:rPr>
          <w:sz w:val="20"/>
          <w:szCs w:val="20"/>
          <w:color w:val="auto"/>
        </w:rPr>
      </w:pPr>
    </w:p>
    <w:p>
      <w:pPr>
        <w:ind w:left="860" w:hanging="425"/>
        <w:spacing w:after="0" w:line="335"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Phase 1 pharmacokinetics study of PHVS719 to begin by the end of 2021. </w:t>
      </w:r>
      <w:r>
        <w:rPr>
          <w:rFonts w:ascii="Arial" w:cs="Arial" w:eastAsia="Arial" w:hAnsi="Arial"/>
          <w:sz w:val="16"/>
          <w:szCs w:val="16"/>
          <w:color w:val="auto"/>
        </w:rPr>
        <w:t>PHVS719 is an extended-release formulation of PHA121 intended</w:t>
      </w:r>
      <w:r>
        <w:rPr>
          <w:rFonts w:ascii="Arial" w:cs="Arial" w:eastAsia="Arial" w:hAnsi="Arial"/>
          <w:sz w:val="16"/>
          <w:szCs w:val="16"/>
          <w:b w:val="1"/>
          <w:bCs w:val="1"/>
          <w:color w:val="auto"/>
        </w:rPr>
        <w:t xml:space="preserve"> </w:t>
      </w:r>
      <w:r>
        <w:rPr>
          <w:rFonts w:ascii="Arial" w:cs="Arial" w:eastAsia="Arial" w:hAnsi="Arial"/>
          <w:sz w:val="16"/>
          <w:szCs w:val="16"/>
          <w:color w:val="auto"/>
        </w:rPr>
        <w:t>for use in the prophylactic treatment of HAE. The company expects to initiate a Phase 1 pharmacokinetics study by the end of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0" w:lineRule="exact"/>
        <w:rPr>
          <w:sz w:val="20"/>
          <w:szCs w:val="20"/>
          <w:color w:val="auto"/>
        </w:rPr>
      </w:pPr>
    </w:p>
    <w:p>
      <w:pPr>
        <w:ind w:left="860" w:right="100" w:hanging="425"/>
        <w:spacing w:after="0" w:line="262"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Leadership team expansion. </w:t>
      </w:r>
      <w:r>
        <w:rPr>
          <w:rFonts w:ascii="Arial" w:cs="Arial" w:eastAsia="Arial" w:hAnsi="Arial"/>
          <w:sz w:val="17"/>
          <w:szCs w:val="17"/>
          <w:color w:val="auto"/>
        </w:rPr>
        <w:t>In May 2021, the company announced the expansion of their leadership team through the appointment of Wim</w:t>
      </w:r>
      <w:r>
        <w:rPr>
          <w:rFonts w:ascii="Arial" w:cs="Arial" w:eastAsia="Arial" w:hAnsi="Arial"/>
          <w:sz w:val="17"/>
          <w:szCs w:val="17"/>
          <w:b w:val="1"/>
          <w:bCs w:val="1"/>
          <w:color w:val="auto"/>
        </w:rPr>
        <w:t xml:space="preserve"> </w:t>
      </w:r>
      <w:r>
        <w:rPr>
          <w:rFonts w:ascii="Arial" w:cs="Arial" w:eastAsia="Arial" w:hAnsi="Arial"/>
          <w:sz w:val="17"/>
          <w:szCs w:val="17"/>
          <w:color w:val="auto"/>
        </w:rPr>
        <w:t>Souverijns, Ph.D., as chief community engagement &amp; commercial officer. In this newly created role, Wim is responsible for engagement of key stakeholders across HAE as the company sets its regulatory, commercial and market-access strategies.</w:t>
      </w:r>
    </w:p>
    <w:p>
      <w:pPr>
        <w:spacing w:after="0" w:line="1" w:lineRule="exact"/>
        <w:rPr>
          <w:rFonts w:ascii="Arial" w:cs="Arial" w:eastAsia="Arial" w:hAnsi="Arial"/>
          <w:sz w:val="17"/>
          <w:szCs w:val="17"/>
          <w:color w:val="auto"/>
        </w:rPr>
      </w:pPr>
    </w:p>
    <w:p>
      <w:pPr>
        <w:ind w:left="860" w:right="100" w:hanging="425"/>
        <w:spacing w:after="0" w:line="24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nomination. </w:t>
      </w:r>
      <w:r>
        <w:rPr>
          <w:rFonts w:ascii="Arial" w:cs="Arial" w:eastAsia="Arial" w:hAnsi="Arial"/>
          <w:sz w:val="18"/>
          <w:szCs w:val="18"/>
          <w:color w:val="auto"/>
        </w:rPr>
        <w:t>In May 2021, the company nominated Viviane Monges as a new member of the Board of Directors and Chair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Audit Committee. Ms. Monges currently serves on the board of multiple pharmaceutical, biotechnology and financial companies, including DBV Technologies, UCB, and Novo Holdings, and brings over 30 years of financial management experience from within the pharmaceutical industry and across several continents. Her appointment to the Board is expected to be formally confirmed at an upcoming general meeting of shareholders.</w:t>
      </w:r>
    </w:p>
    <w:p>
      <w:pPr>
        <w:ind w:left="860" w:right="20" w:hanging="425"/>
        <w:spacing w:after="0" w:line="279"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Preclinical data accepted for presentation at C1-Inhihbitor Deficiency Angioedema Workshop. </w:t>
      </w:r>
      <w:r>
        <w:rPr>
          <w:rFonts w:ascii="Arial" w:cs="Arial" w:eastAsia="Arial" w:hAnsi="Arial"/>
          <w:sz w:val="16"/>
          <w:szCs w:val="16"/>
          <w:color w:val="auto"/>
        </w:rPr>
        <w:t>The company will present preclinical data</w:t>
      </w:r>
      <w:r>
        <w:rPr>
          <w:rFonts w:ascii="Arial" w:cs="Arial" w:eastAsia="Arial" w:hAnsi="Arial"/>
          <w:sz w:val="16"/>
          <w:szCs w:val="16"/>
          <w:b w:val="1"/>
          <w:bCs w:val="1"/>
          <w:color w:val="auto"/>
        </w:rPr>
        <w:t xml:space="preserve"> </w:t>
      </w:r>
      <w:r>
        <w:rPr>
          <w:rFonts w:ascii="Arial" w:cs="Arial" w:eastAsia="Arial" w:hAnsi="Arial"/>
          <w:sz w:val="16"/>
          <w:szCs w:val="16"/>
          <w:color w:val="auto"/>
        </w:rPr>
        <w:t>for PHA121 at the 12</w:t>
      </w:r>
      <w:r>
        <w:rPr>
          <w:rFonts w:ascii="Arial" w:cs="Arial" w:eastAsia="Arial" w:hAnsi="Arial"/>
          <w:sz w:val="13"/>
          <w:szCs w:val="13"/>
          <w:color w:val="auto"/>
        </w:rPr>
        <w:t>th</w:t>
      </w:r>
      <w:r>
        <w:rPr>
          <w:rFonts w:ascii="Arial" w:cs="Arial" w:eastAsia="Arial" w:hAnsi="Arial"/>
          <w:sz w:val="16"/>
          <w:szCs w:val="16"/>
          <w:color w:val="auto"/>
        </w:rPr>
        <w:t xml:space="preserve"> C1-Inhihbitor Deficiency Angioedema Workshop, to be held virtually from June 3-6, 2021. The abstract, titled “PHA-022121: Efficacy in a monkey bradykinin challenge model translated to human,” has been accepted for oral presentation by Anne Lesage, Ph.D., chief early development officer of Pharvaris, in Session 1, Basic Research and Diagnostics, on June 4 at 9:45 a.m. CEST.</w:t>
      </w:r>
    </w:p>
    <w:p>
      <w:pPr>
        <w:ind w:left="860" w:right="200" w:hanging="425"/>
        <w:spacing w:after="0" w:line="25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initial public offering (IPO). </w:t>
      </w:r>
      <w:r>
        <w:rPr>
          <w:rFonts w:ascii="Arial" w:cs="Arial" w:eastAsia="Arial" w:hAnsi="Arial"/>
          <w:sz w:val="18"/>
          <w:szCs w:val="18"/>
          <w:color w:val="auto"/>
        </w:rPr>
        <w:t>In February 2021, Pharvaris completed its IPO of 9,511,075 shares of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$20.00 per share, generating gross proceeds of $190.2 million before deducting underwriting discounts and commissions and estimated offering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24" w:lineRule="exact"/>
        <w:rPr>
          <w:sz w:val="20"/>
          <w:szCs w:val="20"/>
          <w:color w:val="auto"/>
        </w:rPr>
      </w:pPr>
    </w:p>
    <w:p>
      <w:pPr>
        <w:ind w:left="860" w:right="300" w:hanging="425"/>
        <w:spacing w:after="0" w:line="248"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Cash and cash equivalents were €238.3 million for the quarter ended March 31, 2021, compared to €98.6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w:t>
      </w:r>
    </w:p>
    <w:p>
      <w:pPr>
        <w:ind w:left="860" w:right="420" w:hanging="425"/>
        <w:spacing w:after="0" w:line="248"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€8.1 million for the quarter ended March 31, 2021, compared to €2.4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quarter ended March 31, 2020.</w:t>
      </w:r>
    </w:p>
    <w:p>
      <w:pPr>
        <w:ind w:left="860" w:right="340" w:hanging="425"/>
        <w:spacing w:after="0" w:line="256"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€3.8 million for the quarter ended March 31, 2021, compared to €0.8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quarter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327660</wp:posOffset>
            </wp:positionV>
            <wp:extent cx="71761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jc w:val="both"/>
        <w:ind w:left="860" w:right="240" w:hanging="425"/>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Loss for the period. </w:t>
      </w:r>
      <w:r>
        <w:rPr>
          <w:rFonts w:ascii="Arial" w:cs="Arial" w:eastAsia="Arial" w:hAnsi="Arial"/>
          <w:sz w:val="18"/>
          <w:szCs w:val="18"/>
          <w:color w:val="auto"/>
        </w:rPr>
        <w:t>Loss for the quarter ended March 31, 2021 was €6.0 million, or basic and diluted loss per share of €0.66,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2021, compared to loss for the quarter ended March 31, 2020 of €3.3 million, or basic and diluted loss per share of €0.68 for the quarter ended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International Financial Reporting Standards (IFRS)</w:t>
      </w:r>
    </w:p>
    <w:p>
      <w:pPr>
        <w:spacing w:after="0" w:line="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2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PHVS416</w:t>
      </w:r>
    </w:p>
    <w:p>
      <w:pPr>
        <w:spacing w:after="0" w:line="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PHVS416 is a softgel capsule formulation containing PHA121, a highly potent, specific, and orally bioavailable competitive antagonist of the bradykinin B2 receptor. Pharvaris is developing this formulation to provide rapid exposure of attack-mitigating medicine in a convenient, small oral dosage form. PHVS416 is currently in Phase 2 clinical development for the on-demand treatment of HAE.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PHVS719</w:t>
      </w:r>
    </w:p>
    <w:p>
      <w:pPr>
        <w:spacing w:after="0" w:line="24"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PHVS719 is an extended-release tablet formulation containing PHA121, a highly potent, specific, and orally bioavailable competitive antagonist of the bradykinin B2 receptor. Pharvaris is developing this formulation to provide sustained exposure of attack-preventing medicine in a convenient, small oral dosage form. PHVS719 is currently in preclinical development for the prophylactic treatment of HAE.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PHA121</w:t>
      </w:r>
    </w:p>
    <w:p>
      <w:pPr>
        <w:spacing w:after="0" w:line="2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predictable linear pharmacokinetics at doses up to 50 mg. In a bradykinin-challenge study in healthy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322580</wp:posOffset>
            </wp:positionV>
            <wp:extent cx="71761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volunteers, PHA121 showed significant inhibition of bradykinin-induced hemodynamic changes with an average composite EC</w:t>
      </w:r>
      <w:r>
        <w:rPr>
          <w:rFonts w:ascii="Arial" w:cs="Arial" w:eastAsia="Arial" w:hAnsi="Arial"/>
          <w:sz w:val="15"/>
          <w:szCs w:val="15"/>
          <w:color w:val="auto"/>
        </w:rPr>
        <w:t>50</w:t>
      </w:r>
      <w:r>
        <w:rPr>
          <w:rFonts w:ascii="Arial" w:cs="Arial" w:eastAsia="Arial" w:hAnsi="Arial"/>
          <w:sz w:val="18"/>
          <w:szCs w:val="18"/>
          <w:color w:val="auto"/>
        </w:rPr>
        <w:t xml:space="preserve"> of 2.4 ng/mL and EC</w:t>
      </w:r>
      <w:r>
        <w:rPr>
          <w:rFonts w:ascii="Arial" w:cs="Arial" w:eastAsia="Arial" w:hAnsi="Arial"/>
          <w:sz w:val="15"/>
          <w:szCs w:val="15"/>
          <w:color w:val="auto"/>
        </w:rPr>
        <w:t>85</w:t>
      </w:r>
      <w:r>
        <w:rPr>
          <w:rFonts w:ascii="Arial" w:cs="Arial" w:eastAsia="Arial" w:hAnsi="Arial"/>
          <w:sz w:val="18"/>
          <w:szCs w:val="18"/>
          <w:color w:val="auto"/>
        </w:rPr>
        <w:t xml:space="preserve"> of 13.8 ng/mL, approximately four-fold more potent than historical data for icatibant. Quantitative modeling indicates that single oral doses of PHA121 will maintain pharmacologically active drug levels for a substantially longer time than 30 mg of subcutaneous icatibant. PHA121 has been observed to be well-tolerated at all doses studied to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registration statement on Form 20-F and other periodic filings with the Securities and Exchange Commission.</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327025</wp:posOffset>
            </wp:positionV>
            <wp:extent cx="71761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Sarah McCabe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sarah.mccabe@sternir.com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Maggie Beller, Russo Partners,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p>
      <w:pPr>
        <w:sectPr>
          <w:pgSz w:w="11900" w:h="16838" w:orient="portrait"/>
          <w:cols w:equalWidth="0" w:num="1">
            <w:col w:w="11080"/>
          </w:cols>
          <w:pgMar w:left="320" w:top="580" w:right="4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68"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as of and for the three months ended March 31, 2021 and 2020 included as Exhibit 99.3 to the Report on Form 6-K to which this discussion is attached as Exhibit 99.2. We also recommend that you read “Item 4. Information on the Company” and our audited consolidated financial statements for fiscal year 2020, and the notes thereto, which appear in our Annual Report on Form 20-F for the year ended December 31, 2020 (the “Annual Report”) filed with the U.S. Securities and Exchange Commission (the “SEC”). In addition, we recommend that you read any public announcements made from time to time by Pharvaris N.V.</w:t>
      </w:r>
    </w:p>
    <w:p>
      <w:pPr>
        <w:spacing w:after="0" w:line="1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5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46"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Unless otherwise indicated or the context otherwise requires, all references to “Pharvaris” or the “company,” “we,” “our,” “ours,” “us” or similar terms refer to Pharvaris N.V. and its 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right="60" w:firstLine="432"/>
        <w:spacing w:after="0" w:line="28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any PHA121 Phase 2 study. We plan to efficiently progress PHA121 through clinical development for on-demand and prophylactic use with our on-demand product candidate, PHVS416, and extended-release product candidate, PHVS719, respectively. We commenced our RAPIDe-1 Phase 2 clinical trial of PHVS416 in February 2021 and expect to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are also planning to initiate a Phase 1 clinical trial with PHVS719 in 2021 before conducting the trial of PHVS719 in the prophylactic setting. We recently completed the 30-day review period with respect to our Investigational New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172720</wp:posOffset>
            </wp:positionV>
            <wp:extent cx="71761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260"/>
        <w:spacing w:after="0" w:line="271" w:lineRule="auto"/>
        <w:rPr>
          <w:sz w:val="20"/>
          <w:szCs w:val="20"/>
          <w:color w:val="auto"/>
        </w:rPr>
      </w:pPr>
      <w:r>
        <w:rPr>
          <w:rFonts w:ascii="Arial" w:cs="Arial" w:eastAsia="Arial" w:hAnsi="Arial"/>
          <w:sz w:val="18"/>
          <w:szCs w:val="18"/>
          <w:color w:val="auto"/>
        </w:rPr>
        <w:t>or IND, application for developing PHS416 in the prophylactic indication, and we remain on track to initiate the clinical trial for prophylaxis treatment in 2021.</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COVID-19 outbreak has spread globally and severely restricted the level of economic activity around the world. In response to the COVID-</w:t>
      </w:r>
    </w:p>
    <w:p>
      <w:pPr>
        <w:spacing w:after="0" w:line="31"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25"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Furthermore, the spread of the virus may affect the operations of key governmental agencies, such as the U.S. Food and Drug Administration, or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32" w:lineRule="exact"/>
        <w:rPr>
          <w:sz w:val="20"/>
          <w:szCs w:val="20"/>
          <w:color w:val="auto"/>
        </w:rPr>
      </w:pPr>
    </w:p>
    <w:p>
      <w:pPr>
        <w:ind w:right="760" w:firstLine="432"/>
        <w:spacing w:after="0" w:line="271" w:lineRule="auto"/>
        <w:rPr>
          <w:sz w:val="20"/>
          <w:szCs w:val="20"/>
          <w:color w:val="auto"/>
        </w:rPr>
      </w:pPr>
      <w:r>
        <w:rPr>
          <w:rFonts w:ascii="Arial" w:cs="Arial" w:eastAsia="Arial" w:hAnsi="Arial"/>
          <w:sz w:val="18"/>
          <w:szCs w:val="18"/>
          <w:color w:val="auto"/>
        </w:rPr>
        <w:t>The COVID-19 pandemic remains a rapidly evolving situation and we do not yet know the full extent of its potential impact on our business operations. However, we are making efforts to limit the financial impact of COVID-19 going forward.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1, 2021 Dr. M.E. Rome resigned as member of the Board of directors. On the same date the shareholders’ approved the appointment of Dr.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 Meeker and Dr. R. Glassman as members of the Board of directors.</w:t>
      </w:r>
    </w:p>
    <w:p>
      <w:pPr>
        <w:spacing w:after="0" w:line="208" w:lineRule="exact"/>
        <w:rPr>
          <w:sz w:val="20"/>
          <w:szCs w:val="20"/>
          <w:color w:val="auto"/>
        </w:rPr>
      </w:pPr>
    </w:p>
    <w:p>
      <w:pPr>
        <w:ind w:right="100" w:firstLine="589"/>
        <w:spacing w:after="0" w:line="271" w:lineRule="auto"/>
        <w:rPr>
          <w:sz w:val="20"/>
          <w:szCs w:val="20"/>
          <w:color w:val="auto"/>
        </w:rPr>
      </w:pPr>
      <w:r>
        <w:rPr>
          <w:rFonts w:ascii="Arial" w:cs="Arial" w:eastAsia="Arial" w:hAnsi="Arial"/>
          <w:sz w:val="18"/>
          <w:szCs w:val="18"/>
          <w:color w:val="auto"/>
        </w:rPr>
        <w:t>On February 5, 2021, the Company’s ordinary shares began trading on the Nasdaq Stock Exchange. On the same date the Company converted from a Dutch limited liability company (B.V.) to a Dutch public limited liability company (N.V.).</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1, 2021 Dr. R. Gaster resigned as member of the Board of directors.</w:t>
      </w:r>
    </w:p>
    <w:p>
      <w:pPr>
        <w:spacing w:after="0" w:line="1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On May 12, 2021, the Company announced the expansion of their leadership team through the appointment of Dr W. Souverijns, as Chief Community Engagement &amp; Commercial Officer.</w:t>
      </w:r>
    </w:p>
    <w:p>
      <w:pPr>
        <w:spacing w:after="0" w:line="13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May 26, 2021, the Company announced that the Board has nominated Ms. V. Monges to be appointed to the Board of directors by the General Meeting at the Company's annual general meeting 2021 and, contingent on her appointment by the General Meeting, Ms. V. Monges will be the Chair of the Audit Committee.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29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81" w:lineRule="exact"/>
        <w:rPr>
          <w:sz w:val="20"/>
          <w:szCs w:val="20"/>
          <w:color w:val="auto"/>
        </w:rPr>
      </w:pPr>
    </w:p>
    <w:p>
      <w:pPr>
        <w:ind w:right="600" w:firstLine="432"/>
        <w:spacing w:after="0" w:line="271" w:lineRule="auto"/>
        <w:rPr>
          <w:sz w:val="20"/>
          <w:szCs w:val="20"/>
          <w:color w:val="auto"/>
        </w:rPr>
      </w:pPr>
      <w:r>
        <w:rPr>
          <w:rFonts w:ascii="Arial" w:cs="Arial" w:eastAsia="Arial" w:hAnsi="Arial"/>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4"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181" w:lineRule="exact"/>
        <w:rPr>
          <w:sz w:val="20"/>
          <w:szCs w:val="20"/>
          <w:color w:val="auto"/>
        </w:rPr>
      </w:pPr>
    </w:p>
    <w:p>
      <w:pPr>
        <w:ind w:left="860" w:right="300" w:hanging="425"/>
        <w:spacing w:after="0" w:line="27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benefits expenses, which includes salaries, pensions, share-based compensation expenses, bonus plans and other related costs for research and development staff;</w:t>
      </w:r>
    </w:p>
    <w:p>
      <w:pPr>
        <w:spacing w:after="0" w:line="134" w:lineRule="exact"/>
        <w:rPr>
          <w:rFonts w:ascii="Arial" w:cs="Arial" w:eastAsia="Arial" w:hAnsi="Arial"/>
          <w:sz w:val="18"/>
          <w:szCs w:val="18"/>
          <w:color w:val="auto"/>
        </w:rPr>
      </w:pPr>
    </w:p>
    <w:p>
      <w:pPr>
        <w:ind w:left="860" w:hanging="42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expenses, which include costs of our outsourced discovery, preclinical and nonclinical development studies;</w:t>
      </w:r>
    </w:p>
    <w:p>
      <w:pPr>
        <w:spacing w:after="0" w:line="180" w:lineRule="exact"/>
        <w:rPr>
          <w:rFonts w:ascii="Arial" w:cs="Arial" w:eastAsia="Arial" w:hAnsi="Arial"/>
          <w:sz w:val="18"/>
          <w:szCs w:val="18"/>
          <w:color w:val="auto"/>
        </w:rPr>
      </w:pPr>
    </w:p>
    <w:p>
      <w:pPr>
        <w:ind w:left="860" w:right="180" w:hanging="425"/>
        <w:spacing w:after="0" w:line="27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34" w:lineRule="exact"/>
        <w:rPr>
          <w:rFonts w:ascii="Arial" w:cs="Arial" w:eastAsia="Arial" w:hAnsi="Arial"/>
          <w:sz w:val="18"/>
          <w:szCs w:val="18"/>
          <w:color w:val="auto"/>
        </w:rPr>
      </w:pPr>
    </w:p>
    <w:p>
      <w:pPr>
        <w:ind w:left="860" w:right="80" w:hanging="425"/>
        <w:spacing w:after="0" w:line="27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134" w:lineRule="exact"/>
        <w:rPr>
          <w:rFonts w:ascii="Arial" w:cs="Arial" w:eastAsia="Arial" w:hAnsi="Arial"/>
          <w:sz w:val="18"/>
          <w:szCs w:val="18"/>
          <w:color w:val="auto"/>
        </w:rPr>
      </w:pPr>
    </w:p>
    <w:p>
      <w:pPr>
        <w:ind w:left="860" w:right="40" w:hanging="425"/>
        <w:spacing w:after="0" w:line="27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134" w:lineRule="exact"/>
        <w:rPr>
          <w:rFonts w:ascii="Arial" w:cs="Arial" w:eastAsia="Arial" w:hAnsi="Arial"/>
          <w:sz w:val="18"/>
          <w:szCs w:val="18"/>
          <w:color w:val="auto"/>
        </w:rPr>
      </w:pPr>
    </w:p>
    <w:p>
      <w:pPr>
        <w:ind w:left="860" w:hanging="42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in connection with investigator-sponsored clinical trials and evaluations;</w:t>
      </w:r>
    </w:p>
    <w:p>
      <w:pPr>
        <w:spacing w:after="0" w:line="180" w:lineRule="exact"/>
        <w:rPr>
          <w:rFonts w:ascii="Arial" w:cs="Arial" w:eastAsia="Arial" w:hAnsi="Arial"/>
          <w:sz w:val="18"/>
          <w:szCs w:val="18"/>
          <w:color w:val="auto"/>
        </w:rPr>
      </w:pPr>
    </w:p>
    <w:p>
      <w:pPr>
        <w:ind w:left="860" w:hanging="425"/>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advisers’ fees, including discovery, nonclinical, clinical, chemistry, manufacturing, and controls- related and other consulting services;</w:t>
      </w:r>
    </w:p>
    <w:p>
      <w:pPr>
        <w:spacing w:after="0" w:line="192" w:lineRule="exact"/>
        <w:rPr>
          <w:rFonts w:ascii="Arial" w:cs="Arial" w:eastAsia="Arial" w:hAnsi="Arial"/>
          <w:sz w:val="17"/>
          <w:szCs w:val="17"/>
          <w:color w:val="auto"/>
        </w:rPr>
      </w:pPr>
    </w:p>
    <w:p>
      <w:pPr>
        <w:ind w:left="860" w:hanging="425"/>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intellectual property costs, which includes costs associated with obtaining and maintaining patents and other intellectual property; and</w:t>
      </w:r>
    </w:p>
    <w:p>
      <w:pPr>
        <w:spacing w:after="0" w:line="192" w:lineRule="exact"/>
        <w:rPr>
          <w:rFonts w:ascii="Arial" w:cs="Arial" w:eastAsia="Arial" w:hAnsi="Arial"/>
          <w:sz w:val="17"/>
          <w:szCs w:val="17"/>
          <w:color w:val="auto"/>
        </w:rPr>
      </w:pPr>
    </w:p>
    <w:p>
      <w:pPr>
        <w:ind w:left="860" w:hanging="42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costs.</w:t>
      </w:r>
    </w:p>
    <w:p>
      <w:pPr>
        <w:spacing w:after="0" w:line="181"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We anticipate that research and development expenses will continue to increase as we continue to progress PHVS416 and PHVS719 through clinical development.</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46"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00"/>
          </w:cols>
          <w:pgMar w:left="320" w:top="522" w:right="479" w:bottom="1440" w:gutter="0" w:footer="0" w:header="0"/>
        </w:sectPr>
      </w:pPr>
    </w:p>
    <w:bookmarkStart w:id="13" w:name="page14"/>
    <w:bookmarkEnd w:id="13"/>
    <w:p>
      <w:pPr>
        <w:ind w:right="20"/>
        <w:spacing w:after="0" w:line="271" w:lineRule="auto"/>
        <w:rPr>
          <w:sz w:val="20"/>
          <w:szCs w:val="20"/>
          <w:color w:val="auto"/>
        </w:rPr>
      </w:pPr>
      <w:r>
        <w:rPr>
          <w:rFonts w:ascii="Arial" w:cs="Arial" w:eastAsia="Arial" w:hAnsi="Arial"/>
          <w:sz w:val="18"/>
          <w:szCs w:val="18"/>
          <w:color w:val="auto"/>
        </w:rPr>
        <w:t>candidates, if approved for marketing. This is due to numerous risks and uncertainties associated with developing drugs. See the “Item 3. Key Information— D. Risk factors” in our Annual Report for a discussion of these risks and uncertainties.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81"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consist of the following:</w:t>
      </w:r>
    </w:p>
    <w:p>
      <w:pPr>
        <w:spacing w:after="0" w:line="168" w:lineRule="exact"/>
        <w:rPr>
          <w:sz w:val="20"/>
          <w:szCs w:val="20"/>
          <w:color w:val="auto"/>
        </w:rPr>
      </w:pPr>
    </w:p>
    <w:p>
      <w:pPr>
        <w:ind w:left="860" w:right="860" w:hanging="425"/>
        <w:spacing w:after="0" w:line="271"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benefits, including salaries, pensions, share-based compensation expenses, bonus plans and other related costs for staff and independent contractors in executive and operational functions;</w:t>
      </w:r>
    </w:p>
    <w:p>
      <w:pPr>
        <w:spacing w:after="0" w:line="134" w:lineRule="exact"/>
        <w:rPr>
          <w:rFonts w:ascii="Arial" w:cs="Arial" w:eastAsia="Arial" w:hAnsi="Arial"/>
          <w:sz w:val="18"/>
          <w:szCs w:val="18"/>
          <w:color w:val="auto"/>
        </w:rPr>
      </w:pPr>
    </w:p>
    <w:p>
      <w:pPr>
        <w:ind w:left="860" w:hanging="42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auditors’ and advisers’ fees, including accounting, tax, legal and other consulting services; and</w:t>
      </w:r>
    </w:p>
    <w:p>
      <w:pPr>
        <w:spacing w:after="0" w:line="180" w:lineRule="exact"/>
        <w:rPr>
          <w:rFonts w:ascii="Arial" w:cs="Arial" w:eastAsia="Arial" w:hAnsi="Arial"/>
          <w:sz w:val="18"/>
          <w:szCs w:val="18"/>
          <w:color w:val="auto"/>
        </w:rPr>
      </w:pPr>
    </w:p>
    <w:p>
      <w:pPr>
        <w:ind w:left="860" w:hanging="42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rental expenses, facilities and IT expenses and other general expenses relating to our operations.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9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The fair values of these instruments are recognized as personnel expenses in either research and development expenses or general and administrative expense. The Plan has been superseded by the 2021 Long Term Incentive plan after completion of the IPO in February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operations</w:t>
      </w:r>
    </w:p>
    <w:p>
      <w:pPr>
        <w:spacing w:after="0" w:line="185" w:lineRule="exact"/>
        <w:rPr>
          <w:sz w:val="20"/>
          <w:szCs w:val="20"/>
          <w:color w:val="auto"/>
        </w:rPr>
      </w:pPr>
    </w:p>
    <w:p>
      <w:pPr>
        <w:ind w:right="380" w:firstLine="432"/>
        <w:spacing w:after="0" w:line="271" w:lineRule="auto"/>
        <w:rPr>
          <w:sz w:val="20"/>
          <w:szCs w:val="20"/>
          <w:color w:val="auto"/>
        </w:rPr>
      </w:pPr>
      <w:r>
        <w:rPr>
          <w:rFonts w:ascii="Arial" w:cs="Arial" w:eastAsia="Arial" w:hAnsi="Arial"/>
          <w:sz w:val="18"/>
          <w:szCs w:val="18"/>
          <w:color w:val="auto"/>
        </w:rPr>
        <w:t>The financial information shown below was derived from our unaudited condensed consolidated interim financial statements for the three months ended March 31, 2021 and 2020 included as Exhibit 99.3 to this Report 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299" w:right="359" w:bottom="1440" w:gutter="0" w:footer="0" w:header="0"/>
        </w:sectPr>
      </w:pPr>
    </w:p>
    <w:bookmarkStart w:id="14" w:name="page15"/>
    <w:bookmarkEnd w:id="14"/>
    <w:p>
      <w:pPr>
        <w:ind w:right="360"/>
        <w:spacing w:after="0" w:line="271" w:lineRule="auto"/>
        <w:rPr>
          <w:sz w:val="20"/>
          <w:szCs w:val="20"/>
          <w:color w:val="auto"/>
        </w:rPr>
      </w:pPr>
      <w:r>
        <w:rPr>
          <w:rFonts w:ascii="Arial" w:cs="Arial" w:eastAsia="Arial" w:hAnsi="Arial"/>
          <w:sz w:val="18"/>
          <w:szCs w:val="18"/>
          <w:color w:val="auto"/>
        </w:rPr>
        <w:t>Form 6-K. The discussion below should be read along with these condensed consolidated interim financial statements, and it is qualified in its entirety by reference to them.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0" w:type="dxa"/>
            <w:vAlign w:val="bottom"/>
            <w:gridSpan w:val="2"/>
          </w:tcPr>
          <w:p>
            <w:pPr>
              <w:jc w:val="center"/>
              <w:ind w:right="213"/>
              <w:spacing w:after="0"/>
              <w:rPr>
                <w:sz w:val="20"/>
                <w:szCs w:val="20"/>
                <w:color w:val="auto"/>
              </w:rPr>
            </w:pPr>
            <w:r>
              <w:rPr>
                <w:rFonts w:ascii="Arial" w:cs="Arial" w:eastAsia="Arial" w:hAnsi="Arial"/>
                <w:sz w:val="21"/>
                <w:szCs w:val="21"/>
                <w:b w:val="1"/>
                <w:bCs w:val="1"/>
                <w:color w:val="auto"/>
                <w:w w:val="90"/>
              </w:rPr>
              <w:t>For the three months ended</w:t>
            </w:r>
          </w:p>
        </w:tc>
        <w:tc>
          <w:tcPr>
            <w:tcW w:w="1220" w:type="dxa"/>
            <w:vAlign w:val="bottom"/>
          </w:tcPr>
          <w:p>
            <w:pPr>
              <w:spacing w:after="0"/>
              <w:rPr>
                <w:sz w:val="21"/>
                <w:szCs w:val="21"/>
                <w:color w:val="auto"/>
              </w:rPr>
            </w:pPr>
          </w:p>
        </w:tc>
      </w:tr>
      <w:tr>
        <w:trPr>
          <w:trHeight w:val="268"/>
        </w:trPr>
        <w:tc>
          <w:tcPr>
            <w:tcW w:w="574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2"/>
          </w:tcPr>
          <w:p>
            <w:pPr>
              <w:jc w:val="center"/>
              <w:ind w:right="213"/>
              <w:spacing w:after="0"/>
              <w:rPr>
                <w:sz w:val="20"/>
                <w:szCs w:val="20"/>
                <w:color w:val="auto"/>
              </w:rPr>
            </w:pPr>
            <w:r>
              <w:rPr>
                <w:rFonts w:ascii="Arial" w:cs="Arial" w:eastAsia="Arial" w:hAnsi="Arial"/>
                <w:sz w:val="21"/>
                <w:szCs w:val="21"/>
                <w:b w:val="1"/>
                <w:bCs w:val="1"/>
                <w:color w:val="auto"/>
                <w:w w:val="96"/>
              </w:rPr>
              <w:t>March 31</w:t>
            </w:r>
          </w:p>
        </w:tc>
        <w:tc>
          <w:tcPr>
            <w:tcW w:w="1220" w:type="dxa"/>
            <w:vAlign w:val="bottom"/>
            <w:tcBorders>
              <w:bottom w:val="single" w:sz="8" w:color="auto"/>
            </w:tcBorders>
          </w:tcPr>
          <w:p>
            <w:pPr>
              <w:spacing w:after="0"/>
              <w:rPr>
                <w:sz w:val="23"/>
                <w:szCs w:val="23"/>
                <w:color w:val="auto"/>
              </w:rPr>
            </w:pPr>
          </w:p>
        </w:tc>
      </w:tr>
      <w:tr>
        <w:trPr>
          <w:trHeight w:val="247"/>
        </w:trPr>
        <w:tc>
          <w:tcPr>
            <w:tcW w:w="5740" w:type="dxa"/>
            <w:vAlign w:val="bottom"/>
          </w:tcPr>
          <w:p>
            <w:pPr>
              <w:spacing w:after="0"/>
              <w:rPr>
                <w:sz w:val="21"/>
                <w:szCs w:val="21"/>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21"/>
                <w:szCs w:val="21"/>
                <w:b w:val="1"/>
                <w:bCs w:val="1"/>
                <w:color w:val="auto"/>
              </w:rPr>
              <w:t>2021</w:t>
            </w:r>
          </w:p>
        </w:tc>
        <w:tc>
          <w:tcPr>
            <w:tcW w:w="1640" w:type="dxa"/>
            <w:vAlign w:val="bottom"/>
            <w:tcBorders>
              <w:bottom w:val="single" w:sz="8" w:color="auto"/>
            </w:tcBorders>
          </w:tcPr>
          <w:p>
            <w:pPr>
              <w:jc w:val="right"/>
              <w:ind w:right="653"/>
              <w:spacing w:after="0"/>
              <w:rPr>
                <w:sz w:val="20"/>
                <w:szCs w:val="20"/>
                <w:color w:val="auto"/>
              </w:rPr>
            </w:pPr>
            <w:r>
              <w:rPr>
                <w:rFonts w:ascii="Arial" w:cs="Arial" w:eastAsia="Arial" w:hAnsi="Arial"/>
                <w:sz w:val="21"/>
                <w:szCs w:val="21"/>
                <w:b w:val="1"/>
                <w:bCs w:val="1"/>
                <w:color w:val="auto"/>
              </w:rPr>
              <w:t>2020</w:t>
            </w: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21"/>
                <w:szCs w:val="21"/>
                <w:b w:val="1"/>
                <w:bCs w:val="1"/>
                <w:color w:val="auto"/>
                <w:w w:val="96"/>
              </w:rPr>
              <w:t>Change</w:t>
            </w: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w:t>
            </w:r>
          </w:p>
        </w:tc>
      </w:tr>
      <w:tr>
        <w:trPr>
          <w:trHeight w:val="247"/>
        </w:trPr>
        <w:tc>
          <w:tcPr>
            <w:tcW w:w="5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jc w:val="center"/>
              <w:ind w:left="933"/>
              <w:spacing w:after="0"/>
              <w:rPr>
                <w:sz w:val="20"/>
                <w:szCs w:val="20"/>
                <w:color w:val="auto"/>
              </w:rPr>
            </w:pPr>
            <w:r>
              <w:rPr>
                <w:rFonts w:ascii="Arial" w:cs="Arial" w:eastAsia="Arial" w:hAnsi="Arial"/>
                <w:sz w:val="21"/>
                <w:szCs w:val="21"/>
                <w:b w:val="1"/>
                <w:bCs w:val="1"/>
                <w:color w:val="auto"/>
                <w:w w:val="95"/>
              </w:rPr>
              <w:t>(in €)</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Research and development expenses</w:t>
            </w:r>
          </w:p>
        </w:tc>
        <w:tc>
          <w:tcPr>
            <w:tcW w:w="12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(8,071,451)</w:t>
            </w:r>
          </w:p>
        </w:tc>
        <w:tc>
          <w:tcPr>
            <w:tcW w:w="1640" w:type="dxa"/>
            <w:vAlign w:val="bottom"/>
            <w:shd w:val="clear" w:color="auto" w:fill="CFF0FC"/>
          </w:tcPr>
          <w:p>
            <w:pPr>
              <w:jc w:val="right"/>
              <w:ind w:right="213"/>
              <w:spacing w:after="0"/>
              <w:rPr>
                <w:sz w:val="20"/>
                <w:szCs w:val="20"/>
                <w:color w:val="auto"/>
              </w:rPr>
            </w:pPr>
            <w:r>
              <w:rPr>
                <w:rFonts w:ascii="Arial" w:cs="Arial" w:eastAsia="Arial" w:hAnsi="Arial"/>
                <w:sz w:val="21"/>
                <w:szCs w:val="21"/>
                <w:color w:val="auto"/>
              </w:rPr>
              <w:t>(2,403,401)</w:t>
            </w:r>
          </w:p>
        </w:tc>
        <w:tc>
          <w:tcPr>
            <w:tcW w:w="1360" w:type="dxa"/>
            <w:vAlign w:val="bottom"/>
            <w:shd w:val="clear" w:color="auto" w:fill="CFF0FC"/>
          </w:tcPr>
          <w:p>
            <w:pPr>
              <w:jc w:val="right"/>
              <w:ind w:right="213"/>
              <w:spacing w:after="0"/>
              <w:rPr>
                <w:sz w:val="20"/>
                <w:szCs w:val="20"/>
                <w:color w:val="auto"/>
              </w:rPr>
            </w:pPr>
            <w:r>
              <w:rPr>
                <w:rFonts w:ascii="Arial" w:cs="Arial" w:eastAsia="Arial" w:hAnsi="Arial"/>
                <w:sz w:val="21"/>
                <w:szCs w:val="21"/>
                <w:color w:val="auto"/>
                <w:w w:val="94"/>
              </w:rPr>
              <w:t>(5,668,050)</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color w:val="auto"/>
              </w:rPr>
              <w:t>236%</w:t>
            </w:r>
          </w:p>
        </w:tc>
      </w:tr>
      <w:tr>
        <w:trPr>
          <w:trHeight w:val="254"/>
        </w:trPr>
        <w:tc>
          <w:tcPr>
            <w:tcW w:w="5740" w:type="dxa"/>
            <w:vAlign w:val="bottom"/>
          </w:tcPr>
          <w:p>
            <w:pPr>
              <w:spacing w:after="0"/>
              <w:rPr>
                <w:sz w:val="20"/>
                <w:szCs w:val="20"/>
                <w:color w:val="auto"/>
              </w:rPr>
            </w:pPr>
            <w:r>
              <w:rPr>
                <w:rFonts w:ascii="Arial" w:cs="Arial" w:eastAsia="Arial" w:hAnsi="Arial"/>
                <w:sz w:val="21"/>
                <w:szCs w:val="21"/>
                <w:color w:val="auto"/>
              </w:rPr>
              <w:t>General and administrative expenses</w:t>
            </w:r>
          </w:p>
        </w:tc>
        <w:tc>
          <w:tcPr>
            <w:tcW w:w="1280" w:type="dxa"/>
            <w:vAlign w:val="bottom"/>
          </w:tcPr>
          <w:p>
            <w:pPr>
              <w:jc w:val="right"/>
              <w:spacing w:after="0"/>
              <w:rPr>
                <w:sz w:val="20"/>
                <w:szCs w:val="20"/>
                <w:color w:val="auto"/>
              </w:rPr>
            </w:pPr>
            <w:r>
              <w:rPr>
                <w:rFonts w:ascii="Arial" w:cs="Arial" w:eastAsia="Arial" w:hAnsi="Arial"/>
                <w:sz w:val="21"/>
                <w:szCs w:val="21"/>
                <w:color w:val="auto"/>
              </w:rPr>
              <w:t>(3,771,693)</w:t>
            </w:r>
          </w:p>
        </w:tc>
        <w:tc>
          <w:tcPr>
            <w:tcW w:w="1640" w:type="dxa"/>
            <w:vAlign w:val="bottom"/>
          </w:tcPr>
          <w:p>
            <w:pPr>
              <w:jc w:val="right"/>
              <w:ind w:right="213"/>
              <w:spacing w:after="0"/>
              <w:rPr>
                <w:sz w:val="20"/>
                <w:szCs w:val="20"/>
                <w:color w:val="auto"/>
              </w:rPr>
            </w:pPr>
            <w:r>
              <w:rPr>
                <w:rFonts w:ascii="Arial" w:cs="Arial" w:eastAsia="Arial" w:hAnsi="Arial"/>
                <w:sz w:val="21"/>
                <w:szCs w:val="21"/>
                <w:color w:val="auto"/>
              </w:rPr>
              <w:t>(842,561)</w:t>
            </w:r>
          </w:p>
        </w:tc>
        <w:tc>
          <w:tcPr>
            <w:tcW w:w="1360" w:type="dxa"/>
            <w:vAlign w:val="bottom"/>
          </w:tcPr>
          <w:p>
            <w:pPr>
              <w:jc w:val="right"/>
              <w:ind w:right="213"/>
              <w:spacing w:after="0"/>
              <w:rPr>
                <w:sz w:val="20"/>
                <w:szCs w:val="20"/>
                <w:color w:val="auto"/>
              </w:rPr>
            </w:pPr>
            <w:r>
              <w:rPr>
                <w:rFonts w:ascii="Arial" w:cs="Arial" w:eastAsia="Arial" w:hAnsi="Arial"/>
                <w:sz w:val="21"/>
                <w:szCs w:val="21"/>
                <w:color w:val="auto"/>
                <w:w w:val="94"/>
              </w:rPr>
              <w:t>(2,929,132)</w:t>
            </w:r>
          </w:p>
        </w:tc>
        <w:tc>
          <w:tcPr>
            <w:tcW w:w="1220" w:type="dxa"/>
            <w:vAlign w:val="bottom"/>
          </w:tcPr>
          <w:p>
            <w:pPr>
              <w:jc w:val="right"/>
              <w:spacing w:after="0"/>
              <w:rPr>
                <w:sz w:val="20"/>
                <w:szCs w:val="20"/>
                <w:color w:val="auto"/>
              </w:rPr>
            </w:pPr>
            <w:r>
              <w:rPr>
                <w:rFonts w:ascii="Arial" w:cs="Arial" w:eastAsia="Arial" w:hAnsi="Arial"/>
                <w:sz w:val="21"/>
                <w:szCs w:val="21"/>
                <w:color w:val="auto"/>
              </w:rPr>
              <w:t>348%</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b w:val="1"/>
                <w:bCs w:val="1"/>
                <w:color w:val="auto"/>
              </w:rPr>
              <w:t>Total operating expenses</w:t>
            </w:r>
          </w:p>
        </w:tc>
        <w:tc>
          <w:tcPr>
            <w:tcW w:w="1280" w:type="dxa"/>
            <w:vAlign w:val="bottom"/>
            <w:shd w:val="clear" w:color="auto" w:fill="CFF0FC"/>
          </w:tcPr>
          <w:p>
            <w:pPr>
              <w:jc w:val="right"/>
              <w:spacing w:after="0"/>
              <w:rPr>
                <w:sz w:val="20"/>
                <w:szCs w:val="20"/>
                <w:color w:val="auto"/>
              </w:rPr>
            </w:pPr>
            <w:r>
              <w:rPr>
                <w:rFonts w:ascii="Arial" w:cs="Arial" w:eastAsia="Arial" w:hAnsi="Arial"/>
                <w:sz w:val="21"/>
                <w:szCs w:val="21"/>
                <w:b w:val="1"/>
                <w:bCs w:val="1"/>
                <w:color w:val="auto"/>
              </w:rPr>
              <w:t>(11,843,144)</w:t>
            </w:r>
          </w:p>
        </w:tc>
        <w:tc>
          <w:tcPr>
            <w:tcW w:w="1640" w:type="dxa"/>
            <w:vAlign w:val="bottom"/>
            <w:shd w:val="clear" w:color="auto" w:fill="CFF0FC"/>
          </w:tcPr>
          <w:p>
            <w:pPr>
              <w:jc w:val="right"/>
              <w:ind w:right="213"/>
              <w:spacing w:after="0"/>
              <w:rPr>
                <w:sz w:val="20"/>
                <w:szCs w:val="20"/>
                <w:color w:val="auto"/>
              </w:rPr>
            </w:pPr>
            <w:r>
              <w:rPr>
                <w:rFonts w:ascii="Arial" w:cs="Arial" w:eastAsia="Arial" w:hAnsi="Arial"/>
                <w:sz w:val="21"/>
                <w:szCs w:val="21"/>
                <w:b w:val="1"/>
                <w:bCs w:val="1"/>
                <w:color w:val="auto"/>
              </w:rPr>
              <w:t>(3,245,962)</w:t>
            </w:r>
          </w:p>
        </w:tc>
        <w:tc>
          <w:tcPr>
            <w:tcW w:w="1360" w:type="dxa"/>
            <w:vAlign w:val="bottom"/>
            <w:shd w:val="clear" w:color="auto" w:fill="CFF0FC"/>
          </w:tcPr>
          <w:p>
            <w:pPr>
              <w:jc w:val="right"/>
              <w:ind w:right="213"/>
              <w:spacing w:after="0"/>
              <w:rPr>
                <w:sz w:val="20"/>
                <w:szCs w:val="20"/>
                <w:color w:val="auto"/>
              </w:rPr>
            </w:pPr>
            <w:r>
              <w:rPr>
                <w:rFonts w:ascii="Arial" w:cs="Arial" w:eastAsia="Arial" w:hAnsi="Arial"/>
                <w:sz w:val="21"/>
                <w:szCs w:val="21"/>
                <w:b w:val="1"/>
                <w:bCs w:val="1"/>
                <w:color w:val="auto"/>
                <w:w w:val="94"/>
              </w:rPr>
              <w:t>(8,597,182)</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b w:val="1"/>
                <w:bCs w:val="1"/>
                <w:color w:val="auto"/>
              </w:rPr>
              <w:t>265%</w:t>
            </w:r>
          </w:p>
        </w:tc>
      </w:tr>
      <w:tr>
        <w:trPr>
          <w:trHeight w:val="254"/>
        </w:trPr>
        <w:tc>
          <w:tcPr>
            <w:tcW w:w="5740" w:type="dxa"/>
            <w:vAlign w:val="bottom"/>
          </w:tcPr>
          <w:p>
            <w:pPr>
              <w:spacing w:after="0"/>
              <w:rPr>
                <w:sz w:val="20"/>
                <w:szCs w:val="20"/>
                <w:color w:val="auto"/>
              </w:rPr>
            </w:pPr>
            <w:r>
              <w:rPr>
                <w:rFonts w:ascii="Arial" w:cs="Arial" w:eastAsia="Arial" w:hAnsi="Arial"/>
                <w:sz w:val="21"/>
                <w:szCs w:val="21"/>
                <w:b w:val="1"/>
                <w:bCs w:val="1"/>
                <w:color w:val="auto"/>
              </w:rPr>
              <w:t>Operating loss</w:t>
            </w:r>
          </w:p>
        </w:tc>
        <w:tc>
          <w:tcPr>
            <w:tcW w:w="1280" w:type="dxa"/>
            <w:vAlign w:val="bottom"/>
          </w:tcPr>
          <w:p>
            <w:pPr>
              <w:jc w:val="right"/>
              <w:spacing w:after="0"/>
              <w:rPr>
                <w:sz w:val="20"/>
                <w:szCs w:val="20"/>
                <w:color w:val="auto"/>
              </w:rPr>
            </w:pPr>
            <w:r>
              <w:rPr>
                <w:rFonts w:ascii="Arial" w:cs="Arial" w:eastAsia="Arial" w:hAnsi="Arial"/>
                <w:sz w:val="21"/>
                <w:szCs w:val="21"/>
                <w:b w:val="1"/>
                <w:bCs w:val="1"/>
                <w:color w:val="auto"/>
              </w:rPr>
              <w:t>(11,843,144)</w:t>
            </w:r>
          </w:p>
        </w:tc>
        <w:tc>
          <w:tcPr>
            <w:tcW w:w="1640" w:type="dxa"/>
            <w:vAlign w:val="bottom"/>
          </w:tcPr>
          <w:p>
            <w:pPr>
              <w:jc w:val="right"/>
              <w:ind w:right="213"/>
              <w:spacing w:after="0"/>
              <w:rPr>
                <w:sz w:val="20"/>
                <w:szCs w:val="20"/>
                <w:color w:val="auto"/>
              </w:rPr>
            </w:pPr>
            <w:r>
              <w:rPr>
                <w:rFonts w:ascii="Arial" w:cs="Arial" w:eastAsia="Arial" w:hAnsi="Arial"/>
                <w:sz w:val="21"/>
                <w:szCs w:val="21"/>
                <w:b w:val="1"/>
                <w:bCs w:val="1"/>
                <w:color w:val="auto"/>
              </w:rPr>
              <w:t>(3,245,962)</w:t>
            </w:r>
          </w:p>
        </w:tc>
        <w:tc>
          <w:tcPr>
            <w:tcW w:w="1360" w:type="dxa"/>
            <w:vAlign w:val="bottom"/>
          </w:tcPr>
          <w:p>
            <w:pPr>
              <w:jc w:val="right"/>
              <w:ind w:right="213"/>
              <w:spacing w:after="0"/>
              <w:rPr>
                <w:sz w:val="20"/>
                <w:szCs w:val="20"/>
                <w:color w:val="auto"/>
              </w:rPr>
            </w:pPr>
            <w:r>
              <w:rPr>
                <w:rFonts w:ascii="Arial" w:cs="Arial" w:eastAsia="Arial" w:hAnsi="Arial"/>
                <w:sz w:val="21"/>
                <w:szCs w:val="21"/>
                <w:b w:val="1"/>
                <w:bCs w:val="1"/>
                <w:color w:val="auto"/>
                <w:w w:val="94"/>
              </w:rPr>
              <w:t>(8,597,182)</w:t>
            </w:r>
          </w:p>
        </w:tc>
        <w:tc>
          <w:tcPr>
            <w:tcW w:w="1220" w:type="dxa"/>
            <w:vAlign w:val="bottom"/>
          </w:tcPr>
          <w:p>
            <w:pPr>
              <w:jc w:val="right"/>
              <w:spacing w:after="0"/>
              <w:rPr>
                <w:sz w:val="20"/>
                <w:szCs w:val="20"/>
                <w:color w:val="auto"/>
              </w:rPr>
            </w:pPr>
            <w:r>
              <w:rPr>
                <w:rFonts w:ascii="Arial" w:cs="Arial" w:eastAsia="Arial" w:hAnsi="Arial"/>
                <w:sz w:val="21"/>
                <w:szCs w:val="21"/>
                <w:b w:val="1"/>
                <w:bCs w:val="1"/>
                <w:color w:val="auto"/>
              </w:rPr>
              <w:t>265%</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Net foreign exchange income/(loss)</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21"/>
                <w:szCs w:val="21"/>
                <w:color w:val="auto"/>
              </w:rPr>
              <w:t>5,818,856</w:t>
            </w:r>
          </w:p>
        </w:tc>
        <w:tc>
          <w:tcPr>
            <w:tcW w:w="1640" w:type="dxa"/>
            <w:vAlign w:val="bottom"/>
            <w:shd w:val="clear" w:color="auto" w:fill="CFF0FC"/>
          </w:tcPr>
          <w:p>
            <w:pPr>
              <w:jc w:val="right"/>
              <w:ind w:right="213"/>
              <w:spacing w:after="0"/>
              <w:rPr>
                <w:sz w:val="20"/>
                <w:szCs w:val="20"/>
                <w:color w:val="auto"/>
              </w:rPr>
            </w:pPr>
            <w:r>
              <w:rPr>
                <w:rFonts w:ascii="Arial" w:cs="Arial" w:eastAsia="Arial" w:hAnsi="Arial"/>
                <w:sz w:val="21"/>
                <w:szCs w:val="21"/>
                <w:color w:val="auto"/>
              </w:rPr>
              <w:t>(30,573)</w:t>
            </w:r>
          </w:p>
        </w:tc>
        <w:tc>
          <w:tcPr>
            <w:tcW w:w="1360" w:type="dxa"/>
            <w:vAlign w:val="bottom"/>
            <w:shd w:val="clear" w:color="auto" w:fill="CFF0FC"/>
          </w:tcPr>
          <w:p>
            <w:pPr>
              <w:jc w:val="right"/>
              <w:ind w:right="293"/>
              <w:spacing w:after="0"/>
              <w:rPr>
                <w:sz w:val="20"/>
                <w:szCs w:val="20"/>
                <w:color w:val="auto"/>
              </w:rPr>
            </w:pPr>
            <w:r>
              <w:rPr>
                <w:rFonts w:ascii="Arial" w:cs="Arial" w:eastAsia="Arial" w:hAnsi="Arial"/>
                <w:sz w:val="21"/>
                <w:szCs w:val="21"/>
                <w:color w:val="auto"/>
              </w:rPr>
              <w:t>5,849,429</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-19133%</w:t>
            </w:r>
          </w:p>
        </w:tc>
      </w:tr>
      <w:tr>
        <w:trPr>
          <w:trHeight w:val="254"/>
        </w:trPr>
        <w:tc>
          <w:tcPr>
            <w:tcW w:w="5740" w:type="dxa"/>
            <w:vAlign w:val="bottom"/>
          </w:tcPr>
          <w:p>
            <w:pPr>
              <w:spacing w:after="0"/>
              <w:rPr>
                <w:sz w:val="20"/>
                <w:szCs w:val="20"/>
                <w:color w:val="auto"/>
              </w:rPr>
            </w:pPr>
            <w:r>
              <w:rPr>
                <w:rFonts w:ascii="Arial" w:cs="Arial" w:eastAsia="Arial" w:hAnsi="Arial"/>
                <w:sz w:val="21"/>
                <w:szCs w:val="21"/>
                <w:b w:val="1"/>
                <w:bCs w:val="1"/>
                <w:color w:val="auto"/>
              </w:rPr>
              <w:t>Loss before tax</w:t>
            </w:r>
          </w:p>
        </w:tc>
        <w:tc>
          <w:tcPr>
            <w:tcW w:w="1280" w:type="dxa"/>
            <w:vAlign w:val="bottom"/>
          </w:tcPr>
          <w:p>
            <w:pPr>
              <w:jc w:val="right"/>
              <w:spacing w:after="0"/>
              <w:rPr>
                <w:sz w:val="20"/>
                <w:szCs w:val="20"/>
                <w:color w:val="auto"/>
              </w:rPr>
            </w:pPr>
            <w:r>
              <w:rPr>
                <w:rFonts w:ascii="Arial" w:cs="Arial" w:eastAsia="Arial" w:hAnsi="Arial"/>
                <w:sz w:val="21"/>
                <w:szCs w:val="21"/>
                <w:b w:val="1"/>
                <w:bCs w:val="1"/>
                <w:color w:val="auto"/>
              </w:rPr>
              <w:t>(6,024,288)</w:t>
            </w:r>
          </w:p>
        </w:tc>
        <w:tc>
          <w:tcPr>
            <w:tcW w:w="1640" w:type="dxa"/>
            <w:vAlign w:val="bottom"/>
          </w:tcPr>
          <w:p>
            <w:pPr>
              <w:jc w:val="right"/>
              <w:ind w:right="213"/>
              <w:spacing w:after="0"/>
              <w:rPr>
                <w:sz w:val="20"/>
                <w:szCs w:val="20"/>
                <w:color w:val="auto"/>
              </w:rPr>
            </w:pPr>
            <w:r>
              <w:rPr>
                <w:rFonts w:ascii="Arial" w:cs="Arial" w:eastAsia="Arial" w:hAnsi="Arial"/>
                <w:sz w:val="21"/>
                <w:szCs w:val="21"/>
                <w:b w:val="1"/>
                <w:bCs w:val="1"/>
                <w:color w:val="auto"/>
              </w:rPr>
              <w:t>(3,276,535)</w:t>
            </w:r>
          </w:p>
        </w:tc>
        <w:tc>
          <w:tcPr>
            <w:tcW w:w="1360" w:type="dxa"/>
            <w:vAlign w:val="bottom"/>
          </w:tcPr>
          <w:p>
            <w:pPr>
              <w:jc w:val="right"/>
              <w:ind w:right="213"/>
              <w:spacing w:after="0"/>
              <w:rPr>
                <w:sz w:val="20"/>
                <w:szCs w:val="20"/>
                <w:color w:val="auto"/>
              </w:rPr>
            </w:pPr>
            <w:r>
              <w:rPr>
                <w:rFonts w:ascii="Arial" w:cs="Arial" w:eastAsia="Arial" w:hAnsi="Arial"/>
                <w:sz w:val="21"/>
                <w:szCs w:val="21"/>
                <w:b w:val="1"/>
                <w:bCs w:val="1"/>
                <w:color w:val="auto"/>
                <w:w w:val="94"/>
              </w:rPr>
              <w:t>(2,747,753)</w:t>
            </w:r>
          </w:p>
        </w:tc>
        <w:tc>
          <w:tcPr>
            <w:tcW w:w="1220" w:type="dxa"/>
            <w:vAlign w:val="bottom"/>
          </w:tcPr>
          <w:p>
            <w:pPr>
              <w:jc w:val="right"/>
              <w:spacing w:after="0"/>
              <w:rPr>
                <w:sz w:val="20"/>
                <w:szCs w:val="20"/>
                <w:color w:val="auto"/>
              </w:rPr>
            </w:pPr>
            <w:r>
              <w:rPr>
                <w:rFonts w:ascii="Arial" w:cs="Arial" w:eastAsia="Arial" w:hAnsi="Arial"/>
                <w:sz w:val="21"/>
                <w:szCs w:val="21"/>
                <w:b w:val="1"/>
                <w:bCs w:val="1"/>
                <w:color w:val="auto"/>
              </w:rPr>
              <w:t>84%</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Income taxes</w:t>
            </w:r>
          </w:p>
        </w:tc>
        <w:tc>
          <w:tcPr>
            <w:tcW w:w="12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(18,589)</w:t>
            </w:r>
          </w:p>
        </w:tc>
        <w:tc>
          <w:tcPr>
            <w:tcW w:w="1640" w:type="dxa"/>
            <w:vAlign w:val="bottom"/>
            <w:shd w:val="clear" w:color="auto" w:fill="CFF0FC"/>
          </w:tcPr>
          <w:p>
            <w:pPr>
              <w:jc w:val="right"/>
              <w:ind w:right="313"/>
              <w:spacing w:after="0"/>
              <w:rPr>
                <w:sz w:val="20"/>
                <w:szCs w:val="20"/>
                <w:color w:val="auto"/>
              </w:rPr>
            </w:pPr>
            <w:r>
              <w:rPr>
                <w:rFonts w:ascii="Arial" w:cs="Arial" w:eastAsia="Arial" w:hAnsi="Arial"/>
                <w:sz w:val="21"/>
                <w:szCs w:val="21"/>
                <w:color w:val="auto"/>
              </w:rPr>
              <w:t>-</w:t>
            </w:r>
          </w:p>
        </w:tc>
        <w:tc>
          <w:tcPr>
            <w:tcW w:w="1360" w:type="dxa"/>
            <w:vAlign w:val="bottom"/>
            <w:shd w:val="clear" w:color="auto" w:fill="CFF0FC"/>
          </w:tcPr>
          <w:p>
            <w:pPr>
              <w:jc w:val="right"/>
              <w:ind w:right="213"/>
              <w:spacing w:after="0"/>
              <w:rPr>
                <w:sz w:val="20"/>
                <w:szCs w:val="20"/>
                <w:color w:val="auto"/>
              </w:rPr>
            </w:pPr>
            <w:r>
              <w:rPr>
                <w:rFonts w:ascii="Arial" w:cs="Arial" w:eastAsia="Arial" w:hAnsi="Arial"/>
                <w:sz w:val="21"/>
                <w:szCs w:val="21"/>
                <w:color w:val="auto"/>
              </w:rPr>
              <w:t>(18,589)</w:t>
            </w:r>
          </w:p>
        </w:tc>
        <w:tc>
          <w:tcPr>
            <w:tcW w:w="1220" w:type="dxa"/>
            <w:vAlign w:val="bottom"/>
            <w:shd w:val="clear" w:color="auto" w:fill="CFF0FC"/>
          </w:tcPr>
          <w:p>
            <w:pPr>
              <w:jc w:val="right"/>
              <w:ind w:right="133"/>
              <w:spacing w:after="0"/>
              <w:rPr>
                <w:sz w:val="20"/>
                <w:szCs w:val="20"/>
                <w:color w:val="auto"/>
              </w:rPr>
            </w:pPr>
            <w:r>
              <w:rPr>
                <w:rFonts w:ascii="Arial" w:cs="Arial" w:eastAsia="Arial" w:hAnsi="Arial"/>
                <w:sz w:val="21"/>
                <w:szCs w:val="21"/>
                <w:color w:val="auto"/>
              </w:rPr>
              <w:t>-</w:t>
            </w:r>
          </w:p>
        </w:tc>
      </w:tr>
      <w:tr>
        <w:trPr>
          <w:trHeight w:val="279"/>
        </w:trPr>
        <w:tc>
          <w:tcPr>
            <w:tcW w:w="5740" w:type="dxa"/>
            <w:vAlign w:val="bottom"/>
          </w:tcPr>
          <w:p>
            <w:pPr>
              <w:spacing w:after="0"/>
              <w:rPr>
                <w:sz w:val="20"/>
                <w:szCs w:val="20"/>
                <w:color w:val="auto"/>
              </w:rPr>
            </w:pPr>
            <w:r>
              <w:rPr>
                <w:rFonts w:ascii="Arial" w:cs="Arial" w:eastAsia="Arial" w:hAnsi="Arial"/>
                <w:sz w:val="21"/>
                <w:szCs w:val="21"/>
                <w:b w:val="1"/>
                <w:bCs w:val="1"/>
                <w:color w:val="auto"/>
              </w:rPr>
              <w:t>Loss for the period</w:t>
            </w:r>
          </w:p>
        </w:tc>
        <w:tc>
          <w:tcPr>
            <w:tcW w:w="1280" w:type="dxa"/>
            <w:vAlign w:val="bottom"/>
          </w:tcPr>
          <w:p>
            <w:pPr>
              <w:jc w:val="right"/>
              <w:spacing w:after="0"/>
              <w:rPr>
                <w:sz w:val="20"/>
                <w:szCs w:val="20"/>
                <w:color w:val="auto"/>
              </w:rPr>
            </w:pPr>
            <w:r>
              <w:rPr>
                <w:rFonts w:ascii="Arial" w:cs="Arial" w:eastAsia="Arial" w:hAnsi="Arial"/>
                <w:sz w:val="21"/>
                <w:szCs w:val="21"/>
                <w:b w:val="1"/>
                <w:bCs w:val="1"/>
                <w:color w:val="auto"/>
              </w:rPr>
              <w:t>(6,042,877)</w:t>
            </w:r>
          </w:p>
        </w:tc>
        <w:tc>
          <w:tcPr>
            <w:tcW w:w="1640" w:type="dxa"/>
            <w:vAlign w:val="bottom"/>
          </w:tcPr>
          <w:p>
            <w:pPr>
              <w:jc w:val="right"/>
              <w:ind w:right="213"/>
              <w:spacing w:after="0"/>
              <w:rPr>
                <w:sz w:val="20"/>
                <w:szCs w:val="20"/>
                <w:color w:val="auto"/>
              </w:rPr>
            </w:pPr>
            <w:r>
              <w:rPr>
                <w:rFonts w:ascii="Arial" w:cs="Arial" w:eastAsia="Arial" w:hAnsi="Arial"/>
                <w:sz w:val="21"/>
                <w:szCs w:val="21"/>
                <w:b w:val="1"/>
                <w:bCs w:val="1"/>
                <w:color w:val="auto"/>
              </w:rPr>
              <w:t>(3,276,535)</w:t>
            </w:r>
          </w:p>
        </w:tc>
        <w:tc>
          <w:tcPr>
            <w:tcW w:w="1360" w:type="dxa"/>
            <w:vAlign w:val="bottom"/>
          </w:tcPr>
          <w:p>
            <w:pPr>
              <w:jc w:val="right"/>
              <w:ind w:right="213"/>
              <w:spacing w:after="0"/>
              <w:rPr>
                <w:sz w:val="20"/>
                <w:szCs w:val="20"/>
                <w:color w:val="auto"/>
              </w:rPr>
            </w:pPr>
            <w:r>
              <w:rPr>
                <w:rFonts w:ascii="Arial" w:cs="Arial" w:eastAsia="Arial" w:hAnsi="Arial"/>
                <w:sz w:val="21"/>
                <w:szCs w:val="21"/>
                <w:b w:val="1"/>
                <w:bCs w:val="1"/>
                <w:color w:val="auto"/>
                <w:w w:val="94"/>
              </w:rPr>
              <w:t>(2,766,342)</w:t>
            </w:r>
          </w:p>
        </w:tc>
        <w:tc>
          <w:tcPr>
            <w:tcW w:w="1220" w:type="dxa"/>
            <w:vAlign w:val="bottom"/>
          </w:tcPr>
          <w:p>
            <w:pPr>
              <w:jc w:val="right"/>
              <w:spacing w:after="0"/>
              <w:rPr>
                <w:sz w:val="20"/>
                <w:szCs w:val="20"/>
                <w:color w:val="auto"/>
              </w:rPr>
            </w:pPr>
            <w:r>
              <w:rPr>
                <w:rFonts w:ascii="Arial" w:cs="Arial" w:eastAsia="Arial" w:hAnsi="Arial"/>
                <w:sz w:val="21"/>
                <w:szCs w:val="21"/>
                <w:b w:val="1"/>
                <w:bCs w:val="1"/>
                <w:color w:val="auto"/>
              </w:rPr>
              <w:t>84%</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generate any revenues for the three months ended March 31, 2021 and March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60" w:type="dxa"/>
            <w:vAlign w:val="bottom"/>
          </w:tcPr>
          <w:p>
            <w:pPr>
              <w:ind w:left="440"/>
              <w:spacing w:after="0"/>
              <w:rPr>
                <w:sz w:val="20"/>
                <w:szCs w:val="20"/>
                <w:color w:val="auto"/>
              </w:rPr>
            </w:pPr>
            <w:r>
              <w:rPr>
                <w:rFonts w:ascii="Arial" w:cs="Arial" w:eastAsia="Arial" w:hAnsi="Arial"/>
                <w:sz w:val="18"/>
                <w:szCs w:val="18"/>
                <w:i w:val="1"/>
                <w:iCs w:val="1"/>
                <w:color w:val="auto"/>
              </w:rPr>
              <w:t>Research and development expenses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69"/>
        </w:trPr>
        <w:tc>
          <w:tcPr>
            <w:tcW w:w="5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gridSpan w:val="6"/>
          </w:tcPr>
          <w:p>
            <w:pPr>
              <w:jc w:val="center"/>
              <w:ind w:right="80"/>
              <w:spacing w:after="0"/>
              <w:rPr>
                <w:sz w:val="20"/>
                <w:szCs w:val="20"/>
                <w:color w:val="auto"/>
              </w:rPr>
            </w:pPr>
            <w:r>
              <w:rPr>
                <w:rFonts w:ascii="Arial" w:cs="Arial" w:eastAsia="Arial" w:hAnsi="Arial"/>
                <w:sz w:val="21"/>
                <w:szCs w:val="21"/>
                <w:b w:val="1"/>
                <w:bCs w:val="1"/>
                <w:color w:val="auto"/>
                <w:w w:val="90"/>
              </w:rPr>
              <w:t>For the three months ended</w:t>
            </w:r>
          </w:p>
        </w:tc>
        <w:tc>
          <w:tcPr>
            <w:tcW w:w="1380" w:type="dxa"/>
            <w:vAlign w:val="bottom"/>
          </w:tcPr>
          <w:p>
            <w:pPr>
              <w:spacing w:after="0"/>
              <w:rPr>
                <w:sz w:val="24"/>
                <w:szCs w:val="24"/>
                <w:color w:val="auto"/>
              </w:rPr>
            </w:pPr>
          </w:p>
        </w:tc>
      </w:tr>
      <w:tr>
        <w:trPr>
          <w:trHeight w:val="268"/>
        </w:trPr>
        <w:tc>
          <w:tcPr>
            <w:tcW w:w="586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21"/>
                <w:szCs w:val="21"/>
                <w:b w:val="1"/>
                <w:bCs w:val="1"/>
                <w:color w:val="auto"/>
                <w:w w:val="96"/>
              </w:rPr>
              <w:t>March 31</w:t>
            </w:r>
          </w:p>
        </w:tc>
        <w:tc>
          <w:tcPr>
            <w:tcW w:w="1380" w:type="dxa"/>
            <w:vAlign w:val="bottom"/>
            <w:tcBorders>
              <w:bottom w:val="single" w:sz="8" w:color="auto"/>
            </w:tcBorders>
          </w:tcPr>
          <w:p>
            <w:pPr>
              <w:spacing w:after="0"/>
              <w:rPr>
                <w:sz w:val="23"/>
                <w:szCs w:val="23"/>
                <w:color w:val="auto"/>
              </w:rPr>
            </w:pPr>
          </w:p>
        </w:tc>
      </w:tr>
      <w:tr>
        <w:trPr>
          <w:trHeight w:val="247"/>
        </w:trPr>
        <w:tc>
          <w:tcPr>
            <w:tcW w:w="5860" w:type="dxa"/>
            <w:vAlign w:val="bottom"/>
          </w:tcPr>
          <w:p>
            <w:pPr>
              <w:spacing w:after="0"/>
              <w:rPr>
                <w:sz w:val="21"/>
                <w:szCs w:val="21"/>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21"/>
                <w:szCs w:val="21"/>
                <w:b w:val="1"/>
                <w:bCs w:val="1"/>
                <w:color w:val="auto"/>
              </w:rPr>
              <w:t>2021</w:t>
            </w:r>
          </w:p>
        </w:tc>
        <w:tc>
          <w:tcPr>
            <w:tcW w:w="136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21"/>
                <w:szCs w:val="21"/>
                <w:b w:val="1"/>
                <w:bCs w:val="1"/>
                <w:color w:val="auto"/>
              </w:rPr>
              <w:t>2020</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b w:val="1"/>
                <w:bCs w:val="1"/>
                <w:color w:val="auto"/>
              </w:rPr>
              <w:t>Change</w:t>
            </w: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w:t>
            </w:r>
          </w:p>
        </w:tc>
      </w:tr>
      <w:tr>
        <w:trPr>
          <w:trHeight w:val="247"/>
        </w:trPr>
        <w:tc>
          <w:tcPr>
            <w:tcW w:w="5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center"/>
              <w:ind w:left="893"/>
              <w:spacing w:after="0"/>
              <w:rPr>
                <w:sz w:val="20"/>
                <w:szCs w:val="20"/>
                <w:color w:val="auto"/>
              </w:rPr>
            </w:pPr>
            <w:r>
              <w:rPr>
                <w:rFonts w:ascii="Arial" w:cs="Arial" w:eastAsia="Arial" w:hAnsi="Arial"/>
                <w:sz w:val="21"/>
                <w:szCs w:val="21"/>
                <w:b w:val="1"/>
                <w:bCs w:val="1"/>
                <w:color w:val="auto"/>
                <w:w w:val="95"/>
              </w:rPr>
              <w:t>(in €)</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4"/>
        </w:trPr>
        <w:tc>
          <w:tcPr>
            <w:tcW w:w="5860" w:type="dxa"/>
            <w:vAlign w:val="bottom"/>
            <w:shd w:val="clear" w:color="auto" w:fill="CFF0FC"/>
          </w:tcPr>
          <w:p>
            <w:pPr>
              <w:spacing w:after="0"/>
              <w:rPr>
                <w:sz w:val="20"/>
                <w:szCs w:val="20"/>
                <w:color w:val="auto"/>
              </w:rPr>
            </w:pPr>
            <w:r>
              <w:rPr>
                <w:rFonts w:ascii="Arial" w:cs="Arial" w:eastAsia="Arial" w:hAnsi="Arial"/>
                <w:sz w:val="21"/>
                <w:szCs w:val="21"/>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(2,008,496)</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(456,387)</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w w:val="94"/>
              </w:rPr>
              <w:t>(1,552,109)</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340%</w:t>
            </w:r>
          </w:p>
        </w:tc>
      </w:tr>
      <w:tr>
        <w:trPr>
          <w:trHeight w:val="254"/>
        </w:trPr>
        <w:tc>
          <w:tcPr>
            <w:tcW w:w="5860" w:type="dxa"/>
            <w:vAlign w:val="bottom"/>
          </w:tcPr>
          <w:p>
            <w:pPr>
              <w:spacing w:after="0"/>
              <w:rPr>
                <w:sz w:val="20"/>
                <w:szCs w:val="20"/>
                <w:color w:val="auto"/>
              </w:rPr>
            </w:pPr>
            <w:r>
              <w:rPr>
                <w:rFonts w:ascii="Arial" w:cs="Arial" w:eastAsia="Arial" w:hAnsi="Arial"/>
                <w:sz w:val="21"/>
                <w:szCs w:val="21"/>
                <w:color w:val="auto"/>
              </w:rPr>
              <w:t>Clinical expenses</w:t>
            </w:r>
          </w:p>
        </w:tc>
        <w:tc>
          <w:tcPr>
            <w:tcW w:w="1240" w:type="dxa"/>
            <w:vAlign w:val="bottom"/>
          </w:tcPr>
          <w:p>
            <w:pPr>
              <w:jc w:val="right"/>
              <w:spacing w:after="0"/>
              <w:rPr>
                <w:sz w:val="20"/>
                <w:szCs w:val="20"/>
                <w:color w:val="auto"/>
              </w:rPr>
            </w:pPr>
            <w:r>
              <w:rPr>
                <w:rFonts w:ascii="Arial" w:cs="Arial" w:eastAsia="Arial" w:hAnsi="Arial"/>
                <w:sz w:val="21"/>
                <w:szCs w:val="21"/>
                <w:color w:val="auto"/>
              </w:rPr>
              <w:t>(3,265,702)</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(1,179,563)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w w:val="94"/>
              </w:rPr>
              <w:t>(2,086,139)</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177%</w:t>
            </w:r>
          </w:p>
        </w:tc>
      </w:tr>
      <w:tr>
        <w:trPr>
          <w:trHeight w:val="254"/>
        </w:trPr>
        <w:tc>
          <w:tcPr>
            <w:tcW w:w="5860" w:type="dxa"/>
            <w:vAlign w:val="bottom"/>
            <w:shd w:val="clear" w:color="auto" w:fill="CFF0FC"/>
          </w:tcPr>
          <w:p>
            <w:pPr>
              <w:spacing w:after="0"/>
              <w:rPr>
                <w:sz w:val="20"/>
                <w:szCs w:val="20"/>
                <w:color w:val="auto"/>
              </w:rPr>
            </w:pPr>
            <w:r>
              <w:rPr>
                <w:rFonts w:ascii="Arial" w:cs="Arial" w:eastAsia="Arial" w:hAnsi="Arial"/>
                <w:sz w:val="21"/>
                <w:szCs w:val="21"/>
                <w:color w:val="auto"/>
              </w:rPr>
              <w:t>Pre-clinical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(962,053)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(354,889)</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(607,164)</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171%</w:t>
            </w:r>
          </w:p>
        </w:tc>
      </w:tr>
      <w:tr>
        <w:trPr>
          <w:trHeight w:val="254"/>
        </w:trPr>
        <w:tc>
          <w:tcPr>
            <w:tcW w:w="5860" w:type="dxa"/>
            <w:vAlign w:val="bottom"/>
          </w:tcPr>
          <w:p>
            <w:pPr>
              <w:spacing w:after="0"/>
              <w:rPr>
                <w:sz w:val="20"/>
                <w:szCs w:val="20"/>
                <w:color w:val="auto"/>
              </w:rPr>
            </w:pPr>
            <w:r>
              <w:rPr>
                <w:rFonts w:ascii="Arial" w:cs="Arial" w:eastAsia="Arial" w:hAnsi="Arial"/>
                <w:sz w:val="21"/>
                <w:szCs w:val="21"/>
                <w:color w:val="auto"/>
              </w:rPr>
              <w:t>Manufacturing costs</w:t>
            </w:r>
          </w:p>
        </w:tc>
        <w:tc>
          <w:tcPr>
            <w:tcW w:w="1240" w:type="dxa"/>
            <w:vAlign w:val="bottom"/>
          </w:tcPr>
          <w:p>
            <w:pPr>
              <w:jc w:val="right"/>
              <w:spacing w:after="0"/>
              <w:rPr>
                <w:sz w:val="20"/>
                <w:szCs w:val="20"/>
                <w:color w:val="auto"/>
              </w:rPr>
            </w:pPr>
            <w:r>
              <w:rPr>
                <w:rFonts w:ascii="Arial" w:cs="Arial" w:eastAsia="Arial" w:hAnsi="Arial"/>
                <w:sz w:val="21"/>
                <w:szCs w:val="21"/>
                <w:color w:val="auto"/>
              </w:rPr>
              <w:t>(1,318,192)</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(411,687)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(906,505)</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220%</w:t>
            </w:r>
          </w:p>
        </w:tc>
      </w:tr>
      <w:tr>
        <w:trPr>
          <w:trHeight w:val="254"/>
        </w:trPr>
        <w:tc>
          <w:tcPr>
            <w:tcW w:w="5860" w:type="dxa"/>
            <w:vAlign w:val="bottom"/>
            <w:shd w:val="clear" w:color="auto" w:fill="CFF0FC"/>
          </w:tcPr>
          <w:p>
            <w:pPr>
              <w:spacing w:after="0"/>
              <w:rPr>
                <w:sz w:val="20"/>
                <w:szCs w:val="20"/>
                <w:color w:val="auto"/>
              </w:rPr>
            </w:pPr>
            <w:r>
              <w:rPr>
                <w:rFonts w:ascii="Arial" w:cs="Arial" w:eastAsia="Arial" w:hAnsi="Arial"/>
                <w:sz w:val="21"/>
                <w:szCs w:val="21"/>
                <w:color w:val="auto"/>
              </w:rPr>
              <w:t>License costs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(500,000)</w:t>
            </w:r>
          </w:p>
        </w:tc>
        <w:tc>
          <w:tcPr>
            <w:tcW w:w="1360" w:type="dxa"/>
            <w:vAlign w:val="bottom"/>
            <w:gridSpan w:val="2"/>
            <w:shd w:val="clear" w:color="auto" w:fill="CFF0FC"/>
          </w:tcPr>
          <w:p>
            <w:pPr>
              <w:jc w:val="right"/>
              <w:ind w:right="13"/>
              <w:spacing w:after="0"/>
              <w:rPr>
                <w:sz w:val="20"/>
                <w:szCs w:val="20"/>
                <w:color w:val="auto"/>
              </w:rPr>
            </w:pPr>
            <w:r>
              <w:rPr>
                <w:rFonts w:ascii="Arial" w:cs="Arial" w:eastAsia="Arial" w:hAnsi="Arial"/>
                <w:sz w:val="21"/>
                <w:szCs w:val="21"/>
                <w:color w:val="auto"/>
              </w:rPr>
              <w:t>-</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(500,000)</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33"/>
              <w:spacing w:after="0"/>
              <w:rPr>
                <w:sz w:val="20"/>
                <w:szCs w:val="20"/>
                <w:color w:val="auto"/>
              </w:rPr>
            </w:pPr>
            <w:r>
              <w:rPr>
                <w:rFonts w:ascii="Arial" w:cs="Arial" w:eastAsia="Arial" w:hAnsi="Arial"/>
                <w:sz w:val="21"/>
                <w:szCs w:val="21"/>
                <w:color w:val="auto"/>
              </w:rPr>
              <w:t>-</w:t>
            </w:r>
          </w:p>
        </w:tc>
      </w:tr>
      <w:tr>
        <w:trPr>
          <w:trHeight w:val="254"/>
        </w:trPr>
        <w:tc>
          <w:tcPr>
            <w:tcW w:w="5860" w:type="dxa"/>
            <w:vAlign w:val="bottom"/>
          </w:tcPr>
          <w:p>
            <w:pPr>
              <w:spacing w:after="0"/>
              <w:rPr>
                <w:sz w:val="20"/>
                <w:szCs w:val="20"/>
                <w:color w:val="auto"/>
              </w:rPr>
            </w:pPr>
            <w:r>
              <w:rPr>
                <w:rFonts w:ascii="Arial" w:cs="Arial" w:eastAsia="Arial" w:hAnsi="Arial"/>
                <w:sz w:val="21"/>
                <w:szCs w:val="21"/>
                <w:color w:val="auto"/>
              </w:rPr>
              <w:t>Intellectual Property costs</w:t>
            </w:r>
          </w:p>
        </w:tc>
        <w:tc>
          <w:tcPr>
            <w:tcW w:w="1240" w:type="dxa"/>
            <w:vAlign w:val="bottom"/>
          </w:tcPr>
          <w:p>
            <w:pPr>
              <w:jc w:val="right"/>
              <w:spacing w:after="0"/>
              <w:rPr>
                <w:sz w:val="20"/>
                <w:szCs w:val="20"/>
                <w:color w:val="auto"/>
              </w:rPr>
            </w:pPr>
            <w:r>
              <w:rPr>
                <w:rFonts w:ascii="Arial" w:cs="Arial" w:eastAsia="Arial" w:hAnsi="Arial"/>
                <w:sz w:val="21"/>
                <w:szCs w:val="21"/>
                <w:color w:val="auto"/>
              </w:rPr>
              <w:t>(17,008)</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(875)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(16,133)</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1"/>
                <w:szCs w:val="21"/>
                <w:color w:val="auto"/>
              </w:rPr>
              <w:t>1844%</w:t>
            </w:r>
          </w:p>
        </w:tc>
      </w:tr>
      <w:tr>
        <w:trPr>
          <w:trHeight w:val="247"/>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1"/>
                <w:szCs w:val="21"/>
                <w:b w:val="1"/>
                <w:bCs w:val="1"/>
                <w:color w:val="auto"/>
              </w:rPr>
              <w:t>Total research and development expenses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b w:val="1"/>
                <w:bCs w:val="1"/>
                <w:color w:val="auto"/>
              </w:rPr>
              <w:t>(8,071,451)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b w:val="1"/>
                <w:bCs w:val="1"/>
                <w:color w:val="auto"/>
              </w:rPr>
              <w:t>(2,403,401)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b w:val="1"/>
                <w:bCs w:val="1"/>
                <w:color w:val="auto"/>
                <w:w w:val="94"/>
              </w:rPr>
              <w:t>(5,668,050)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1"/>
                <w:szCs w:val="21"/>
                <w:b w:val="1"/>
                <w:bCs w:val="1"/>
                <w:color w:val="auto"/>
              </w:rPr>
              <w:t>236%</w:t>
            </w:r>
          </w:p>
        </w:tc>
      </w:tr>
      <w:tr>
        <w:trPr>
          <w:trHeight w:val="20"/>
        </w:trPr>
        <w:tc>
          <w:tcPr>
            <w:tcW w:w="5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Research and development expenses increased from €2,403,401 for the three months ended March 31, 2020 to €8,071,451 for the three months ended March 31, 2021. The increase in the research and development expenses is mainly driven by the progress made in the PHVS416 and PHVS719 development programs in 2021. Clinical expenses increased by €2,086,139 for the three months ended March 31, 2021 compared to the three months ended March 31, 2020 due to the expansion of the Phase 1 clinical program and the initiation of the RAPIDe-1 Phase 2 on demand study. Pre-clinical expenses increased by €607,164 for the three months ended March 31, 2021 compared to the three months ended March 31, 2020 due to advancement of the preparations for the Phase 2 and Phase 3 clinical PHVS416 and PHVS719 programs. Manufacturing costs relating to the API and pharmaceutical development of PHVS416 and PHVS719 increased by €906,505 for the three months ended March 31, 2021 compared to the three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20"/>
          </w:cols>
          <w:pgMar w:left="320" w:top="299" w:right="259" w:bottom="1440"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months ended March 31, 2020 to supply both clinical programs and the Phase 3 pre-clinical study package. For the three months ended March 31, 2021 license costs reflected a milestone payment of €500,000 that was paid to Analyticon upon start of the clinical Phase 2. In the personnel expenses for the three months ended March 31, 2021 and 2020 an amount of €1,358,701 and €216,879, respectively, was included related to the share-based payments arrangements. The increase in the share-based payment expenses is due to the grants awarded in 2021 and the remeasurement of the fair values of the stock options related to the performance periods 2021 and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ind w:left="440"/>
              <w:spacing w:after="0"/>
              <w:rPr>
                <w:sz w:val="20"/>
                <w:szCs w:val="20"/>
                <w:color w:val="auto"/>
              </w:rPr>
            </w:pPr>
            <w:r>
              <w:rPr>
                <w:rFonts w:ascii="Arial" w:cs="Arial" w:eastAsia="Arial" w:hAnsi="Arial"/>
                <w:sz w:val="18"/>
                <w:szCs w:val="18"/>
                <w:i w:val="1"/>
                <w:iCs w:val="1"/>
                <w:color w:val="auto"/>
              </w:rPr>
              <w:t>General and administrative expenses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69"/>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00" w:type="dxa"/>
            <w:vAlign w:val="bottom"/>
            <w:gridSpan w:val="6"/>
          </w:tcPr>
          <w:p>
            <w:pPr>
              <w:jc w:val="center"/>
              <w:ind w:right="120"/>
              <w:spacing w:after="0"/>
              <w:rPr>
                <w:sz w:val="20"/>
                <w:szCs w:val="20"/>
                <w:color w:val="auto"/>
              </w:rPr>
            </w:pPr>
            <w:r>
              <w:rPr>
                <w:rFonts w:ascii="Arial" w:cs="Arial" w:eastAsia="Arial" w:hAnsi="Arial"/>
                <w:sz w:val="21"/>
                <w:szCs w:val="21"/>
                <w:b w:val="1"/>
                <w:bCs w:val="1"/>
                <w:color w:val="auto"/>
                <w:w w:val="91"/>
              </w:rPr>
              <w:t>For the three months ended</w:t>
            </w:r>
          </w:p>
        </w:tc>
        <w:tc>
          <w:tcPr>
            <w:tcW w:w="1360" w:type="dxa"/>
            <w:vAlign w:val="bottom"/>
          </w:tcPr>
          <w:p>
            <w:pPr>
              <w:spacing w:after="0"/>
              <w:rPr>
                <w:sz w:val="24"/>
                <w:szCs w:val="24"/>
                <w:color w:val="auto"/>
              </w:rPr>
            </w:pPr>
          </w:p>
        </w:tc>
      </w:tr>
      <w:tr>
        <w:trPr>
          <w:trHeight w:val="268"/>
        </w:trPr>
        <w:tc>
          <w:tcPr>
            <w:tcW w:w="574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21"/>
                <w:szCs w:val="21"/>
                <w:b w:val="1"/>
                <w:bCs w:val="1"/>
                <w:color w:val="auto"/>
                <w:w w:val="96"/>
              </w:rPr>
              <w:t>March 31</w:t>
            </w:r>
          </w:p>
        </w:tc>
        <w:tc>
          <w:tcPr>
            <w:tcW w:w="1360" w:type="dxa"/>
            <w:vAlign w:val="bottom"/>
            <w:tcBorders>
              <w:bottom w:val="single" w:sz="8" w:color="auto"/>
            </w:tcBorders>
          </w:tcPr>
          <w:p>
            <w:pPr>
              <w:spacing w:after="0"/>
              <w:rPr>
                <w:sz w:val="23"/>
                <w:szCs w:val="23"/>
                <w:color w:val="auto"/>
              </w:rPr>
            </w:pPr>
          </w:p>
        </w:tc>
      </w:tr>
      <w:tr>
        <w:trPr>
          <w:trHeight w:val="247"/>
        </w:trPr>
        <w:tc>
          <w:tcPr>
            <w:tcW w:w="5740" w:type="dxa"/>
            <w:vAlign w:val="bottom"/>
          </w:tcPr>
          <w:p>
            <w:pPr>
              <w:spacing w:after="0"/>
              <w:rPr>
                <w:sz w:val="21"/>
                <w:szCs w:val="21"/>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21"/>
                <w:szCs w:val="21"/>
                <w:b w:val="1"/>
                <w:bCs w:val="1"/>
                <w:color w:val="auto"/>
              </w:rPr>
              <w:t>2021</w:t>
            </w:r>
          </w:p>
        </w:tc>
        <w:tc>
          <w:tcPr>
            <w:tcW w:w="138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21"/>
                <w:szCs w:val="21"/>
                <w:b w:val="1"/>
                <w:bCs w:val="1"/>
                <w:color w:val="auto"/>
              </w:rPr>
              <w:t>2020</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b w:val="1"/>
                <w:bCs w:val="1"/>
                <w:color w:val="auto"/>
              </w:rPr>
              <w:t>Change</w:t>
            </w: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w:t>
            </w:r>
          </w:p>
        </w:tc>
      </w:tr>
      <w:tr>
        <w:trPr>
          <w:trHeight w:val="247"/>
        </w:trPr>
        <w:tc>
          <w:tcPr>
            <w:tcW w:w="5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center"/>
              <w:ind w:left="873"/>
              <w:spacing w:after="0"/>
              <w:rPr>
                <w:sz w:val="20"/>
                <w:szCs w:val="20"/>
                <w:color w:val="auto"/>
              </w:rPr>
            </w:pPr>
            <w:r>
              <w:rPr>
                <w:rFonts w:ascii="Arial" w:cs="Arial" w:eastAsia="Arial" w:hAnsi="Arial"/>
                <w:sz w:val="21"/>
                <w:szCs w:val="21"/>
                <w:b w:val="1"/>
                <w:bCs w:val="1"/>
                <w:color w:val="auto"/>
                <w:w w:val="95"/>
              </w:rPr>
              <w:t>(in €)</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(1,241,065)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(158,448)</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w w:val="94"/>
              </w:rPr>
              <w:t>(1,082,617)</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683%</w:t>
            </w:r>
          </w:p>
        </w:tc>
      </w:tr>
      <w:tr>
        <w:trPr>
          <w:trHeight w:val="254"/>
        </w:trPr>
        <w:tc>
          <w:tcPr>
            <w:tcW w:w="5740" w:type="dxa"/>
            <w:vAlign w:val="bottom"/>
          </w:tcPr>
          <w:p>
            <w:pPr>
              <w:spacing w:after="0"/>
              <w:rPr>
                <w:sz w:val="20"/>
                <w:szCs w:val="20"/>
                <w:color w:val="auto"/>
              </w:rPr>
            </w:pPr>
            <w:r>
              <w:rPr>
                <w:rFonts w:ascii="Arial" w:cs="Arial" w:eastAsia="Arial" w:hAnsi="Arial"/>
                <w:sz w:val="21"/>
                <w:szCs w:val="21"/>
                <w:color w:val="auto"/>
              </w:rPr>
              <w:t>Consulting fees</w:t>
            </w:r>
          </w:p>
        </w:tc>
        <w:tc>
          <w:tcPr>
            <w:tcW w:w="1240" w:type="dxa"/>
            <w:vAlign w:val="bottom"/>
          </w:tcPr>
          <w:p>
            <w:pPr>
              <w:jc w:val="right"/>
              <w:spacing w:after="0"/>
              <w:rPr>
                <w:sz w:val="20"/>
                <w:szCs w:val="20"/>
                <w:color w:val="auto"/>
              </w:rPr>
            </w:pPr>
            <w:r>
              <w:rPr>
                <w:rFonts w:ascii="Arial" w:cs="Arial" w:eastAsia="Arial" w:hAnsi="Arial"/>
                <w:sz w:val="21"/>
                <w:szCs w:val="21"/>
                <w:color w:val="auto"/>
              </w:rPr>
              <w:t>(229,317)</w:t>
            </w: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(257,393)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21"/>
                <w:szCs w:val="21"/>
                <w:color w:val="auto"/>
              </w:rPr>
              <w:t>28,076</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Professional fees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(807,913)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(130,118)</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(677,795)</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521%</w:t>
            </w:r>
          </w:p>
        </w:tc>
      </w:tr>
      <w:tr>
        <w:trPr>
          <w:trHeight w:val="254"/>
        </w:trPr>
        <w:tc>
          <w:tcPr>
            <w:tcW w:w="5740" w:type="dxa"/>
            <w:vAlign w:val="bottom"/>
          </w:tcPr>
          <w:p>
            <w:pPr>
              <w:spacing w:after="0"/>
              <w:rPr>
                <w:sz w:val="20"/>
                <w:szCs w:val="20"/>
                <w:color w:val="auto"/>
              </w:rPr>
            </w:pPr>
            <w:r>
              <w:rPr>
                <w:rFonts w:ascii="Arial" w:cs="Arial" w:eastAsia="Arial" w:hAnsi="Arial"/>
                <w:sz w:val="21"/>
                <w:szCs w:val="21"/>
                <w:color w:val="auto"/>
              </w:rPr>
              <w:t>Accounting, tax and auditing fees</w:t>
            </w:r>
          </w:p>
        </w:tc>
        <w:tc>
          <w:tcPr>
            <w:tcW w:w="1240" w:type="dxa"/>
            <w:vAlign w:val="bottom"/>
          </w:tcPr>
          <w:p>
            <w:pPr>
              <w:jc w:val="right"/>
              <w:spacing w:after="0"/>
              <w:rPr>
                <w:sz w:val="20"/>
                <w:szCs w:val="20"/>
                <w:color w:val="auto"/>
              </w:rPr>
            </w:pPr>
            <w:r>
              <w:rPr>
                <w:rFonts w:ascii="Arial" w:cs="Arial" w:eastAsia="Arial" w:hAnsi="Arial"/>
                <w:sz w:val="21"/>
                <w:szCs w:val="21"/>
                <w:color w:val="auto"/>
              </w:rPr>
              <w:t>(438,130)</w:t>
            </w: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(83,329)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(354,801)</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426%</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(951,581)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(102,993)</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(848,588)</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824%</w:t>
            </w:r>
          </w:p>
        </w:tc>
      </w:tr>
      <w:tr>
        <w:trPr>
          <w:trHeight w:val="254"/>
        </w:trPr>
        <w:tc>
          <w:tcPr>
            <w:tcW w:w="5740" w:type="dxa"/>
            <w:vAlign w:val="bottom"/>
          </w:tcPr>
          <w:p>
            <w:pPr>
              <w:spacing w:after="0"/>
              <w:rPr>
                <w:sz w:val="20"/>
                <w:szCs w:val="20"/>
                <w:color w:val="auto"/>
              </w:rPr>
            </w:pPr>
            <w:r>
              <w:rPr>
                <w:rFonts w:ascii="Arial" w:cs="Arial" w:eastAsia="Arial" w:hAnsi="Arial"/>
                <w:sz w:val="21"/>
                <w:szCs w:val="21"/>
                <w:color w:val="auto"/>
              </w:rPr>
              <w:t>Travel expenses</w:t>
            </w:r>
          </w:p>
        </w:tc>
        <w:tc>
          <w:tcPr>
            <w:tcW w:w="1240" w:type="dxa"/>
            <w:vAlign w:val="bottom"/>
          </w:tcPr>
          <w:p>
            <w:pPr>
              <w:jc w:val="right"/>
              <w:spacing w:after="0"/>
              <w:rPr>
                <w:sz w:val="20"/>
                <w:szCs w:val="20"/>
                <w:color w:val="auto"/>
              </w:rPr>
            </w:pPr>
            <w:r>
              <w:rPr>
                <w:rFonts w:ascii="Arial" w:cs="Arial" w:eastAsia="Arial" w:hAnsi="Arial"/>
                <w:sz w:val="21"/>
                <w:szCs w:val="21"/>
                <w:color w:val="auto"/>
              </w:rPr>
              <w:t>(794)</w:t>
            </w: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(22,786)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21"/>
                <w:szCs w:val="21"/>
                <w:color w:val="auto"/>
              </w:rPr>
              <w:t>21,992</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254"/>
        </w:trPr>
        <w:tc>
          <w:tcPr>
            <w:tcW w:w="5740" w:type="dxa"/>
            <w:vAlign w:val="bottom"/>
            <w:shd w:val="clear" w:color="auto" w:fill="CFF0FC"/>
          </w:tcPr>
          <w:p>
            <w:pPr>
              <w:spacing w:after="0"/>
              <w:rPr>
                <w:sz w:val="20"/>
                <w:szCs w:val="20"/>
                <w:color w:val="auto"/>
              </w:rPr>
            </w:pPr>
            <w:r>
              <w:rPr>
                <w:rFonts w:ascii="Arial" w:cs="Arial" w:eastAsia="Arial" w:hAnsi="Arial"/>
                <w:sz w:val="21"/>
                <w:szCs w:val="21"/>
                <w:color w:val="auto"/>
              </w:rPr>
              <w:t>Other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(102,893)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21"/>
                <w:szCs w:val="21"/>
                <w:color w:val="auto"/>
              </w:rPr>
              <w:t>(87,494)</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(15,399)</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18%</w:t>
            </w:r>
          </w:p>
        </w:tc>
      </w:tr>
      <w:tr>
        <w:trPr>
          <w:trHeight w:val="247"/>
        </w:trPr>
        <w:tc>
          <w:tcPr>
            <w:tcW w:w="5740" w:type="dxa"/>
            <w:vAlign w:val="bottom"/>
          </w:tcPr>
          <w:p>
            <w:pPr>
              <w:spacing w:after="0"/>
              <w:rPr>
                <w:sz w:val="20"/>
                <w:szCs w:val="20"/>
                <w:color w:val="auto"/>
              </w:rPr>
            </w:pPr>
            <w:r>
              <w:rPr>
                <w:rFonts w:ascii="Arial" w:cs="Arial" w:eastAsia="Arial" w:hAnsi="Arial"/>
                <w:sz w:val="21"/>
                <w:szCs w:val="21"/>
                <w:b w:val="1"/>
                <w:bCs w:val="1"/>
                <w:color w:val="auto"/>
              </w:rPr>
              <w:t>Total general and administrative expenses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b w:val="1"/>
                <w:bCs w:val="1"/>
                <w:color w:val="auto"/>
              </w:rPr>
              <w:t>(3,771,693)</w:t>
            </w:r>
          </w:p>
        </w:tc>
        <w:tc>
          <w:tcPr>
            <w:tcW w:w="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b w:val="1"/>
                <w:bCs w:val="1"/>
                <w:color w:val="auto"/>
              </w:rPr>
              <w:t>(842,561)</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b w:val="1"/>
                <w:bCs w:val="1"/>
                <w:color w:val="auto"/>
                <w:w w:val="94"/>
              </w:rPr>
              <w:t>(2,929,132)</w:t>
            </w:r>
          </w:p>
        </w:tc>
        <w:tc>
          <w:tcPr>
            <w:tcW w:w="14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b w:val="1"/>
                <w:bCs w:val="1"/>
                <w:color w:val="auto"/>
              </w:rPr>
              <w:t>348%</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and administrative expenses increased from €842,561 for the three months ended March 31, 2020 to €3,771,693 for the three months March</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31, 2021. The increase in general and administrative expenses was mainly driven by the growth of the Group and the completion of the IPO, which lead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additional expenses inherent to being a public company. In the personnel expenses for the three months ended March 31 2021 and 2020 an amount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€737,909 and €76,842 respectively, was included related to the share-based payments arrangements. The increase in the share-based payment expenses is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due to the grants made in 2021.</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income/(loss)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foreign exchange income/(loss) for the three months ended March 31, 2021 and 2020 were €5,818,856 and (€30,573) respectively, a change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€5,849,429. The amount mainly relates to unrealized foreign exchange income, which is the result of translating Group’s bank balances held in USD to EUR.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foreign exchange rates developed in favor of the Company in the first quarter 2021.</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94"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We have a history of losses. The tax charge over the three months ended March 31, 2021 relates to a current tax charge relating to the Company’s US subsidiary as the result of a cost-plus agreement between the US entity and Group’s principal entity resulting in a taxable profit in the United States of America. We have tax loss carry-forwards of approximately €63.7 million (March 31, 2020: €3.4 million),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jc w:val="both"/>
        <w:ind w:right="60" w:firstLine="432"/>
        <w:spacing w:after="0" w:line="281" w:lineRule="auto"/>
        <w:rPr>
          <w:sz w:val="20"/>
          <w:szCs w:val="20"/>
          <w:color w:val="auto"/>
        </w:rPr>
      </w:pPr>
      <w:r>
        <w:rPr>
          <w:rFonts w:ascii="Arial" w:cs="Arial" w:eastAsia="Arial" w:hAnsi="Arial"/>
          <w:sz w:val="17"/>
          <w:szCs w:val="17"/>
          <w:color w:val="auto"/>
        </w:rPr>
        <w:t>Since inception, we have incurred significant operating losses. For the three months ended March 31, 2021 and 2020 we incurred losses of €6,042,887 and €3,276,535 respectively. Since inception, we have not generated any revenues or net cash flows from sales. We will not receive any revenues or net cash flows from sales of our product candidate until it has been approved by regulatory authorities and commercialized 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firstLine="432"/>
        <w:spacing w:after="0" w:line="271" w:lineRule="auto"/>
        <w:rPr>
          <w:sz w:val="20"/>
          <w:szCs w:val="20"/>
          <w:color w:val="auto"/>
        </w:rPr>
      </w:pPr>
      <w:r>
        <w:rPr>
          <w:rFonts w:ascii="Arial" w:cs="Arial" w:eastAsia="Arial" w:hAnsi="Arial"/>
          <w:sz w:val="18"/>
          <w:szCs w:val="18"/>
          <w:color w:val="auto"/>
        </w:rPr>
        <w:t>To date, we have relied solely on the issuance of equity securities to finance our operations and internal growth. As of March 31, 2021 we had cash and cash equivalents of €238.3 million. Our cash and cash equivalents consist solely of cash at bank.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for the three months ended March 31, 2021 and March 31, 2020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primary sources and uses of our cash and cash equivalents for each of the periods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40" w:type="dxa"/>
            <w:vAlign w:val="bottom"/>
            <w:gridSpan w:val="2"/>
          </w:tcPr>
          <w:p>
            <w:pPr>
              <w:jc w:val="center"/>
              <w:ind w:right="253"/>
              <w:spacing w:after="0"/>
              <w:rPr>
                <w:sz w:val="20"/>
                <w:szCs w:val="20"/>
                <w:color w:val="auto"/>
              </w:rPr>
            </w:pPr>
            <w:r>
              <w:rPr>
                <w:rFonts w:ascii="Arial" w:cs="Arial" w:eastAsia="Arial" w:hAnsi="Arial"/>
                <w:sz w:val="21"/>
                <w:szCs w:val="21"/>
                <w:b w:val="1"/>
                <w:bCs w:val="1"/>
                <w:color w:val="auto"/>
                <w:w w:val="90"/>
              </w:rPr>
              <w:t>For the three months ended</w:t>
            </w:r>
          </w:p>
        </w:tc>
        <w:tc>
          <w:tcPr>
            <w:tcW w:w="1220" w:type="dxa"/>
            <w:vAlign w:val="bottom"/>
          </w:tcPr>
          <w:p>
            <w:pPr>
              <w:spacing w:after="0"/>
              <w:rPr>
                <w:sz w:val="21"/>
                <w:szCs w:val="21"/>
                <w:color w:val="auto"/>
              </w:rPr>
            </w:pPr>
          </w:p>
        </w:tc>
      </w:tr>
      <w:tr>
        <w:trPr>
          <w:trHeight w:val="268"/>
        </w:trPr>
        <w:tc>
          <w:tcPr>
            <w:tcW w:w="564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2"/>
          </w:tcPr>
          <w:p>
            <w:pPr>
              <w:jc w:val="center"/>
              <w:ind w:right="253"/>
              <w:spacing w:after="0"/>
              <w:rPr>
                <w:sz w:val="20"/>
                <w:szCs w:val="20"/>
                <w:color w:val="auto"/>
              </w:rPr>
            </w:pPr>
            <w:r>
              <w:rPr>
                <w:rFonts w:ascii="Arial" w:cs="Arial" w:eastAsia="Arial" w:hAnsi="Arial"/>
                <w:sz w:val="21"/>
                <w:szCs w:val="21"/>
                <w:b w:val="1"/>
                <w:bCs w:val="1"/>
                <w:color w:val="auto"/>
                <w:w w:val="96"/>
              </w:rPr>
              <w:t>March 31</w:t>
            </w:r>
          </w:p>
        </w:tc>
        <w:tc>
          <w:tcPr>
            <w:tcW w:w="1220" w:type="dxa"/>
            <w:vAlign w:val="bottom"/>
            <w:tcBorders>
              <w:bottom w:val="single" w:sz="8" w:color="auto"/>
            </w:tcBorders>
          </w:tcPr>
          <w:p>
            <w:pPr>
              <w:spacing w:after="0"/>
              <w:rPr>
                <w:sz w:val="23"/>
                <w:szCs w:val="23"/>
                <w:color w:val="auto"/>
              </w:rPr>
            </w:pPr>
          </w:p>
        </w:tc>
      </w:tr>
      <w:tr>
        <w:trPr>
          <w:trHeight w:val="247"/>
        </w:trPr>
        <w:tc>
          <w:tcPr>
            <w:tcW w:w="5640" w:type="dxa"/>
            <w:vAlign w:val="bottom"/>
          </w:tcPr>
          <w:p>
            <w:pPr>
              <w:spacing w:after="0"/>
              <w:rPr>
                <w:sz w:val="21"/>
                <w:szCs w:val="21"/>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2021</w:t>
            </w: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21"/>
                <w:szCs w:val="21"/>
                <w:b w:val="1"/>
                <w:bCs w:val="1"/>
                <w:color w:val="auto"/>
              </w:rPr>
              <w:t>2020</w:t>
            </w: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21"/>
                <w:szCs w:val="21"/>
                <w:b w:val="1"/>
                <w:bCs w:val="1"/>
                <w:color w:val="auto"/>
              </w:rPr>
              <w:t>Change</w:t>
            </w: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w:t>
            </w:r>
          </w:p>
        </w:tc>
      </w:tr>
      <w:tr>
        <w:trPr>
          <w:trHeight w:val="247"/>
        </w:trPr>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40" w:type="dxa"/>
            <w:vAlign w:val="bottom"/>
            <w:gridSpan w:val="2"/>
          </w:tcPr>
          <w:p>
            <w:pPr>
              <w:jc w:val="center"/>
              <w:ind w:right="253"/>
              <w:spacing w:after="0"/>
              <w:rPr>
                <w:sz w:val="20"/>
                <w:szCs w:val="20"/>
                <w:color w:val="auto"/>
              </w:rPr>
            </w:pPr>
            <w:r>
              <w:rPr>
                <w:rFonts w:ascii="Arial" w:cs="Arial" w:eastAsia="Arial" w:hAnsi="Arial"/>
                <w:sz w:val="21"/>
                <w:szCs w:val="21"/>
                <w:b w:val="1"/>
                <w:bCs w:val="1"/>
                <w:color w:val="auto"/>
                <w:w w:val="95"/>
              </w:rPr>
              <w:t>(in €)</w:t>
            </w:r>
          </w:p>
        </w:tc>
        <w:tc>
          <w:tcPr>
            <w:tcW w:w="1220" w:type="dxa"/>
            <w:vAlign w:val="bottom"/>
          </w:tcPr>
          <w:p>
            <w:pPr>
              <w:spacing w:after="0"/>
              <w:rPr>
                <w:sz w:val="21"/>
                <w:szCs w:val="21"/>
                <w:color w:val="auto"/>
              </w:rPr>
            </w:pPr>
          </w:p>
        </w:tc>
      </w:tr>
      <w:tr>
        <w:trPr>
          <w:trHeight w:val="254"/>
        </w:trPr>
        <w:tc>
          <w:tcPr>
            <w:tcW w:w="5640" w:type="dxa"/>
            <w:vAlign w:val="bottom"/>
            <w:shd w:val="clear" w:color="auto" w:fill="CFF0FC"/>
          </w:tcPr>
          <w:p>
            <w:pPr>
              <w:spacing w:after="0"/>
              <w:rPr>
                <w:sz w:val="20"/>
                <w:szCs w:val="20"/>
                <w:color w:val="auto"/>
              </w:rPr>
            </w:pPr>
            <w:r>
              <w:rPr>
                <w:rFonts w:ascii="Arial" w:cs="Arial" w:eastAsia="Arial" w:hAnsi="Arial"/>
                <w:sz w:val="21"/>
                <w:szCs w:val="21"/>
                <w:color w:val="auto"/>
              </w:rPr>
              <w:t>Net cash flows used in operating activities</w:t>
            </w:r>
          </w:p>
        </w:tc>
        <w:tc>
          <w:tcPr>
            <w:tcW w:w="134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(10,199,606)</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21"/>
                <w:szCs w:val="21"/>
                <w:color w:val="auto"/>
              </w:rPr>
              <w:t>(2,325,040)</w:t>
            </w:r>
          </w:p>
        </w:tc>
        <w:tc>
          <w:tcPr>
            <w:tcW w:w="1600" w:type="dxa"/>
            <w:vAlign w:val="bottom"/>
            <w:shd w:val="clear" w:color="auto" w:fill="CFF0FC"/>
          </w:tcPr>
          <w:p>
            <w:pPr>
              <w:jc w:val="right"/>
              <w:ind w:right="213"/>
              <w:spacing w:after="0"/>
              <w:rPr>
                <w:sz w:val="20"/>
                <w:szCs w:val="20"/>
                <w:color w:val="auto"/>
              </w:rPr>
            </w:pPr>
            <w:r>
              <w:rPr>
                <w:rFonts w:ascii="Arial" w:cs="Arial" w:eastAsia="Arial" w:hAnsi="Arial"/>
                <w:sz w:val="21"/>
                <w:szCs w:val="21"/>
                <w:color w:val="auto"/>
              </w:rPr>
              <w:t>(7,874,566)</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339%</w:t>
            </w:r>
          </w:p>
        </w:tc>
      </w:tr>
      <w:tr>
        <w:trPr>
          <w:trHeight w:val="254"/>
        </w:trPr>
        <w:tc>
          <w:tcPr>
            <w:tcW w:w="5640" w:type="dxa"/>
            <w:vAlign w:val="bottom"/>
          </w:tcPr>
          <w:p>
            <w:pPr>
              <w:spacing w:after="0"/>
              <w:rPr>
                <w:sz w:val="20"/>
                <w:szCs w:val="20"/>
                <w:color w:val="auto"/>
              </w:rPr>
            </w:pPr>
            <w:r>
              <w:rPr>
                <w:rFonts w:ascii="Arial" w:cs="Arial" w:eastAsia="Arial" w:hAnsi="Arial"/>
                <w:sz w:val="21"/>
                <w:szCs w:val="21"/>
                <w:color w:val="auto"/>
              </w:rPr>
              <w:t>Net cash flows used in investing activities</w:t>
            </w:r>
          </w:p>
        </w:tc>
        <w:tc>
          <w:tcPr>
            <w:tcW w:w="1340" w:type="dxa"/>
            <w:vAlign w:val="bottom"/>
          </w:tcPr>
          <w:p>
            <w:pPr>
              <w:jc w:val="right"/>
              <w:spacing w:after="0"/>
              <w:rPr>
                <w:sz w:val="20"/>
                <w:szCs w:val="20"/>
                <w:color w:val="auto"/>
              </w:rPr>
            </w:pPr>
            <w:r>
              <w:rPr>
                <w:rFonts w:ascii="Arial" w:cs="Arial" w:eastAsia="Arial" w:hAnsi="Arial"/>
                <w:sz w:val="21"/>
                <w:szCs w:val="21"/>
                <w:color w:val="auto"/>
              </w:rPr>
              <w:t>(10,065)</w:t>
            </w:r>
          </w:p>
        </w:tc>
        <w:tc>
          <w:tcPr>
            <w:tcW w:w="1440" w:type="dxa"/>
            <w:vAlign w:val="bottom"/>
          </w:tcPr>
          <w:p>
            <w:pPr>
              <w:jc w:val="right"/>
              <w:ind w:right="33"/>
              <w:spacing w:after="0"/>
              <w:rPr>
                <w:sz w:val="20"/>
                <w:szCs w:val="20"/>
                <w:color w:val="auto"/>
              </w:rPr>
            </w:pPr>
            <w:r>
              <w:rPr>
                <w:rFonts w:ascii="Arial" w:cs="Arial" w:eastAsia="Arial" w:hAnsi="Arial"/>
                <w:sz w:val="21"/>
                <w:szCs w:val="21"/>
                <w:color w:val="auto"/>
              </w:rPr>
              <w:t>(14,292)</w:t>
            </w:r>
          </w:p>
        </w:tc>
        <w:tc>
          <w:tcPr>
            <w:tcW w:w="1600" w:type="dxa"/>
            <w:vAlign w:val="bottom"/>
          </w:tcPr>
          <w:p>
            <w:pPr>
              <w:jc w:val="right"/>
              <w:ind w:right="293"/>
              <w:spacing w:after="0"/>
              <w:rPr>
                <w:sz w:val="20"/>
                <w:szCs w:val="20"/>
                <w:color w:val="auto"/>
              </w:rPr>
            </w:pPr>
            <w:r>
              <w:rPr>
                <w:rFonts w:ascii="Arial" w:cs="Arial" w:eastAsia="Arial" w:hAnsi="Arial"/>
                <w:sz w:val="21"/>
                <w:szCs w:val="21"/>
                <w:color w:val="auto"/>
              </w:rPr>
              <w:t>4,227</w:t>
            </w:r>
          </w:p>
        </w:tc>
        <w:tc>
          <w:tcPr>
            <w:tcW w:w="12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254"/>
        </w:trPr>
        <w:tc>
          <w:tcPr>
            <w:tcW w:w="5640" w:type="dxa"/>
            <w:vAlign w:val="bottom"/>
            <w:shd w:val="clear" w:color="auto" w:fill="CFF0FC"/>
          </w:tcPr>
          <w:p>
            <w:pPr>
              <w:spacing w:after="0"/>
              <w:rPr>
                <w:sz w:val="20"/>
                <w:szCs w:val="20"/>
                <w:color w:val="auto"/>
              </w:rPr>
            </w:pPr>
            <w:r>
              <w:rPr>
                <w:rFonts w:ascii="Arial" w:cs="Arial" w:eastAsia="Arial" w:hAnsi="Arial"/>
                <w:sz w:val="21"/>
                <w:szCs w:val="21"/>
                <w:color w:val="auto"/>
              </w:rPr>
              <w:t>Net cash flows provided by financing activities</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21"/>
                <w:szCs w:val="21"/>
                <w:color w:val="auto"/>
                <w:w w:val="99"/>
              </w:rPr>
              <w:t>144,001,539</w:t>
            </w:r>
          </w:p>
        </w:tc>
        <w:tc>
          <w:tcPr>
            <w:tcW w:w="1440" w:type="dxa"/>
            <w:vAlign w:val="bottom"/>
            <w:shd w:val="clear" w:color="auto" w:fill="CFF0FC"/>
          </w:tcPr>
          <w:p>
            <w:pPr>
              <w:jc w:val="right"/>
              <w:ind w:right="113"/>
              <w:spacing w:after="0"/>
              <w:rPr>
                <w:sz w:val="20"/>
                <w:szCs w:val="20"/>
                <w:color w:val="auto"/>
              </w:rPr>
            </w:pPr>
            <w:r>
              <w:rPr>
                <w:rFonts w:ascii="Arial" w:cs="Arial" w:eastAsia="Arial" w:hAnsi="Arial"/>
                <w:sz w:val="21"/>
                <w:szCs w:val="21"/>
                <w:color w:val="auto"/>
              </w:rPr>
              <w:t>-</w:t>
            </w:r>
          </w:p>
        </w:tc>
        <w:tc>
          <w:tcPr>
            <w:tcW w:w="1600" w:type="dxa"/>
            <w:vAlign w:val="bottom"/>
            <w:shd w:val="clear" w:color="auto" w:fill="CFF0FC"/>
          </w:tcPr>
          <w:p>
            <w:pPr>
              <w:jc w:val="right"/>
              <w:ind w:right="293"/>
              <w:spacing w:after="0"/>
              <w:rPr>
                <w:sz w:val="20"/>
                <w:szCs w:val="20"/>
                <w:color w:val="auto"/>
              </w:rPr>
            </w:pPr>
            <w:r>
              <w:rPr>
                <w:rFonts w:ascii="Arial" w:cs="Arial" w:eastAsia="Arial" w:hAnsi="Arial"/>
                <w:sz w:val="21"/>
                <w:szCs w:val="21"/>
                <w:color w:val="auto"/>
              </w:rPr>
              <w:t>144,001,539</w:t>
            </w:r>
          </w:p>
        </w:tc>
        <w:tc>
          <w:tcPr>
            <w:tcW w:w="1220" w:type="dxa"/>
            <w:vAlign w:val="bottom"/>
            <w:shd w:val="clear" w:color="auto" w:fill="CFF0FC"/>
          </w:tcPr>
          <w:p>
            <w:pPr>
              <w:jc w:val="right"/>
              <w:ind w:right="133"/>
              <w:spacing w:after="0"/>
              <w:rPr>
                <w:sz w:val="20"/>
                <w:szCs w:val="20"/>
                <w:color w:val="auto"/>
              </w:rPr>
            </w:pPr>
            <w:r>
              <w:rPr>
                <w:rFonts w:ascii="Arial" w:cs="Arial" w:eastAsia="Arial" w:hAnsi="Arial"/>
                <w:sz w:val="21"/>
                <w:szCs w:val="21"/>
                <w:color w:val="auto"/>
              </w:rPr>
              <w:t>-</w:t>
            </w:r>
          </w:p>
        </w:tc>
      </w:tr>
      <w:tr>
        <w:trPr>
          <w:trHeight w:val="254"/>
        </w:trPr>
        <w:tc>
          <w:tcPr>
            <w:tcW w:w="5640" w:type="dxa"/>
            <w:vAlign w:val="bottom"/>
          </w:tcPr>
          <w:p>
            <w:pPr>
              <w:spacing w:after="0"/>
              <w:rPr>
                <w:sz w:val="20"/>
                <w:szCs w:val="20"/>
                <w:color w:val="auto"/>
              </w:rPr>
            </w:pPr>
            <w:r>
              <w:rPr>
                <w:rFonts w:ascii="Arial" w:cs="Arial" w:eastAsia="Arial" w:hAnsi="Arial"/>
                <w:sz w:val="21"/>
                <w:szCs w:val="21"/>
                <w:b w:val="1"/>
                <w:bCs w:val="1"/>
                <w:color w:val="auto"/>
              </w:rPr>
              <w:t>Net increase (decrease) in cash and cash equivalents</w:t>
            </w:r>
          </w:p>
        </w:tc>
        <w:tc>
          <w:tcPr>
            <w:tcW w:w="1340" w:type="dxa"/>
            <w:vAlign w:val="bottom"/>
          </w:tcPr>
          <w:p>
            <w:pPr>
              <w:jc w:val="right"/>
              <w:ind w:right="53"/>
              <w:spacing w:after="0"/>
              <w:rPr>
                <w:sz w:val="20"/>
                <w:szCs w:val="20"/>
                <w:color w:val="auto"/>
              </w:rPr>
            </w:pPr>
            <w:r>
              <w:rPr>
                <w:rFonts w:ascii="Arial" w:cs="Arial" w:eastAsia="Arial" w:hAnsi="Arial"/>
                <w:sz w:val="21"/>
                <w:szCs w:val="21"/>
                <w:b w:val="1"/>
                <w:bCs w:val="1"/>
                <w:color w:val="auto"/>
                <w:w w:val="99"/>
              </w:rPr>
              <w:t>133,791,868</w:t>
            </w:r>
          </w:p>
        </w:tc>
        <w:tc>
          <w:tcPr>
            <w:tcW w:w="1440" w:type="dxa"/>
            <w:vAlign w:val="bottom"/>
          </w:tcPr>
          <w:p>
            <w:pPr>
              <w:jc w:val="right"/>
              <w:ind w:right="33"/>
              <w:spacing w:after="0"/>
              <w:rPr>
                <w:sz w:val="20"/>
                <w:szCs w:val="20"/>
                <w:color w:val="auto"/>
              </w:rPr>
            </w:pPr>
            <w:r>
              <w:rPr>
                <w:rFonts w:ascii="Arial" w:cs="Arial" w:eastAsia="Arial" w:hAnsi="Arial"/>
                <w:sz w:val="21"/>
                <w:szCs w:val="21"/>
                <w:b w:val="1"/>
                <w:bCs w:val="1"/>
                <w:color w:val="auto"/>
              </w:rPr>
              <w:t>(2,339,332)</w:t>
            </w:r>
          </w:p>
        </w:tc>
        <w:tc>
          <w:tcPr>
            <w:tcW w:w="1600" w:type="dxa"/>
            <w:vAlign w:val="bottom"/>
          </w:tcPr>
          <w:p>
            <w:pPr>
              <w:jc w:val="right"/>
              <w:ind w:right="293"/>
              <w:spacing w:after="0"/>
              <w:rPr>
                <w:sz w:val="20"/>
                <w:szCs w:val="20"/>
                <w:color w:val="auto"/>
              </w:rPr>
            </w:pPr>
            <w:r>
              <w:rPr>
                <w:rFonts w:ascii="Arial" w:cs="Arial" w:eastAsia="Arial" w:hAnsi="Arial"/>
                <w:sz w:val="21"/>
                <w:szCs w:val="21"/>
                <w:b w:val="1"/>
                <w:bCs w:val="1"/>
                <w:color w:val="auto"/>
              </w:rPr>
              <w:t>136,131,200</w:t>
            </w:r>
          </w:p>
        </w:tc>
        <w:tc>
          <w:tcPr>
            <w:tcW w:w="1220" w:type="dxa"/>
            <w:vAlign w:val="bottom"/>
          </w:tcPr>
          <w:p>
            <w:pPr>
              <w:jc w:val="right"/>
              <w:spacing w:after="0"/>
              <w:rPr>
                <w:sz w:val="20"/>
                <w:szCs w:val="20"/>
                <w:color w:val="auto"/>
              </w:rPr>
            </w:pPr>
            <w:r>
              <w:rPr>
                <w:rFonts w:ascii="Arial" w:cs="Arial" w:eastAsia="Arial" w:hAnsi="Arial"/>
                <w:sz w:val="21"/>
                <w:szCs w:val="21"/>
                <w:b w:val="1"/>
                <w:bCs w:val="1"/>
                <w:color w:val="auto"/>
              </w:rPr>
              <w:t>-5819%</w:t>
            </w:r>
          </w:p>
        </w:tc>
      </w:tr>
      <w:tr>
        <w:trPr>
          <w:trHeight w:val="254"/>
        </w:trPr>
        <w:tc>
          <w:tcPr>
            <w:tcW w:w="5640" w:type="dxa"/>
            <w:vAlign w:val="bottom"/>
            <w:shd w:val="clear" w:color="auto" w:fill="CFF0FC"/>
          </w:tcPr>
          <w:p>
            <w:pPr>
              <w:spacing w:after="0"/>
              <w:rPr>
                <w:sz w:val="20"/>
                <w:szCs w:val="20"/>
                <w:color w:val="auto"/>
              </w:rPr>
            </w:pPr>
            <w:r>
              <w:rPr>
                <w:rFonts w:ascii="Arial" w:cs="Arial" w:eastAsia="Arial" w:hAnsi="Arial"/>
                <w:sz w:val="21"/>
                <w:szCs w:val="21"/>
                <w:b w:val="1"/>
                <w:bCs w:val="1"/>
                <w:color w:val="auto"/>
                <w:w w:val="98"/>
              </w:rPr>
              <w:t>Cash and cash equivalents at the beginning of the period</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21"/>
                <w:szCs w:val="21"/>
                <w:b w:val="1"/>
                <w:bCs w:val="1"/>
                <w:color w:val="auto"/>
              </w:rPr>
              <w:t>98,628,871</w:t>
            </w:r>
          </w:p>
        </w:tc>
        <w:tc>
          <w:tcPr>
            <w:tcW w:w="1440" w:type="dxa"/>
            <w:vAlign w:val="bottom"/>
            <w:shd w:val="clear" w:color="auto" w:fill="CFF0FC"/>
          </w:tcPr>
          <w:p>
            <w:pPr>
              <w:jc w:val="right"/>
              <w:ind w:right="113"/>
              <w:spacing w:after="0"/>
              <w:rPr>
                <w:sz w:val="20"/>
                <w:szCs w:val="20"/>
                <w:color w:val="auto"/>
              </w:rPr>
            </w:pPr>
            <w:r>
              <w:rPr>
                <w:rFonts w:ascii="Arial" w:cs="Arial" w:eastAsia="Arial" w:hAnsi="Arial"/>
                <w:sz w:val="21"/>
                <w:szCs w:val="21"/>
                <w:b w:val="1"/>
                <w:bCs w:val="1"/>
                <w:color w:val="auto"/>
              </w:rPr>
              <w:t>20,326,372</w:t>
            </w:r>
          </w:p>
        </w:tc>
        <w:tc>
          <w:tcPr>
            <w:tcW w:w="1600" w:type="dxa"/>
            <w:vAlign w:val="bottom"/>
            <w:shd w:val="clear" w:color="auto" w:fill="CFF0FC"/>
          </w:tcPr>
          <w:p>
            <w:pPr>
              <w:jc w:val="right"/>
              <w:ind w:right="293"/>
              <w:spacing w:after="0"/>
              <w:rPr>
                <w:sz w:val="20"/>
                <w:szCs w:val="20"/>
                <w:color w:val="auto"/>
              </w:rPr>
            </w:pPr>
            <w:r>
              <w:rPr>
                <w:rFonts w:ascii="Arial" w:cs="Arial" w:eastAsia="Arial" w:hAnsi="Arial"/>
                <w:sz w:val="21"/>
                <w:szCs w:val="21"/>
                <w:b w:val="1"/>
                <w:bCs w:val="1"/>
                <w:color w:val="auto"/>
              </w:rPr>
              <w:t>78,302,499</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b w:val="1"/>
                <w:bCs w:val="1"/>
                <w:color w:val="auto"/>
              </w:rPr>
              <w:t>385%</w:t>
            </w:r>
          </w:p>
        </w:tc>
      </w:tr>
      <w:tr>
        <w:trPr>
          <w:trHeight w:val="254"/>
        </w:trPr>
        <w:tc>
          <w:tcPr>
            <w:tcW w:w="5640" w:type="dxa"/>
            <w:vAlign w:val="bottom"/>
          </w:tcPr>
          <w:p>
            <w:pPr>
              <w:spacing w:after="0"/>
              <w:rPr>
                <w:sz w:val="20"/>
                <w:szCs w:val="20"/>
                <w:color w:val="auto"/>
              </w:rPr>
            </w:pPr>
            <w:r>
              <w:rPr>
                <w:rFonts w:ascii="Arial" w:cs="Arial" w:eastAsia="Arial" w:hAnsi="Arial"/>
                <w:sz w:val="21"/>
                <w:szCs w:val="21"/>
                <w:color w:val="auto"/>
              </w:rPr>
              <w:t>Effect of exchange rate changes</w:t>
            </w:r>
          </w:p>
        </w:tc>
        <w:tc>
          <w:tcPr>
            <w:tcW w:w="1340" w:type="dxa"/>
            <w:vAlign w:val="bottom"/>
          </w:tcPr>
          <w:p>
            <w:pPr>
              <w:jc w:val="right"/>
              <w:ind w:right="53"/>
              <w:spacing w:after="0"/>
              <w:rPr>
                <w:sz w:val="20"/>
                <w:szCs w:val="20"/>
                <w:color w:val="auto"/>
              </w:rPr>
            </w:pPr>
            <w:r>
              <w:rPr>
                <w:rFonts w:ascii="Arial" w:cs="Arial" w:eastAsia="Arial" w:hAnsi="Arial"/>
                <w:sz w:val="21"/>
                <w:szCs w:val="21"/>
                <w:color w:val="auto"/>
              </w:rPr>
              <w:t>5,902,838</w:t>
            </w:r>
          </w:p>
        </w:tc>
        <w:tc>
          <w:tcPr>
            <w:tcW w:w="1440" w:type="dxa"/>
            <w:vAlign w:val="bottom"/>
          </w:tcPr>
          <w:p>
            <w:pPr>
              <w:jc w:val="right"/>
              <w:ind w:right="33"/>
              <w:spacing w:after="0"/>
              <w:rPr>
                <w:sz w:val="20"/>
                <w:szCs w:val="20"/>
                <w:color w:val="auto"/>
              </w:rPr>
            </w:pPr>
            <w:r>
              <w:rPr>
                <w:rFonts w:ascii="Arial" w:cs="Arial" w:eastAsia="Arial" w:hAnsi="Arial"/>
                <w:sz w:val="21"/>
                <w:szCs w:val="21"/>
                <w:color w:val="auto"/>
              </w:rPr>
              <w:t>(15,306)</w:t>
            </w:r>
          </w:p>
        </w:tc>
        <w:tc>
          <w:tcPr>
            <w:tcW w:w="1600" w:type="dxa"/>
            <w:vAlign w:val="bottom"/>
          </w:tcPr>
          <w:p>
            <w:pPr>
              <w:jc w:val="right"/>
              <w:ind w:right="293"/>
              <w:spacing w:after="0"/>
              <w:rPr>
                <w:sz w:val="20"/>
                <w:szCs w:val="20"/>
                <w:color w:val="auto"/>
              </w:rPr>
            </w:pPr>
            <w:r>
              <w:rPr>
                <w:rFonts w:ascii="Arial" w:cs="Arial" w:eastAsia="Arial" w:hAnsi="Arial"/>
                <w:sz w:val="21"/>
                <w:szCs w:val="21"/>
                <w:color w:val="auto"/>
              </w:rPr>
              <w:t>5,918,144</w:t>
            </w:r>
          </w:p>
        </w:tc>
        <w:tc>
          <w:tcPr>
            <w:tcW w:w="1220" w:type="dxa"/>
            <w:vAlign w:val="bottom"/>
          </w:tcPr>
          <w:p>
            <w:pPr>
              <w:jc w:val="right"/>
              <w:spacing w:after="0"/>
              <w:rPr>
                <w:sz w:val="20"/>
                <w:szCs w:val="20"/>
                <w:color w:val="auto"/>
              </w:rPr>
            </w:pPr>
            <w:r>
              <w:rPr>
                <w:rFonts w:ascii="Arial" w:cs="Arial" w:eastAsia="Arial" w:hAnsi="Arial"/>
                <w:sz w:val="21"/>
                <w:szCs w:val="21"/>
                <w:color w:val="auto"/>
              </w:rPr>
              <w:t>-38666%</w:t>
            </w:r>
          </w:p>
        </w:tc>
      </w:tr>
      <w:tr>
        <w:trPr>
          <w:trHeight w:val="254"/>
        </w:trPr>
        <w:tc>
          <w:tcPr>
            <w:tcW w:w="5640" w:type="dxa"/>
            <w:vAlign w:val="bottom"/>
            <w:shd w:val="clear" w:color="auto" w:fill="CFF0FC"/>
          </w:tcPr>
          <w:p>
            <w:pPr>
              <w:spacing w:after="0"/>
              <w:rPr>
                <w:sz w:val="20"/>
                <w:szCs w:val="20"/>
                <w:color w:val="auto"/>
              </w:rPr>
            </w:pPr>
            <w:r>
              <w:rPr>
                <w:rFonts w:ascii="Arial" w:cs="Arial" w:eastAsia="Arial" w:hAnsi="Arial"/>
                <w:sz w:val="21"/>
                <w:szCs w:val="21"/>
                <w:b w:val="1"/>
                <w:bCs w:val="1"/>
                <w:color w:val="auto"/>
              </w:rPr>
              <w:t>Cash and cash equivalents at the end of the period</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21"/>
                <w:szCs w:val="21"/>
                <w:b w:val="1"/>
                <w:bCs w:val="1"/>
                <w:color w:val="auto"/>
                <w:w w:val="99"/>
              </w:rPr>
              <w:t>238,323,577</w:t>
            </w:r>
          </w:p>
        </w:tc>
        <w:tc>
          <w:tcPr>
            <w:tcW w:w="1440" w:type="dxa"/>
            <w:vAlign w:val="bottom"/>
            <w:shd w:val="clear" w:color="auto" w:fill="CFF0FC"/>
          </w:tcPr>
          <w:p>
            <w:pPr>
              <w:jc w:val="right"/>
              <w:ind w:right="113"/>
              <w:spacing w:after="0"/>
              <w:rPr>
                <w:sz w:val="20"/>
                <w:szCs w:val="20"/>
                <w:color w:val="auto"/>
              </w:rPr>
            </w:pPr>
            <w:r>
              <w:rPr>
                <w:rFonts w:ascii="Arial" w:cs="Arial" w:eastAsia="Arial" w:hAnsi="Arial"/>
                <w:sz w:val="21"/>
                <w:szCs w:val="21"/>
                <w:b w:val="1"/>
                <w:bCs w:val="1"/>
                <w:color w:val="auto"/>
              </w:rPr>
              <w:t>17,971,734</w:t>
            </w:r>
          </w:p>
        </w:tc>
        <w:tc>
          <w:tcPr>
            <w:tcW w:w="1600" w:type="dxa"/>
            <w:vAlign w:val="bottom"/>
            <w:shd w:val="clear" w:color="auto" w:fill="CFF0FC"/>
          </w:tcPr>
          <w:p>
            <w:pPr>
              <w:jc w:val="right"/>
              <w:ind w:right="293"/>
              <w:spacing w:after="0"/>
              <w:rPr>
                <w:sz w:val="20"/>
                <w:szCs w:val="20"/>
                <w:color w:val="auto"/>
              </w:rPr>
            </w:pPr>
            <w:r>
              <w:rPr>
                <w:rFonts w:ascii="Arial" w:cs="Arial" w:eastAsia="Arial" w:hAnsi="Arial"/>
                <w:sz w:val="21"/>
                <w:szCs w:val="21"/>
                <w:b w:val="1"/>
                <w:bCs w:val="1"/>
                <w:color w:val="auto"/>
              </w:rPr>
              <w:t>220,351,843</w:t>
            </w:r>
          </w:p>
        </w:tc>
        <w:tc>
          <w:tcPr>
            <w:tcW w:w="1220" w:type="dxa"/>
            <w:vAlign w:val="bottom"/>
            <w:shd w:val="clear" w:color="auto" w:fill="CFF0FC"/>
          </w:tcPr>
          <w:p>
            <w:pPr>
              <w:jc w:val="right"/>
              <w:spacing w:after="0"/>
              <w:rPr>
                <w:sz w:val="20"/>
                <w:szCs w:val="20"/>
                <w:color w:val="auto"/>
              </w:rPr>
            </w:pPr>
            <w:r>
              <w:rPr>
                <w:rFonts w:ascii="Arial" w:cs="Arial" w:eastAsia="Arial" w:hAnsi="Arial"/>
                <w:sz w:val="21"/>
                <w:szCs w:val="21"/>
                <w:b w:val="1"/>
                <w:bCs w:val="1"/>
                <w:color w:val="auto"/>
              </w:rPr>
              <w:t>1226%</w:t>
            </w:r>
          </w:p>
        </w:tc>
      </w:tr>
    </w:tbl>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4" w:lineRule="exact"/>
        <w:rPr>
          <w:sz w:val="20"/>
          <w:szCs w:val="20"/>
          <w:color w:val="auto"/>
        </w:rPr>
      </w:pPr>
    </w:p>
    <w:p>
      <w:pPr>
        <w:ind w:right="420" w:firstLine="432"/>
        <w:spacing w:after="0" w:line="271" w:lineRule="auto"/>
        <w:rPr>
          <w:sz w:val="20"/>
          <w:szCs w:val="20"/>
          <w:color w:val="auto"/>
        </w:rPr>
      </w:pPr>
      <w:r>
        <w:rPr>
          <w:rFonts w:ascii="Arial" w:cs="Arial" w:eastAsia="Arial" w:hAnsi="Arial"/>
          <w:sz w:val="18"/>
          <w:szCs w:val="18"/>
          <w:color w:val="auto"/>
        </w:rPr>
        <w:t>Net cash used in operating activities reflects our results for the period adjusted for, among other things, depreciation, unrealized foreign exchange results, share-based payments, changes in working capital and interest accruals and payments.</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Net cash used in operating activities was €10,199,606 for the three months ended March 31, 2021, an increase of €7,847,830 compared to €2,325,040 for the three months ended March 31, 2020, primarily reflecting the increase in research and development expenses and other operating expenses, due to progression made in the PHVS416 and PHVS719 development programs in 2021.</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4" w:lineRule="exact"/>
        <w:rPr>
          <w:sz w:val="20"/>
          <w:szCs w:val="20"/>
          <w:color w:val="auto"/>
        </w:rPr>
      </w:pPr>
    </w:p>
    <w:p>
      <w:pPr>
        <w:ind w:right="480" w:firstLine="432"/>
        <w:spacing w:after="0" w:line="271" w:lineRule="auto"/>
        <w:rPr>
          <w:sz w:val="20"/>
          <w:szCs w:val="20"/>
          <w:color w:val="auto"/>
        </w:rPr>
      </w:pPr>
      <w:r>
        <w:rPr>
          <w:rFonts w:ascii="Arial" w:cs="Arial" w:eastAsia="Arial" w:hAnsi="Arial"/>
          <w:sz w:val="18"/>
          <w:szCs w:val="18"/>
          <w:color w:val="auto"/>
        </w:rPr>
        <w:t>Net cash flows used in investing activities decreased by €4,227 from €14,292 for the three-month ended March 31, 2020 to €10,065 for the three months ended March 31, 2021, primarily as a result of capital expenditure related to office equipment in 2020.</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Net cash flows provided by financing activities increased by €144,001,539 from nil for the three months ended March 31, 2020 to €144,001,539 for the three months ended March 31, 2021, primarily as a result of the proceeds of €144,001,539 from the IPO net of underwriting discount and other transaction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contractual obligations and commitments as of March 31, 2021 amounted to €11,278,000.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2021, we did not have any off-balance sheet arrangements other than the disclosed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5" w:lineRule="exact"/>
        <w:rPr>
          <w:sz w:val="20"/>
          <w:szCs w:val="20"/>
          <w:color w:val="auto"/>
        </w:rPr>
      </w:pPr>
    </w:p>
    <w:p>
      <w:pPr>
        <w:ind w:right="160" w:firstLine="432"/>
        <w:spacing w:after="0" w:line="301" w:lineRule="auto"/>
        <w:rPr>
          <w:sz w:val="20"/>
          <w:szCs w:val="20"/>
          <w:color w:val="auto"/>
        </w:rPr>
      </w:pPr>
      <w:r>
        <w:rPr>
          <w:rFonts w:ascii="Arial" w:cs="Arial" w:eastAsia="Arial" w:hAnsi="Arial"/>
          <w:sz w:val="17"/>
          <w:szCs w:val="17"/>
          <w:color w:val="auto"/>
        </w:rPr>
        <w:t>During the three months ended March 31, 2021, there were no significant changes to our quantitative and qualitative disclosures about market risk from those reported in “</w:t>
      </w:r>
      <w:r>
        <w:rPr>
          <w:rFonts w:ascii="Arial" w:cs="Arial" w:eastAsia="Arial" w:hAnsi="Arial"/>
          <w:sz w:val="15"/>
          <w:szCs w:val="15"/>
          <w:color w:val="auto"/>
        </w:rPr>
        <w:t>Item 11. Quantitative and Qualitative Disclosures About Market Risk</w:t>
      </w:r>
      <w:r>
        <w:rPr>
          <w:rFonts w:ascii="Arial" w:cs="Arial" w:eastAsia="Arial" w:hAnsi="Arial"/>
          <w:sz w:val="17"/>
          <w:szCs w:val="17"/>
          <w:color w:val="auto"/>
        </w:rPr>
        <w:t>” in the Annual Report, except for the following: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98" w:lineRule="exact"/>
        <w:rPr>
          <w:sz w:val="20"/>
          <w:szCs w:val="20"/>
          <w:color w:val="auto"/>
        </w:rPr>
      </w:pPr>
    </w:p>
    <w:p>
      <w:pPr>
        <w:jc w:val="both"/>
        <w:ind w:right="100" w:firstLine="432"/>
        <w:spacing w:after="0" w:line="281" w:lineRule="auto"/>
        <w:rPr>
          <w:sz w:val="20"/>
          <w:szCs w:val="20"/>
          <w:color w:val="auto"/>
        </w:rPr>
      </w:pPr>
      <w:r>
        <w:rPr>
          <w:rFonts w:ascii="Arial" w:cs="Arial" w:eastAsia="Arial" w:hAnsi="Arial"/>
          <w:sz w:val="17"/>
          <w:szCs w:val="17"/>
          <w:color w:val="auto"/>
        </w:rPr>
        <w:t>The Company is exposed to foreign exchange risk arising from various currency exposures, primarily with respect to the U.S. Dollar. We received the proceeds from our initial public offering in February 2021 in U.S. Dollars. We seek to minimize our exchange rate risk by maintaining cash positions in the currencies in which we expect to incur the majority of our future expenses and we make payments from those positions.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5" w:lineRule="exact"/>
        <w:rPr>
          <w:sz w:val="20"/>
          <w:szCs w:val="20"/>
          <w:color w:val="auto"/>
        </w:rPr>
      </w:pPr>
    </w:p>
    <w:p>
      <w:pPr>
        <w:ind w:right="720" w:firstLine="432"/>
        <w:spacing w:after="0" w:line="301"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This investment policy establishes minimum ratings for institutions with which we hold cash.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85" w:lineRule="exact"/>
        <w:rPr>
          <w:sz w:val="20"/>
          <w:szCs w:val="20"/>
          <w:color w:val="auto"/>
        </w:rPr>
      </w:pPr>
    </w:p>
    <w:p>
      <w:pPr>
        <w:ind w:right="260" w:firstLine="432"/>
        <w:spacing w:after="0" w:line="271" w:lineRule="auto"/>
        <w:rPr>
          <w:sz w:val="20"/>
          <w:szCs w:val="20"/>
          <w:color w:val="auto"/>
        </w:rPr>
      </w:pPr>
      <w:r>
        <w:rPr>
          <w:rFonts w:ascii="Arial" w:cs="Arial" w:eastAsia="Arial" w:hAnsi="Arial"/>
          <w:sz w:val="18"/>
          <w:szCs w:val="18"/>
          <w:color w:val="auto"/>
        </w:rPr>
        <w:t>There have been no material changes to the significant accounting policies and estimates described in “Item 5. Operating and Financial Review and Prospects—A. Operating —Critical accounting estimates and judgements” in the Annual Report.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5"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89" w:lineRule="exact"/>
        <w:rPr>
          <w:sz w:val="20"/>
          <w:szCs w:val="20"/>
          <w:color w:val="auto"/>
        </w:rPr>
      </w:pPr>
    </w:p>
    <w:p>
      <w:pPr>
        <w:ind w:left="440" w:right="500" w:hanging="326"/>
        <w:spacing w:after="0" w:line="27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80" w:lineRule="exact"/>
        <w:rPr>
          <w:rFonts w:ascii="Arial" w:cs="Arial" w:eastAsia="Arial" w:hAnsi="Arial"/>
          <w:sz w:val="18"/>
          <w:szCs w:val="18"/>
          <w:color w:val="auto"/>
        </w:rPr>
      </w:pPr>
    </w:p>
    <w:p>
      <w:pPr>
        <w:ind w:left="440" w:right="740" w:hanging="326"/>
        <w:spacing w:after="0" w:line="27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80" w:lineRule="exact"/>
        <w:rPr>
          <w:rFonts w:ascii="Arial" w:cs="Arial" w:eastAsia="Arial" w:hAnsi="Arial"/>
          <w:sz w:val="18"/>
          <w:szCs w:val="18"/>
          <w:color w:val="auto"/>
        </w:rPr>
      </w:pPr>
    </w:p>
    <w:p>
      <w:pPr>
        <w:ind w:left="440" w:right="420" w:hanging="326"/>
        <w:spacing w:after="0" w:line="27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80" w:lineRule="exact"/>
        <w:rPr>
          <w:rFonts w:ascii="Arial" w:cs="Arial" w:eastAsia="Arial" w:hAnsi="Arial"/>
          <w:sz w:val="18"/>
          <w:szCs w:val="18"/>
          <w:color w:val="auto"/>
        </w:rPr>
      </w:pPr>
    </w:p>
    <w:p>
      <w:pPr>
        <w:ind w:left="440" w:right="200" w:hanging="326"/>
        <w:spacing w:after="0" w:line="27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8" w:name="page19"/>
    <w:bookmarkEnd w:id="18"/>
    <w:p>
      <w:pPr>
        <w:ind w:left="440" w:hanging="326"/>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commercial capabilities or enter into agreements with third parties to market, sell and distribute our product candidates;</w:t>
      </w:r>
    </w:p>
    <w:p>
      <w:pPr>
        <w:spacing w:after="0" w:line="138" w:lineRule="exact"/>
        <w:rPr>
          <w:rFonts w:ascii="Arial" w:cs="Arial" w:eastAsia="Arial" w:hAnsi="Arial"/>
          <w:sz w:val="17"/>
          <w:szCs w:val="17"/>
          <w:color w:val="auto"/>
        </w:rPr>
      </w:pPr>
    </w:p>
    <w:p>
      <w:pPr>
        <w:ind w:left="440" w:hanging="326"/>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dependence on third parties to perform critical activities related to the research, development and manufacturing of our product candidates;</w:t>
      </w:r>
    </w:p>
    <w:p>
      <w:pPr>
        <w:spacing w:after="0" w:line="138" w:lineRule="exact"/>
        <w:rPr>
          <w:rFonts w:ascii="Arial" w:cs="Arial" w:eastAsia="Arial" w:hAnsi="Arial"/>
          <w:sz w:val="17"/>
          <w:szCs w:val="17"/>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27" w:lineRule="exact"/>
        <w:rPr>
          <w:rFonts w:ascii="Arial" w:cs="Arial" w:eastAsia="Arial" w:hAnsi="Arial"/>
          <w:sz w:val="18"/>
          <w:szCs w:val="18"/>
          <w:color w:val="auto"/>
        </w:rPr>
      </w:pPr>
    </w:p>
    <w:p>
      <w:pPr>
        <w:ind w:left="440" w:right="400" w:hanging="326"/>
        <w:spacing w:after="0" w:line="271"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80"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any new licensing agreements or to maintain any licensing agreements with respect to our product candidates;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27" w:lineRule="exact"/>
        <w:rPr>
          <w:rFonts w:ascii="Arial" w:cs="Arial" w:eastAsia="Arial" w:hAnsi="Arial"/>
          <w:sz w:val="18"/>
          <w:szCs w:val="18"/>
          <w:color w:val="auto"/>
        </w:rPr>
      </w:pPr>
    </w:p>
    <w:p>
      <w:pPr>
        <w:ind w:left="440" w:right="120" w:hanging="326"/>
        <w:spacing w:after="0" w:line="271"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201"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27" w:lineRule="exact"/>
        <w:rPr>
          <w:rFonts w:ascii="Arial" w:cs="Arial" w:eastAsia="Arial" w:hAnsi="Arial"/>
          <w:sz w:val="18"/>
          <w:szCs w:val="18"/>
          <w:color w:val="auto"/>
        </w:rPr>
      </w:pPr>
    </w:p>
    <w:p>
      <w:pPr>
        <w:ind w:left="440" w:right="60" w:hanging="326"/>
        <w:spacing w:after="0" w:line="271"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80"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estimates regarding anticipated operating losses, future revenues, expenses, capital requirements and our needs for additional financing;</w:t>
      </w:r>
    </w:p>
    <w:p>
      <w:pPr>
        <w:spacing w:after="0" w:line="138" w:lineRule="exact"/>
        <w:rPr>
          <w:rFonts w:ascii="Arial" w:cs="Arial" w:eastAsia="Arial" w:hAnsi="Arial"/>
          <w:sz w:val="17"/>
          <w:szCs w:val="17"/>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27"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27" w:lineRule="exact"/>
        <w:rPr>
          <w:rFonts w:ascii="Arial" w:cs="Arial" w:eastAsia="Arial" w:hAnsi="Arial"/>
          <w:sz w:val="18"/>
          <w:szCs w:val="18"/>
          <w:color w:val="auto"/>
        </w:rPr>
      </w:pPr>
    </w:p>
    <w:p>
      <w:pPr>
        <w:ind w:left="440" w:right="320" w:hanging="326"/>
        <w:spacing w:after="0" w:line="271"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80" w:lineRule="exact"/>
        <w:rPr>
          <w:rFonts w:ascii="Arial" w:cs="Arial" w:eastAsia="Arial" w:hAnsi="Arial"/>
          <w:sz w:val="18"/>
          <w:szCs w:val="18"/>
          <w:color w:val="auto"/>
        </w:rPr>
      </w:pPr>
    </w:p>
    <w:p>
      <w:pPr>
        <w:ind w:left="440" w:hanging="326"/>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Jumpstart Our Business Startups Act; and</w:t>
      </w:r>
    </w:p>
    <w:p>
      <w:pPr>
        <w:spacing w:after="0" w:line="259" w:lineRule="exact"/>
        <w:rPr>
          <w:rFonts w:ascii="Arial" w:cs="Arial" w:eastAsia="Arial" w:hAnsi="Arial"/>
          <w:sz w:val="17"/>
          <w:szCs w:val="17"/>
          <w:color w:val="auto"/>
        </w:rPr>
      </w:pPr>
    </w:p>
    <w:p>
      <w:pPr>
        <w:ind w:left="440" w:hanging="3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200" w:lineRule="exact"/>
        <w:rPr>
          <w:sz w:val="20"/>
          <w:szCs w:val="20"/>
          <w:color w:val="auto"/>
        </w:rPr>
      </w:pPr>
    </w:p>
    <w:p>
      <w:pPr>
        <w:spacing w:after="0" w:line="262"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You should refer to the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473" w:right="37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obligation to publicly update any forward-looking statements, whether as a result of new information, future events or otherwise, except as required by law.</w:t>
      </w:r>
    </w:p>
    <w:p>
      <w:pPr>
        <w:spacing w:after="0" w:line="24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339" w:right="4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Pharvaris N.V.</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Condensed Consolidated Interim Financial Statements</w:t>
      </w:r>
    </w:p>
    <w:p>
      <w:pPr>
        <w:spacing w:after="0"/>
        <w:rPr>
          <w:sz w:val="20"/>
          <w:szCs w:val="20"/>
          <w:color w:val="auto"/>
        </w:rPr>
      </w:pPr>
      <w:r>
        <w:rPr>
          <w:rFonts w:ascii="Arial" w:cs="Arial" w:eastAsia="Arial" w:hAnsi="Arial"/>
          <w:sz w:val="21"/>
          <w:szCs w:val="21"/>
          <w:b w:val="1"/>
          <w:bCs w:val="1"/>
          <w:color w:val="auto"/>
        </w:rPr>
        <w:t>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762000</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21"/>
          <w:szCs w:val="21"/>
          <w:b w:val="1"/>
          <w:bCs w:val="1"/>
          <w:color w:val="auto"/>
        </w:rPr>
        <w:t>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3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profit or loss and other comprehensive income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0"/>
                <w:szCs w:val="20"/>
                <w:color w:val="auto"/>
              </w:rPr>
            </w:pPr>
          </w:p>
        </w:tc>
      </w:tr>
      <w:tr>
        <w:trPr>
          <w:trHeight w:val="403"/>
        </w:trPr>
        <w:tc>
          <w:tcPr>
            <w:tcW w:w="93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7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4</w:t>
              </w:r>
            </w:hyperlink>
          </w:p>
        </w:tc>
        <w:tc>
          <w:tcPr>
            <w:tcW w:w="20" w:type="dxa"/>
            <w:vAlign w:val="bottom"/>
          </w:tcPr>
          <w:p>
            <w:pPr>
              <w:spacing w:after="0"/>
              <w:rPr>
                <w:sz w:val="24"/>
                <w:szCs w:val="24"/>
                <w:color w:val="auto"/>
              </w:rPr>
            </w:pPr>
          </w:p>
        </w:tc>
      </w:tr>
      <w:tr>
        <w:trPr>
          <w:trHeight w:val="421"/>
        </w:trPr>
        <w:tc>
          <w:tcPr>
            <w:tcW w:w="93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tc>
        <w:tc>
          <w:tcPr>
            <w:tcW w:w="17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5</w:t>
              </w:r>
            </w:hyperlink>
          </w:p>
        </w:tc>
        <w:tc>
          <w:tcPr>
            <w:tcW w:w="20" w:type="dxa"/>
            <w:vAlign w:val="bottom"/>
          </w:tcPr>
          <w:p>
            <w:pPr>
              <w:spacing w:after="0"/>
              <w:rPr>
                <w:sz w:val="24"/>
                <w:szCs w:val="24"/>
                <w:color w:val="auto"/>
              </w:rPr>
            </w:pPr>
          </w:p>
        </w:tc>
      </w:tr>
      <w:tr>
        <w:trPr>
          <w:trHeight w:val="421"/>
        </w:trPr>
        <w:tc>
          <w:tcPr>
            <w:tcW w:w="93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7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6</w:t>
              </w:r>
            </w:hyperlink>
          </w:p>
        </w:tc>
        <w:tc>
          <w:tcPr>
            <w:tcW w:w="20" w:type="dxa"/>
            <w:vAlign w:val="bottom"/>
          </w:tcPr>
          <w:p>
            <w:pPr>
              <w:spacing w:after="0"/>
              <w:rPr>
                <w:sz w:val="24"/>
                <w:szCs w:val="24"/>
                <w:color w:val="auto"/>
              </w:rPr>
            </w:pPr>
          </w:p>
        </w:tc>
      </w:tr>
      <w:tr>
        <w:trPr>
          <w:trHeight w:val="421"/>
        </w:trPr>
        <w:tc>
          <w:tcPr>
            <w:tcW w:w="9360" w:type="dxa"/>
            <w:vAlign w:val="bottom"/>
          </w:tcPr>
          <w:p>
            <w:pP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tc>
        <w:tc>
          <w:tcPr>
            <w:tcW w:w="17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7">
              <w:r>
                <w:rPr>
                  <w:rFonts w:ascii="Arial" w:cs="Arial" w:eastAsia="Arial" w:hAnsi="Arial"/>
                  <w:sz w:val="18"/>
                  <w:szCs w:val="18"/>
                  <w:b w:val="1"/>
                  <w:bCs w:val="1"/>
                  <w:color w:val="0000EE"/>
                  <w:w w:val="79"/>
                </w:rPr>
                <w:t>7</w:t>
              </w:r>
            </w:hyperlink>
          </w:p>
        </w:tc>
        <w:tc>
          <w:tcPr>
            <w:tcW w:w="20" w:type="dxa"/>
            <w:vAlign w:val="bottom"/>
          </w:tcPr>
          <w:p>
            <w:pPr>
              <w:spacing w:after="0"/>
              <w:rPr>
                <w:sz w:val="24"/>
                <w:szCs w:val="24"/>
                <w:color w:val="auto"/>
              </w:rPr>
            </w:pPr>
          </w:p>
        </w:tc>
      </w:tr>
      <w:tr>
        <w:trPr>
          <w:trHeight w:val="915"/>
        </w:trPr>
        <w:tc>
          <w:tcPr>
            <w:tcW w:w="936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5"/>
        </w:trPr>
        <w:tc>
          <w:tcPr>
            <w:tcW w:w="93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sectPr>
      </w:pPr>
    </w:p>
    <w:bookmarkStart w:id="22" w:name="page23"/>
    <w:bookmarkEnd w:id="22"/>
    <w:p>
      <w:pPr>
        <w:spacing w:after="0"/>
        <w:rPr>
          <w:sz w:val="20"/>
          <w:szCs w:val="20"/>
          <w:color w:val="auto"/>
        </w:rPr>
      </w:pPr>
      <w:r>
        <w:rPr>
          <w:rFonts w:ascii="Arial" w:cs="Arial" w:eastAsia="Arial" w:hAnsi="Arial"/>
          <w:sz w:val="21"/>
          <w:szCs w:val="21"/>
          <w:b w:val="1"/>
          <w:bCs w:val="1"/>
          <w:color w:val="auto"/>
        </w:rPr>
        <w:t>Unaudited condensed consolidated statements of profit or loss and other comprehensive income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shd w:val="clear" w:color="auto" w:fill="CFF0FC"/>
          </w:tcPr>
          <w:p>
            <w:pPr>
              <w:jc w:val="right"/>
              <w:ind w:right="551"/>
              <w:spacing w:after="0"/>
              <w:rPr>
                <w:sz w:val="20"/>
                <w:szCs w:val="20"/>
                <w:color w:val="auto"/>
              </w:rPr>
            </w:pPr>
            <w:r>
              <w:rPr>
                <w:rFonts w:ascii="Arial" w:cs="Arial" w:eastAsia="Arial" w:hAnsi="Arial"/>
                <w:sz w:val="18"/>
                <w:szCs w:val="18"/>
                <w:color w:val="auto"/>
              </w:rPr>
              <w:t>3</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(8,071,451)</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(2,403,401)</w:t>
            </w:r>
          </w:p>
        </w:tc>
        <w:tc>
          <w:tcPr>
            <w:tcW w:w="0" w:type="dxa"/>
            <w:vAlign w:val="bottom"/>
          </w:tcPr>
          <w:p>
            <w:pPr>
              <w:spacing w:after="0"/>
              <w:rPr>
                <w:sz w:val="1"/>
                <w:szCs w:val="1"/>
                <w:color w:val="auto"/>
              </w:rPr>
            </w:pPr>
          </w:p>
        </w:tc>
      </w:tr>
      <w:tr>
        <w:trPr>
          <w:trHeight w:val="240"/>
        </w:trPr>
        <w:tc>
          <w:tcPr>
            <w:tcW w:w="6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(3,771,693)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(842,561)</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4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00" w:type="dxa"/>
            <w:vAlign w:val="bottom"/>
            <w:vMerge w:val="continue"/>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(11,843,144)</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(3,245,962)</w:t>
            </w:r>
          </w:p>
        </w:tc>
        <w:tc>
          <w:tcPr>
            <w:tcW w:w="0" w:type="dxa"/>
            <w:vAlign w:val="bottom"/>
          </w:tcPr>
          <w:p>
            <w:pPr>
              <w:spacing w:after="0"/>
              <w:rPr>
                <w:sz w:val="1"/>
                <w:szCs w:val="1"/>
                <w:color w:val="auto"/>
              </w:rPr>
            </w:pPr>
          </w:p>
        </w:tc>
      </w:tr>
      <w:tr>
        <w:trPr>
          <w:trHeight w:val="235"/>
        </w:trPr>
        <w:tc>
          <w:tcPr>
            <w:tcW w:w="6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420" w:type="dxa"/>
            <w:vAlign w:val="bottom"/>
            <w:shd w:val="clear" w:color="auto" w:fill="CFF0FC"/>
          </w:tcPr>
          <w:p>
            <w:pPr>
              <w:jc w:val="right"/>
              <w:ind w:right="551"/>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5,818,856</w:t>
            </w:r>
          </w:p>
        </w:tc>
        <w:tc>
          <w:tcPr>
            <w:tcW w:w="2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w:t>
            </w:r>
          </w:p>
        </w:tc>
        <w:tc>
          <w:tcPr>
            <w:tcW w:w="1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70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(6,024,288)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(3,276,535)</w:t>
            </w:r>
          </w:p>
        </w:tc>
        <w:tc>
          <w:tcPr>
            <w:tcW w:w="0" w:type="dxa"/>
            <w:vAlign w:val="bottom"/>
          </w:tcPr>
          <w:p>
            <w:pPr>
              <w:spacing w:after="0"/>
              <w:rPr>
                <w:sz w:val="1"/>
                <w:szCs w:val="1"/>
                <w:color w:val="auto"/>
              </w:rPr>
            </w:pPr>
          </w:p>
        </w:tc>
      </w:tr>
      <w:tr>
        <w:trPr>
          <w:trHeight w:val="235"/>
        </w:trPr>
        <w:tc>
          <w:tcPr>
            <w:tcW w:w="6700" w:type="dxa"/>
            <w:vAlign w:val="bottom"/>
            <w:tcBorders>
              <w:top w:val="single" w:sz="8" w:color="CFF0FC"/>
            </w:tcBorders>
            <w:shd w:val="clear" w:color="auto" w:fill="CFF0FC"/>
          </w:tcPr>
          <w:p>
            <w:pPr>
              <w:spacing w:after="0"/>
              <w:rPr>
                <w:sz w:val="20"/>
                <w:szCs w:val="20"/>
                <w:color w:val="auto"/>
              </w:rPr>
            </w:pPr>
          </w:p>
        </w:tc>
        <w:tc>
          <w:tcPr>
            <w:tcW w:w="142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00" w:type="dxa"/>
            <w:vAlign w:val="bottom"/>
          </w:tcPr>
          <w:p>
            <w:pPr>
              <w:spacing w:after="0"/>
              <w:rPr>
                <w:sz w:val="20"/>
                <w:szCs w:val="20"/>
                <w:color w:val="auto"/>
              </w:rPr>
            </w:pPr>
            <w:r>
              <w:rPr>
                <w:rFonts w:ascii="Arial" w:cs="Arial" w:eastAsia="Arial" w:hAnsi="Arial"/>
                <w:sz w:val="18"/>
                <w:szCs w:val="18"/>
                <w:color w:val="auto"/>
              </w:rPr>
              <w:t>Income taxes</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(18,589)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Loss for the period</w:t>
            </w:r>
          </w:p>
        </w:tc>
        <w:tc>
          <w:tcPr>
            <w:tcW w:w="14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00" w:type="dxa"/>
            <w:vAlign w:val="bottom"/>
            <w:vMerge w:val="continue"/>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(6,042,877)</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(3,276,535)</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income/(loss)</w:t>
            </w:r>
          </w:p>
        </w:tc>
        <w:tc>
          <w:tcPr>
            <w:tcW w:w="1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00" w:type="dxa"/>
            <w:vAlign w:val="bottom"/>
          </w:tcPr>
          <w:p>
            <w:pPr>
              <w:spacing w:after="0"/>
              <w:rPr>
                <w:sz w:val="20"/>
                <w:szCs w:val="20"/>
                <w:color w:val="auto"/>
              </w:rPr>
            </w:pPr>
            <w:r>
              <w:rPr>
                <w:rFonts w:ascii="Arial" w:cs="Arial" w:eastAsia="Arial" w:hAnsi="Arial"/>
                <w:sz w:val="18"/>
                <w:szCs w:val="18"/>
                <w:color w:val="auto"/>
              </w:rPr>
              <w:t>Exchange gains arising on translation of foreign operations</w:t>
            </w:r>
          </w:p>
        </w:tc>
        <w:tc>
          <w:tcPr>
            <w:tcW w:w="1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7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0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Equity holders of the Company</w:t>
            </w:r>
          </w:p>
        </w:tc>
        <w:tc>
          <w:tcPr>
            <w:tcW w:w="1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(6,041,628)</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(3,276,535)</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attributable to the equity holders of the Company during the periods</w:t>
            </w:r>
          </w:p>
        </w:tc>
        <w:tc>
          <w:tcPr>
            <w:tcW w:w="1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0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3" w:name="page24"/>
    <w:bookmarkEnd w:id="23"/>
    <w:p>
      <w:pPr>
        <w:spacing w:after="0"/>
        <w:rPr>
          <w:sz w:val="20"/>
          <w:szCs w:val="20"/>
          <w:color w:val="auto"/>
        </w:rPr>
      </w:pPr>
      <w:r>
        <w:rPr>
          <w:rFonts w:ascii="Arial" w:cs="Arial" w:eastAsia="Arial" w:hAnsi="Arial"/>
          <w:sz w:val="21"/>
          <w:szCs w:val="21"/>
          <w:b w:val="1"/>
          <w:bCs w:val="1"/>
          <w:color w:val="auto"/>
        </w:rPr>
        <w:t>Unaudited condensed consolidated statements of financial position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31,</w:t>
            </w:r>
          </w:p>
        </w:tc>
      </w:tr>
      <w:tr>
        <w:trPr>
          <w:trHeight w:val="228"/>
        </w:trPr>
        <w:tc>
          <w:tcPr>
            <w:tcW w:w="4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34"/>
        </w:trPr>
        <w:tc>
          <w:tcPr>
            <w:tcW w:w="4720" w:type="dxa"/>
            <w:vAlign w:val="bottom"/>
          </w:tcPr>
          <w:p>
            <w:pPr>
              <w:spacing w:after="0"/>
              <w:rPr>
                <w:sz w:val="20"/>
                <w:szCs w:val="20"/>
                <w:color w:val="auto"/>
              </w:rPr>
            </w:pPr>
          </w:p>
        </w:tc>
        <w:tc>
          <w:tcPr>
            <w:tcW w:w="3400" w:type="dxa"/>
            <w:vAlign w:val="bottom"/>
          </w:tcPr>
          <w:p>
            <w:pPr>
              <w:ind w:left="2460"/>
              <w:spacing w:after="0"/>
              <w:rPr>
                <w:sz w:val="20"/>
                <w:szCs w:val="20"/>
                <w:color w:val="auto"/>
              </w:rPr>
            </w:pPr>
            <w:r>
              <w:rPr>
                <w:rFonts w:ascii="Arial" w:cs="Arial" w:eastAsia="Arial" w:hAnsi="Arial"/>
                <w:sz w:val="18"/>
                <w:szCs w:val="18"/>
                <w:color w:val="auto"/>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400" w:type="dxa"/>
            <w:vAlign w:val="bottom"/>
            <w:shd w:val="clear" w:color="auto" w:fill="CFF0FC"/>
          </w:tcPr>
          <w:p>
            <w:pPr>
              <w:jc w:val="center"/>
              <w:ind w:left="1951"/>
              <w:spacing w:after="0"/>
              <w:rPr>
                <w:sz w:val="20"/>
                <w:szCs w:val="20"/>
                <w:color w:val="auto"/>
              </w:rPr>
            </w:pPr>
            <w:r>
              <w:rPr>
                <w:rFonts w:ascii="Arial" w:cs="Arial" w:eastAsia="Arial" w:hAnsi="Arial"/>
                <w:sz w:val="18"/>
                <w:szCs w:val="18"/>
                <w:color w:val="auto"/>
                <w:w w:val="79"/>
              </w:rPr>
              <w:t>8</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55,507</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400" w:type="dxa"/>
            <w:vAlign w:val="bottom"/>
            <w:shd w:val="clear" w:color="auto" w:fill="CFF0FC"/>
          </w:tcPr>
          <w:p>
            <w:pPr>
              <w:jc w:val="center"/>
              <w:ind w:left="1951"/>
              <w:spacing w:after="0"/>
              <w:rPr>
                <w:sz w:val="20"/>
                <w:szCs w:val="20"/>
                <w:color w:val="auto"/>
              </w:rPr>
            </w:pPr>
            <w:r>
              <w:rPr>
                <w:rFonts w:ascii="Arial" w:cs="Arial" w:eastAsia="Arial" w:hAnsi="Arial"/>
                <w:sz w:val="18"/>
                <w:szCs w:val="18"/>
                <w:color w:val="auto"/>
                <w:w w:val="79"/>
              </w:rPr>
              <w:t>7</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103,965</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99,339</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color w:val="auto"/>
              </w:rPr>
              <w:t>Receivables</w:t>
            </w:r>
          </w:p>
        </w:tc>
        <w:tc>
          <w:tcPr>
            <w:tcW w:w="3400" w:type="dxa"/>
            <w:vAlign w:val="bottom"/>
          </w:tcPr>
          <w:p>
            <w:pPr>
              <w:jc w:val="center"/>
              <w:ind w:left="1951"/>
              <w:spacing w:after="0"/>
              <w:rPr>
                <w:sz w:val="20"/>
                <w:szCs w:val="20"/>
                <w:color w:val="auto"/>
              </w:rPr>
            </w:pPr>
            <w:r>
              <w:rPr>
                <w:rFonts w:ascii="Arial" w:cs="Arial" w:eastAsia="Arial" w:hAnsi="Arial"/>
                <w:sz w:val="18"/>
                <w:szCs w:val="18"/>
                <w:color w:val="auto"/>
                <w:w w:val="79"/>
              </w:rPr>
              <w:t>9</w:t>
            </w:r>
          </w:p>
        </w:tc>
        <w:tc>
          <w:tcPr>
            <w:tcW w:w="1360" w:type="dxa"/>
            <w:vAlign w:val="bottom"/>
          </w:tcPr>
          <w:p>
            <w:pPr>
              <w:jc w:val="right"/>
              <w:spacing w:after="0"/>
              <w:rPr>
                <w:sz w:val="20"/>
                <w:szCs w:val="20"/>
                <w:color w:val="auto"/>
              </w:rPr>
            </w:pPr>
            <w:r>
              <w:rPr>
                <w:rFonts w:ascii="Arial" w:cs="Arial" w:eastAsia="Arial" w:hAnsi="Arial"/>
                <w:sz w:val="18"/>
                <w:szCs w:val="18"/>
                <w:color w:val="auto"/>
              </w:rPr>
              <w:t>541,316</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569,578</w:t>
            </w: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400" w:type="dxa"/>
            <w:vAlign w:val="bottom"/>
            <w:shd w:val="clear" w:color="auto" w:fill="CFF0FC"/>
          </w:tcPr>
          <w:p>
            <w:pPr>
              <w:jc w:val="center"/>
              <w:ind w:left="1971"/>
              <w:spacing w:after="0"/>
              <w:rPr>
                <w:sz w:val="20"/>
                <w:szCs w:val="20"/>
                <w:color w:val="auto"/>
              </w:rPr>
            </w:pPr>
            <w:r>
              <w:rPr>
                <w:rFonts w:ascii="Arial" w:cs="Arial" w:eastAsia="Arial" w:hAnsi="Arial"/>
                <w:sz w:val="18"/>
                <w:szCs w:val="18"/>
                <w:color w:val="auto"/>
                <w:w w:val="89"/>
              </w:rPr>
              <w:t>10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5,004,581</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1,753,327</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w:t>
            </w:r>
          </w:p>
        </w:tc>
        <w:tc>
          <w:tcPr>
            <w:tcW w:w="3400" w:type="dxa"/>
            <w:vAlign w:val="bottom"/>
            <w:tcBorders>
              <w:bottom w:val="single" w:sz="8" w:color="CFF0FC"/>
            </w:tcBorders>
          </w:tcPr>
          <w:p>
            <w:pPr>
              <w:jc w:val="center"/>
              <w:ind w:left="1951"/>
              <w:spacing w:after="0"/>
              <w:rPr>
                <w:sz w:val="20"/>
                <w:szCs w:val="20"/>
                <w:color w:val="auto"/>
              </w:rPr>
            </w:pPr>
            <w:r>
              <w:rPr>
                <w:rFonts w:ascii="Arial" w:cs="Arial" w:eastAsia="Arial" w:hAnsi="Arial"/>
                <w:sz w:val="18"/>
                <w:szCs w:val="18"/>
                <w:color w:val="auto"/>
                <w:w w:val="79"/>
              </w:rPr>
              <w:t>11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238,323,577</w:t>
            </w:r>
          </w:p>
        </w:tc>
        <w:tc>
          <w:tcPr>
            <w:tcW w:w="2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98,628,871</w:t>
            </w:r>
          </w:p>
        </w:tc>
        <w:tc>
          <w:tcPr>
            <w:tcW w:w="100" w:type="dxa"/>
            <w:vAlign w:val="bottom"/>
            <w:tcBorders>
              <w:bottom w:val="single" w:sz="8" w:color="CFF0FC"/>
            </w:tcBorders>
          </w:tcPr>
          <w:p>
            <w:pPr>
              <w:spacing w:after="0"/>
              <w:rPr>
                <w:sz w:val="20"/>
                <w:szCs w:val="20"/>
                <w:color w:val="auto"/>
              </w:rPr>
            </w:pPr>
          </w:p>
        </w:tc>
      </w:tr>
      <w:tr>
        <w:trPr>
          <w:trHeight w:val="234"/>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4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244,028,946</w:t>
            </w:r>
          </w:p>
        </w:tc>
        <w:tc>
          <w:tcPr>
            <w:tcW w:w="2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liabilities</w:t>
            </w:r>
          </w:p>
        </w:tc>
        <w:tc>
          <w:tcPr>
            <w:tcW w:w="3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 capital</w:t>
            </w:r>
          </w:p>
        </w:tc>
        <w:tc>
          <w:tcPr>
            <w:tcW w:w="3400" w:type="dxa"/>
            <w:vAlign w:val="bottom"/>
            <w:shd w:val="clear" w:color="auto" w:fill="CFF0FC"/>
          </w:tcPr>
          <w:p>
            <w:pPr>
              <w:jc w:val="center"/>
              <w:ind w:left="1971"/>
              <w:spacing w:after="0"/>
              <w:rPr>
                <w:sz w:val="20"/>
                <w:szCs w:val="20"/>
                <w:color w:val="auto"/>
              </w:rPr>
            </w:pPr>
            <w:r>
              <w:rPr>
                <w:rFonts w:ascii="Arial" w:cs="Arial" w:eastAsia="Arial" w:hAnsi="Arial"/>
                <w:sz w:val="18"/>
                <w:szCs w:val="18"/>
                <w:color w:val="auto"/>
                <w:w w:val="89"/>
              </w:rPr>
              <w:t>12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3,971,352</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235,693</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color w:val="auto"/>
              </w:rPr>
              <w:t>Share premium</w:t>
            </w:r>
          </w:p>
        </w:tc>
        <w:tc>
          <w:tcPr>
            <w:tcW w:w="3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278,302,169</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138,034,580</w:t>
            </w: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reserves</w:t>
            </w:r>
          </w:p>
        </w:tc>
        <w:tc>
          <w:tcPr>
            <w:tcW w:w="3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4,041,324</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1,979,875</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color w:val="auto"/>
              </w:rPr>
              <w:t>Currency translation reserve</w:t>
            </w:r>
          </w:p>
        </w:tc>
        <w:tc>
          <w:tcPr>
            <w:tcW w:w="34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(4,365)</w:t>
            </w: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Accumulated loss</w:t>
            </w:r>
          </w:p>
        </w:tc>
        <w:tc>
          <w:tcPr>
            <w:tcW w:w="34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(50,734,634)</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(44,459,954)</w:t>
            </w:r>
          </w:p>
        </w:tc>
      </w:tr>
      <w:tr>
        <w:trPr>
          <w:trHeight w:val="27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equity</w:t>
            </w:r>
          </w:p>
        </w:tc>
        <w:tc>
          <w:tcPr>
            <w:tcW w:w="3400" w:type="dxa"/>
            <w:vAlign w:val="bottom"/>
            <w:tcBorders>
              <w:bottom w:val="single" w:sz="8" w:color="CFF0FC"/>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235,577,095</w:t>
            </w:r>
          </w:p>
        </w:tc>
        <w:tc>
          <w:tcPr>
            <w:tcW w:w="280" w:type="dxa"/>
            <w:vAlign w:val="bottom"/>
            <w:tcBorders>
              <w:bottom w:val="single" w:sz="8" w:color="CFF0FC"/>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95,785,829</w:t>
            </w:r>
          </w:p>
        </w:tc>
        <w:tc>
          <w:tcPr>
            <w:tcW w:w="100" w:type="dxa"/>
            <w:vAlign w:val="bottom"/>
            <w:tcBorders>
              <w:bottom w:val="single" w:sz="8" w:color="CFF0FC"/>
            </w:tcBorders>
          </w:tcPr>
          <w:p>
            <w:pPr>
              <w:spacing w:after="0"/>
              <w:rPr>
                <w:sz w:val="23"/>
                <w:szCs w:val="23"/>
                <w:color w:val="auto"/>
              </w:rPr>
            </w:pPr>
          </w:p>
        </w:tc>
      </w:tr>
      <w:tr>
        <w:trPr>
          <w:trHeight w:val="222"/>
        </w:trPr>
        <w:tc>
          <w:tcPr>
            <w:tcW w:w="472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3400" w:type="dxa"/>
            <w:vAlign w:val="bottom"/>
            <w:shd w:val="clear" w:color="auto" w:fill="CFF0FC"/>
          </w:tcPr>
          <w:p>
            <w:pPr>
              <w:jc w:val="center"/>
              <w:ind w:left="1971"/>
              <w:spacing w:after="0"/>
              <w:rPr>
                <w:sz w:val="20"/>
                <w:szCs w:val="20"/>
                <w:color w:val="auto"/>
              </w:rPr>
            </w:pPr>
            <w:r>
              <w:rPr>
                <w:rFonts w:ascii="Arial" w:cs="Arial" w:eastAsia="Arial" w:hAnsi="Arial"/>
                <w:sz w:val="18"/>
                <w:szCs w:val="18"/>
                <w:color w:val="auto"/>
                <w:w w:val="89"/>
              </w:rPr>
              <w:t>13</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4,315,827</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846,952</w:t>
            </w:r>
          </w:p>
        </w:tc>
        <w:tc>
          <w:tcPr>
            <w:tcW w:w="100" w:type="dxa"/>
            <w:vAlign w:val="bottom"/>
            <w:shd w:val="clear" w:color="auto" w:fill="CFF0FC"/>
          </w:tcPr>
          <w:p>
            <w:pPr>
              <w:spacing w:after="0"/>
              <w:rPr>
                <w:sz w:val="20"/>
                <w:szCs w:val="20"/>
                <w:color w:val="auto"/>
              </w:rPr>
            </w:pPr>
          </w:p>
        </w:tc>
      </w:tr>
      <w:tr>
        <w:trPr>
          <w:trHeight w:val="24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liabilities</w:t>
            </w:r>
          </w:p>
        </w:tc>
        <w:tc>
          <w:tcPr>
            <w:tcW w:w="3400" w:type="dxa"/>
            <w:vAlign w:val="bottom"/>
            <w:tcBorders>
              <w:bottom w:val="single" w:sz="8" w:color="CFF0FC"/>
            </w:tcBorders>
          </w:tcPr>
          <w:p>
            <w:pPr>
              <w:jc w:val="center"/>
              <w:ind w:left="1971"/>
              <w:spacing w:after="0"/>
              <w:rPr>
                <w:sz w:val="20"/>
                <w:szCs w:val="20"/>
                <w:color w:val="auto"/>
              </w:rPr>
            </w:pPr>
            <w:r>
              <w:rPr>
                <w:rFonts w:ascii="Arial" w:cs="Arial" w:eastAsia="Arial" w:hAnsi="Arial"/>
                <w:sz w:val="18"/>
                <w:szCs w:val="18"/>
                <w:color w:val="auto"/>
                <w:w w:val="89"/>
              </w:rPr>
              <w:t>14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4,136,024</w:t>
            </w:r>
          </w:p>
        </w:tc>
        <w:tc>
          <w:tcPr>
            <w:tcW w:w="2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4,466,837</w:t>
            </w:r>
          </w:p>
        </w:tc>
        <w:tc>
          <w:tcPr>
            <w:tcW w:w="100" w:type="dxa"/>
            <w:vAlign w:val="bottom"/>
            <w:tcBorders>
              <w:bottom w:val="single" w:sz="8" w:color="CFF0FC"/>
            </w:tcBorders>
          </w:tcPr>
          <w:p>
            <w:pPr>
              <w:spacing w:after="0"/>
              <w:rPr>
                <w:sz w:val="20"/>
                <w:szCs w:val="20"/>
                <w:color w:val="auto"/>
              </w:rPr>
            </w:pPr>
          </w:p>
        </w:tc>
      </w:tr>
      <w:tr>
        <w:trPr>
          <w:trHeight w:val="235"/>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0" w:type="dxa"/>
            <w:vAlign w:val="bottom"/>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8,451,851</w:t>
            </w:r>
          </w:p>
        </w:tc>
        <w:tc>
          <w:tcPr>
            <w:tcW w:w="280" w:type="dxa"/>
            <w:vAlign w:val="bottom"/>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5,313,789</w:t>
            </w:r>
          </w:p>
        </w:tc>
        <w:tc>
          <w:tcPr>
            <w:tcW w:w="100" w:type="dxa"/>
            <w:vAlign w:val="bottom"/>
            <w:shd w:val="clear" w:color="auto" w:fill="CFF0FC"/>
          </w:tcPr>
          <w:p>
            <w:pPr>
              <w:spacing w:after="0"/>
              <w:rPr>
                <w:sz w:val="20"/>
                <w:szCs w:val="20"/>
                <w:color w:val="auto"/>
              </w:rPr>
            </w:pPr>
          </w:p>
        </w:tc>
      </w:tr>
      <w:tr>
        <w:trPr>
          <w:trHeight w:val="233"/>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4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244,028,946</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2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Unaudited condensed consolidated statements of changes in equity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Currency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translation</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Accumulated</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Total</w:t>
            </w:r>
          </w:p>
        </w:tc>
      </w:tr>
      <w:tr>
        <w:trPr>
          <w:trHeight w:val="228"/>
        </w:trPr>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premium</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reserves</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reserve</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losses</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Equity</w:t>
            </w:r>
          </w:p>
        </w:tc>
      </w:tr>
      <w:tr>
        <w:trPr>
          <w:trHeight w:val="234"/>
        </w:trPr>
        <w:tc>
          <w:tcPr>
            <w:tcW w:w="300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Notes</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1"/>
        </w:trPr>
        <w:tc>
          <w:tcPr>
            <w:tcW w:w="3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2020</w:t>
            </w:r>
          </w:p>
        </w:tc>
        <w:tc>
          <w:tcPr>
            <w:tcW w:w="10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130,962</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36,624,697</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392,139</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(18,474,250)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18,673,548</w:t>
            </w:r>
          </w:p>
        </w:tc>
      </w:tr>
      <w:tr>
        <w:trPr>
          <w:trHeight w:val="253"/>
        </w:trPr>
        <w:tc>
          <w:tcPr>
            <w:tcW w:w="30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(3,276,355)</w:t>
            </w:r>
          </w:p>
        </w:tc>
        <w:tc>
          <w:tcPr>
            <w:tcW w:w="1040" w:type="dxa"/>
            <w:vAlign w:val="bottom"/>
          </w:tcPr>
          <w:p>
            <w:pPr>
              <w:jc w:val="right"/>
              <w:spacing w:after="0"/>
              <w:rPr>
                <w:sz w:val="20"/>
                <w:szCs w:val="20"/>
                <w:color w:val="auto"/>
              </w:rPr>
            </w:pPr>
            <w:r>
              <w:rPr>
                <w:rFonts w:ascii="Arial" w:cs="Arial" w:eastAsia="Arial" w:hAnsi="Arial"/>
                <w:sz w:val="18"/>
                <w:szCs w:val="18"/>
                <w:color w:val="auto"/>
              </w:rPr>
              <w:t>(3,276,355</w:t>
            </w:r>
          </w:p>
        </w:tc>
      </w:tr>
      <w:tr>
        <w:trPr>
          <w:trHeight w:val="241"/>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Issue of share capital</w:t>
            </w:r>
          </w:p>
        </w:tc>
        <w:tc>
          <w:tcPr>
            <w:tcW w:w="10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300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10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10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293,717</w:t>
            </w:r>
          </w:p>
        </w:tc>
        <w:tc>
          <w:tcPr>
            <w:tcW w:w="24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293,717</w:t>
            </w:r>
          </w:p>
        </w:tc>
      </w:tr>
      <w:tr>
        <w:trPr>
          <w:trHeight w:val="233"/>
        </w:trPr>
        <w:tc>
          <w:tcPr>
            <w:tcW w:w="30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130,962</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36,624,697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685,856</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(21,750,605)</w:t>
            </w:r>
          </w:p>
        </w:tc>
        <w:tc>
          <w:tcPr>
            <w:tcW w:w="1040" w:type="dxa"/>
            <w:vAlign w:val="bottom"/>
          </w:tcPr>
          <w:p>
            <w:pPr>
              <w:jc w:val="right"/>
              <w:spacing w:after="0"/>
              <w:rPr>
                <w:sz w:val="20"/>
                <w:szCs w:val="20"/>
                <w:color w:val="auto"/>
              </w:rPr>
            </w:pPr>
            <w:r>
              <w:rPr>
                <w:rFonts w:ascii="Arial" w:cs="Arial" w:eastAsia="Arial" w:hAnsi="Arial"/>
                <w:sz w:val="18"/>
                <w:szCs w:val="18"/>
                <w:color w:val="auto"/>
              </w:rPr>
              <w:t>15,690,910</w:t>
            </w:r>
          </w:p>
        </w:tc>
      </w:tr>
      <w:tr>
        <w:trPr>
          <w:trHeight w:val="20"/>
        </w:trPr>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4"/>
        </w:trPr>
        <w:tc>
          <w:tcPr>
            <w:tcW w:w="3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2021</w:t>
            </w:r>
          </w:p>
        </w:tc>
        <w:tc>
          <w:tcPr>
            <w:tcW w:w="10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235,693</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138,034,580</w:t>
            </w: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1,979,875</w:t>
            </w:r>
          </w:p>
        </w:tc>
        <w:tc>
          <w:tcPr>
            <w:tcW w:w="2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(4,365)</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(44,459,954)</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95,785,829</w:t>
            </w:r>
          </w:p>
        </w:tc>
      </w:tr>
      <w:tr>
        <w:trPr>
          <w:trHeight w:val="240"/>
        </w:trPr>
        <w:tc>
          <w:tcPr>
            <w:tcW w:w="30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(6,042,877)</w:t>
            </w:r>
          </w:p>
        </w:tc>
        <w:tc>
          <w:tcPr>
            <w:tcW w:w="1040" w:type="dxa"/>
            <w:vAlign w:val="bottom"/>
          </w:tcPr>
          <w:p>
            <w:pPr>
              <w:jc w:val="right"/>
              <w:spacing w:after="0"/>
              <w:rPr>
                <w:sz w:val="20"/>
                <w:szCs w:val="20"/>
                <w:color w:val="auto"/>
              </w:rPr>
            </w:pPr>
            <w:r>
              <w:rPr>
                <w:rFonts w:ascii="Arial" w:cs="Arial" w:eastAsia="Arial" w:hAnsi="Arial"/>
                <w:sz w:val="18"/>
                <w:szCs w:val="18"/>
                <w:color w:val="auto"/>
              </w:rPr>
              <w:t>(6,042,877</w:t>
            </w:r>
          </w:p>
        </w:tc>
      </w:tr>
      <w:tr>
        <w:trPr>
          <w:trHeight w:val="25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Increase in par value</w:t>
            </w:r>
          </w:p>
        </w:tc>
        <w:tc>
          <w:tcPr>
            <w:tcW w:w="1020" w:type="dxa"/>
            <w:vAlign w:val="bottom"/>
            <w:shd w:val="clear" w:color="auto" w:fill="CFF0FC"/>
          </w:tcPr>
          <w:p>
            <w:pPr>
              <w:jc w:val="right"/>
              <w:ind w:right="391"/>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2,592,621</w:t>
            </w:r>
          </w:p>
        </w:tc>
        <w:tc>
          <w:tcPr>
            <w:tcW w:w="2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(2,592,621)</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3000" w:type="dxa"/>
            <w:vAlign w:val="bottom"/>
          </w:tcPr>
          <w:p>
            <w:pPr>
              <w:spacing w:after="0"/>
              <w:rPr>
                <w:sz w:val="20"/>
                <w:szCs w:val="20"/>
                <w:color w:val="auto"/>
              </w:rPr>
            </w:pPr>
            <w:r>
              <w:rPr>
                <w:rFonts w:ascii="Arial" w:cs="Arial" w:eastAsia="Arial" w:hAnsi="Arial"/>
                <w:sz w:val="18"/>
                <w:szCs w:val="18"/>
                <w:color w:val="auto"/>
              </w:rPr>
              <w:t>Issue of share capital</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1,141,329</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156,014,570</w:t>
            </w:r>
          </w:p>
        </w:tc>
        <w:tc>
          <w:tcPr>
            <w:tcW w:w="2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157,155,899</w:t>
            </w:r>
          </w:p>
        </w:tc>
      </w:tr>
      <w:tr>
        <w:trPr>
          <w:trHeight w:val="25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on issue of shares</w:t>
            </w:r>
          </w:p>
        </w:tc>
        <w:tc>
          <w:tcPr>
            <w:tcW w:w="10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(13,154,360)</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(13,154,360</w:t>
            </w:r>
          </w:p>
        </w:tc>
      </w:tr>
      <w:tr>
        <w:trPr>
          <w:trHeight w:val="240"/>
        </w:trPr>
        <w:tc>
          <w:tcPr>
            <w:tcW w:w="3000" w:type="dxa"/>
            <w:vAlign w:val="bottom"/>
          </w:tcPr>
          <w:p>
            <w:pPr>
              <w:spacing w:after="0"/>
              <w:rPr>
                <w:sz w:val="20"/>
                <w:szCs w:val="20"/>
                <w:color w:val="auto"/>
              </w:rPr>
            </w:pPr>
            <w:r>
              <w:rPr>
                <w:rFonts w:ascii="Arial" w:cs="Arial" w:eastAsia="Arial" w:hAnsi="Arial"/>
                <w:sz w:val="18"/>
                <w:szCs w:val="18"/>
                <w:color w:val="auto"/>
              </w:rPr>
              <w:t>Currency translation reserve</w:t>
            </w:r>
          </w:p>
        </w:tc>
        <w:tc>
          <w:tcPr>
            <w:tcW w:w="10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5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8"/>
              </w:rPr>
              <w:t>Shares issued upon exercise of RSUs</w:t>
            </w:r>
          </w:p>
        </w:tc>
        <w:tc>
          <w:tcPr>
            <w:tcW w:w="1020" w:type="dxa"/>
            <w:vAlign w:val="bottom"/>
            <w:shd w:val="clear" w:color="auto" w:fill="CFF0FC"/>
          </w:tcPr>
          <w:p>
            <w:pPr>
              <w:jc w:val="right"/>
              <w:ind w:right="391"/>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(35,161)</w:t>
            </w: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(231,803)</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(265,255</w:t>
            </w:r>
          </w:p>
        </w:tc>
      </w:tr>
      <w:tr>
        <w:trPr>
          <w:trHeight w:val="24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Share-based payments</w:t>
            </w:r>
          </w:p>
        </w:tc>
        <w:tc>
          <w:tcPr>
            <w:tcW w:w="1020" w:type="dxa"/>
            <w:vAlign w:val="bottom"/>
            <w:tcBorders>
              <w:bottom w:val="single" w:sz="8" w:color="CFF0FC"/>
            </w:tcBorders>
          </w:tcPr>
          <w:p>
            <w:pPr>
              <w:jc w:val="right"/>
              <w:ind w:right="331"/>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2,096,610</w:t>
            </w:r>
          </w:p>
        </w:tc>
        <w:tc>
          <w:tcPr>
            <w:tcW w:w="24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2,096,610</w:t>
            </w:r>
          </w:p>
        </w:tc>
      </w:tr>
      <w:tr>
        <w:trPr>
          <w:trHeight w:val="234"/>
        </w:trPr>
        <w:tc>
          <w:tcPr>
            <w:tcW w:w="3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10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3,971,352</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278,302,169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4,041,324</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(3,116)</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(50,734,634)</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235,577,095</w:t>
            </w: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40"/>
          </w:cols>
          <w:pgMar w:left="320" w:top="674" w:right="239" w:bottom="1440" w:gutter="0" w:footer="0" w:header="0"/>
        </w:sectPr>
      </w:pPr>
    </w:p>
    <w:bookmarkStart w:id="25" w:name="page26"/>
    <w:bookmarkEnd w:id="25"/>
    <w:p>
      <w:pPr>
        <w:spacing w:after="0"/>
        <w:rPr>
          <w:sz w:val="20"/>
          <w:szCs w:val="20"/>
          <w:color w:val="auto"/>
        </w:rPr>
      </w:pPr>
      <w:r>
        <w:rPr>
          <w:rFonts w:ascii="Arial" w:cs="Arial" w:eastAsia="Arial" w:hAnsi="Arial"/>
          <w:sz w:val="21"/>
          <w:szCs w:val="21"/>
          <w:b w:val="1"/>
          <w:bCs w:val="1"/>
          <w:color w:val="auto"/>
        </w:rPr>
        <w:t>Unaudited condensed consolidated statements of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Loss before tax</w:t>
            </w:r>
          </w:p>
        </w:tc>
        <w:tc>
          <w:tcPr>
            <w:tcW w:w="13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(6,024,288)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(3,276,355)</w:t>
            </w: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w w:val="99"/>
              </w:rPr>
              <w:t>Non-cash adjustments to reconcile loss before tax to net cash flows from operations:</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360" w:type="dxa"/>
            <w:vAlign w:val="bottom"/>
          </w:tcPr>
          <w:p>
            <w:pPr>
              <w:jc w:val="right"/>
              <w:spacing w:after="0"/>
              <w:rPr>
                <w:sz w:val="20"/>
                <w:szCs w:val="20"/>
                <w:color w:val="auto"/>
              </w:rPr>
            </w:pPr>
            <w:r>
              <w:rPr>
                <w:rFonts w:ascii="Arial" w:cs="Arial" w:eastAsia="Arial" w:hAnsi="Arial"/>
                <w:sz w:val="18"/>
                <w:szCs w:val="18"/>
                <w:color w:val="auto"/>
              </w:rPr>
              <w:t>2,096,610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380" w:type="dxa"/>
            <w:vAlign w:val="bottom"/>
            <w:shd w:val="clear" w:color="auto" w:fill="CFF0FC"/>
          </w:tcPr>
          <w:p>
            <w:pPr>
              <w:jc w:val="right"/>
              <w:ind w:right="591"/>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13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(5,905,895)</w:t>
            </w:r>
          </w:p>
        </w:tc>
        <w:tc>
          <w:tcPr>
            <w:tcW w:w="1380" w:type="dxa"/>
            <w:vAlign w:val="bottom"/>
          </w:tcPr>
          <w:p>
            <w:pPr>
              <w:jc w:val="right"/>
              <w:spacing w:after="0"/>
              <w:rPr>
                <w:sz w:val="20"/>
                <w:szCs w:val="20"/>
                <w:color w:val="auto"/>
              </w:rPr>
            </w:pPr>
            <w:r>
              <w:rPr>
                <w:rFonts w:ascii="Arial" w:cs="Arial" w:eastAsia="Arial" w:hAnsi="Arial"/>
                <w:sz w:val="18"/>
                <w:szCs w:val="18"/>
                <w:color w:val="auto"/>
              </w:rPr>
              <w:t>19,109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costs</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(87,040)</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41"/>
        </w:trPr>
        <w:tc>
          <w:tcPr>
            <w:tcW w:w="6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Changes in working capital:</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Decrease/(Increase) in receivables</w:t>
            </w:r>
          </w:p>
        </w:tc>
        <w:tc>
          <w:tcPr>
            <w:tcW w:w="1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28,262</w:t>
            </w:r>
          </w:p>
        </w:tc>
        <w:tc>
          <w:tcPr>
            <w:tcW w:w="2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(318,260)</w:t>
            </w: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Increase in other current assets</w:t>
            </w:r>
          </w:p>
        </w:tc>
        <w:tc>
          <w:tcPr>
            <w:tcW w:w="1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(4,463,880)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1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3,500,664</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Increase in accrued liabilities</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652,900</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Paid interest</w:t>
            </w:r>
          </w:p>
        </w:tc>
        <w:tc>
          <w:tcPr>
            <w:tcW w:w="1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vMerge w:val="continue"/>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(10,199,606)</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(2,325,040)</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(10,065)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vMerge w:val="continue"/>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(10,065)</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Proceeds from issue of shares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157,155,899</w:t>
            </w:r>
          </w:p>
        </w:tc>
        <w:tc>
          <w:tcPr>
            <w:tcW w:w="2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on issue of shares</w:t>
            </w:r>
          </w:p>
        </w:tc>
        <w:tc>
          <w:tcPr>
            <w:tcW w:w="13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(13,154,360)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380" w:type="dxa"/>
            <w:vAlign w:val="bottom"/>
            <w:tcBorders>
              <w:bottom w:val="single" w:sz="8" w:color="CFF0FC"/>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144,001,539</w:t>
            </w:r>
          </w:p>
        </w:tc>
        <w:tc>
          <w:tcPr>
            <w:tcW w:w="280" w:type="dxa"/>
            <w:vAlign w:val="bottom"/>
            <w:tcBorders>
              <w:bottom w:val="single" w:sz="8" w:color="CFF0FC"/>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133,791,868</w:t>
            </w:r>
          </w:p>
        </w:tc>
        <w:tc>
          <w:tcPr>
            <w:tcW w:w="2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(2,339,332)</w:t>
            </w:r>
          </w:p>
        </w:tc>
        <w:tc>
          <w:tcPr>
            <w:tcW w:w="0" w:type="dxa"/>
            <w:vAlign w:val="bottom"/>
          </w:tcPr>
          <w:p>
            <w:pPr>
              <w:spacing w:after="0"/>
              <w:rPr>
                <w:sz w:val="1"/>
                <w:szCs w:val="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3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98,628,871</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20,326,372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5,902,838</w:t>
            </w:r>
          </w:p>
        </w:tc>
        <w:tc>
          <w:tcPr>
            <w:tcW w:w="2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34"/>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79"/>
              </w:rPr>
              <w:t>11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238,323,577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17,971,734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7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Notes to the unaudited condensed consolidated interim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w:t>
      </w:r>
      <w:r>
        <w:rPr>
          <w:rFonts w:ascii="Arial" w:cs="Arial" w:eastAsia="Arial" w:hAnsi="Arial"/>
          <w:sz w:val="21"/>
          <w:szCs w:val="21"/>
          <w:b w:val="1"/>
          <w:bCs w:val="1"/>
          <w:color w:val="auto"/>
        </w:rPr>
        <w:t>. Corporate and Group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general corporate and group information about Pharvaris N.V. (formerly Pharvaris B.V.)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Pharvaris N.V. was incorporated on March 31, 2015 and is based in Leiden, the Netherlands.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address of its registered office is J.H. Oortweg 21, Leiden. It has been registered at the Chamber of Commerce under file number 64239411.</w:t>
      </w:r>
    </w:p>
    <w:p>
      <w:pPr>
        <w:spacing w:after="0" w:line="20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unaudited condensed consolidated interim financial statements of Pharvaris N.V. (the “Company” or “Pharvaris”) and its subsidiaries (collectively, “The Group”) as at March 31, 2021 and December 31, 2020, and for the three months ended March 31, 2021 and 2020 were authorised for issue in accordance with a resolution of the directors on May 26,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interim financial statements of the Group include: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5"/>
          </w:tcPr>
          <w:p>
            <w:pPr>
              <w:jc w:val="center"/>
              <w:ind w:right="140"/>
              <w:spacing w:after="0"/>
              <w:rPr>
                <w:sz w:val="20"/>
                <w:szCs w:val="20"/>
                <w:color w:val="auto"/>
              </w:rPr>
            </w:pPr>
            <w:r>
              <w:rPr>
                <w:rFonts w:ascii="Arial" w:cs="Arial" w:eastAsia="Arial" w:hAnsi="Arial"/>
                <w:sz w:val="18"/>
                <w:szCs w:val="18"/>
                <w:color w:val="auto"/>
                <w:w w:val="93"/>
              </w:rPr>
              <w:t>% of equity interest as</w:t>
            </w:r>
          </w:p>
        </w:tc>
      </w:tr>
      <w:tr>
        <w:trPr>
          <w:trHeight w:val="228"/>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Country of</w:t>
            </w:r>
          </w:p>
        </w:tc>
        <w:tc>
          <w:tcPr>
            <w:tcW w:w="1140" w:type="dxa"/>
            <w:vAlign w:val="bottom"/>
          </w:tcPr>
          <w:p>
            <w:pPr>
              <w:spacing w:after="0"/>
              <w:rPr>
                <w:sz w:val="19"/>
                <w:szCs w:val="19"/>
                <w:color w:val="auto"/>
              </w:rPr>
            </w:pPr>
          </w:p>
        </w:tc>
        <w:tc>
          <w:tcPr>
            <w:tcW w:w="2380" w:type="dxa"/>
            <w:vAlign w:val="bottom"/>
            <w:gridSpan w:val="4"/>
          </w:tcPr>
          <w:p>
            <w:pPr>
              <w:jc w:val="center"/>
              <w:ind w:right="1260"/>
              <w:spacing w:after="0"/>
              <w:rPr>
                <w:sz w:val="20"/>
                <w:szCs w:val="20"/>
                <w:color w:val="auto"/>
              </w:rPr>
            </w:pPr>
            <w:r>
              <w:rPr>
                <w:rFonts w:ascii="Arial" w:cs="Arial" w:eastAsia="Arial" w:hAnsi="Arial"/>
                <w:sz w:val="18"/>
                <w:szCs w:val="18"/>
                <w:color w:val="auto"/>
                <w:w w:val="94"/>
              </w:rPr>
              <w:t>March 31,</w:t>
            </w:r>
          </w:p>
        </w:tc>
      </w:tr>
      <w:tr>
        <w:trPr>
          <w:trHeight w:val="234"/>
        </w:trPr>
        <w:tc>
          <w:tcPr>
            <w:tcW w:w="3080" w:type="dxa"/>
            <w:vAlign w:val="bottom"/>
          </w:tcPr>
          <w:p>
            <w:pPr>
              <w:spacing w:after="0"/>
              <w:rPr>
                <w:sz w:val="20"/>
                <w:szCs w:val="20"/>
                <w:color w:val="auto"/>
              </w:rPr>
            </w:pPr>
            <w:r>
              <w:rPr>
                <w:rFonts w:ascii="Arial" w:cs="Arial" w:eastAsia="Arial" w:hAnsi="Arial"/>
                <w:sz w:val="18"/>
                <w:szCs w:val="18"/>
                <w:color w:val="auto"/>
              </w:rPr>
              <w:t>Name</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Legal seat</w:t>
            </w:r>
          </w:p>
        </w:tc>
        <w:tc>
          <w:tcPr>
            <w:tcW w:w="2600" w:type="dxa"/>
            <w:vAlign w:val="bottom"/>
            <w:gridSpan w:val="2"/>
          </w:tcPr>
          <w:p>
            <w:pPr>
              <w:spacing w:after="0"/>
              <w:rPr>
                <w:sz w:val="20"/>
                <w:szCs w:val="20"/>
                <w:color w:val="auto"/>
              </w:rPr>
            </w:pPr>
            <w:r>
              <w:rPr>
                <w:rFonts w:ascii="Arial" w:cs="Arial" w:eastAsia="Arial" w:hAnsi="Arial"/>
                <w:sz w:val="18"/>
                <w:szCs w:val="18"/>
                <w:color w:val="auto"/>
              </w:rPr>
              <w:t>incorporation</w:t>
            </w:r>
          </w:p>
        </w:tc>
        <w:tc>
          <w:tcPr>
            <w:tcW w:w="114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color w:val="auto"/>
                <w:w w:val="89"/>
              </w:rPr>
              <w:t>2021</w:t>
            </w:r>
          </w:p>
        </w:tc>
        <w:tc>
          <w:tcPr>
            <w:tcW w:w="2280" w:type="dxa"/>
            <w:vAlign w:val="bottom"/>
            <w:tcBorders>
              <w:top w:val="single" w:sz="8" w:color="auto"/>
            </w:tcBorders>
            <w:gridSpan w:val="3"/>
          </w:tcPr>
          <w:p>
            <w:pPr>
              <w:jc w:val="center"/>
              <w:ind w:left="591"/>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5"/>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Holdings B.V.</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Netherlands</w:t>
            </w:r>
          </w:p>
        </w:tc>
        <w:tc>
          <w:tcPr>
            <w:tcW w:w="1140" w:type="dxa"/>
            <w:vAlign w:val="bottom"/>
            <w:shd w:val="clear" w:color="auto" w:fill="CFF0FC"/>
          </w:tcPr>
          <w:p>
            <w:pPr>
              <w:jc w:val="center"/>
              <w:ind w:left="311"/>
              <w:spacing w:after="0"/>
              <w:rPr>
                <w:sz w:val="20"/>
                <w:szCs w:val="20"/>
                <w:color w:val="auto"/>
              </w:rPr>
            </w:pPr>
            <w:r>
              <w:rPr>
                <w:rFonts w:ascii="Arial" w:cs="Arial" w:eastAsia="Arial" w:hAnsi="Arial"/>
                <w:sz w:val="18"/>
                <w:szCs w:val="18"/>
                <w:color w:val="auto"/>
                <w:w w:val="91"/>
              </w:rPr>
              <w:t>100%</w:t>
            </w:r>
          </w:p>
        </w:tc>
        <w:tc>
          <w:tcPr>
            <w:tcW w:w="2280" w:type="dxa"/>
            <w:vAlign w:val="bottom"/>
            <w:gridSpan w:val="3"/>
            <w:shd w:val="clear" w:color="auto" w:fill="CFF0FC"/>
          </w:tcPr>
          <w:p>
            <w:pPr>
              <w:jc w:val="center"/>
              <w:ind w:left="571"/>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20"/>
                <w:szCs w:val="20"/>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auto"/>
              </w:rPr>
              <w:t>Pharvaris Netherlands B.V.</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1140" w:type="dxa"/>
            <w:vAlign w:val="bottom"/>
          </w:tcPr>
          <w:p>
            <w:pPr>
              <w:jc w:val="center"/>
              <w:ind w:left="311"/>
              <w:spacing w:after="0"/>
              <w:rPr>
                <w:sz w:val="20"/>
                <w:szCs w:val="20"/>
                <w:color w:val="auto"/>
              </w:rPr>
            </w:pPr>
            <w:r>
              <w:rPr>
                <w:rFonts w:ascii="Arial" w:cs="Arial" w:eastAsia="Arial" w:hAnsi="Arial"/>
                <w:sz w:val="18"/>
                <w:szCs w:val="18"/>
                <w:color w:val="auto"/>
                <w:w w:val="91"/>
              </w:rPr>
              <w:t>100%</w:t>
            </w:r>
          </w:p>
        </w:tc>
        <w:tc>
          <w:tcPr>
            <w:tcW w:w="228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r>
      <w:tr>
        <w:trPr>
          <w:trHeight w:val="241"/>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GmbH</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Zug</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Switzerland</w:t>
            </w:r>
          </w:p>
        </w:tc>
        <w:tc>
          <w:tcPr>
            <w:tcW w:w="1140" w:type="dxa"/>
            <w:vAlign w:val="bottom"/>
            <w:shd w:val="clear" w:color="auto" w:fill="CFF0FC"/>
          </w:tcPr>
          <w:p>
            <w:pPr>
              <w:jc w:val="center"/>
              <w:ind w:left="311"/>
              <w:spacing w:after="0"/>
              <w:rPr>
                <w:sz w:val="20"/>
                <w:szCs w:val="20"/>
                <w:color w:val="auto"/>
              </w:rPr>
            </w:pPr>
            <w:r>
              <w:rPr>
                <w:rFonts w:ascii="Arial" w:cs="Arial" w:eastAsia="Arial" w:hAnsi="Arial"/>
                <w:sz w:val="18"/>
                <w:szCs w:val="18"/>
                <w:color w:val="auto"/>
                <w:w w:val="91"/>
              </w:rPr>
              <w:t>100%</w:t>
            </w:r>
          </w:p>
        </w:tc>
        <w:tc>
          <w:tcPr>
            <w:tcW w:w="2280" w:type="dxa"/>
            <w:vAlign w:val="bottom"/>
            <w:gridSpan w:val="3"/>
            <w:shd w:val="clear" w:color="auto" w:fill="CFF0FC"/>
          </w:tcPr>
          <w:p>
            <w:pPr>
              <w:jc w:val="center"/>
              <w:ind w:left="571"/>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20"/>
                <w:szCs w:val="20"/>
                <w:color w:val="auto"/>
              </w:rPr>
            </w:pPr>
          </w:p>
        </w:tc>
      </w:tr>
      <w:tr>
        <w:trPr>
          <w:trHeight w:val="239"/>
        </w:trPr>
        <w:tc>
          <w:tcPr>
            <w:tcW w:w="3080" w:type="dxa"/>
            <w:vAlign w:val="bottom"/>
          </w:tcPr>
          <w:p>
            <w:pPr>
              <w:spacing w:after="0"/>
              <w:rPr>
                <w:sz w:val="20"/>
                <w:szCs w:val="20"/>
                <w:color w:val="auto"/>
              </w:rPr>
            </w:pPr>
            <w:r>
              <w:rPr>
                <w:rFonts w:ascii="Arial" w:cs="Arial" w:eastAsia="Arial" w:hAnsi="Arial"/>
                <w:sz w:val="18"/>
                <w:szCs w:val="18"/>
                <w:color w:val="auto"/>
              </w:rPr>
              <w:t>Pharvaris, Inc.</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jc w:val="center"/>
              <w:ind w:left="311"/>
              <w:spacing w:after="0"/>
              <w:rPr>
                <w:sz w:val="20"/>
                <w:szCs w:val="20"/>
                <w:color w:val="auto"/>
              </w:rPr>
            </w:pPr>
            <w:r>
              <w:rPr>
                <w:rFonts w:ascii="Arial" w:cs="Arial" w:eastAsia="Arial" w:hAnsi="Arial"/>
                <w:sz w:val="18"/>
                <w:szCs w:val="18"/>
                <w:color w:val="auto"/>
                <w:w w:val="91"/>
              </w:rPr>
              <w:t>100%</w:t>
            </w:r>
          </w:p>
        </w:tc>
        <w:tc>
          <w:tcPr>
            <w:tcW w:w="2280" w:type="dxa"/>
            <w:vAlign w:val="bottom"/>
            <w:gridSpan w:val="3"/>
          </w:tcPr>
          <w:p>
            <w:pPr>
              <w:jc w:val="center"/>
              <w:ind w:left="571"/>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ultimate parent company of the Group is Pharvaris N.V., which is based in the Netherlands.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developments during the three months ended March 31, 2021</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January 1, 2021 Dr. M.E. Rome resigned as member of the Board of directors. On the same date the shareholders’ approved the appointment of Dr. D. Meeker and Dr. R. Glassman as members of the Board of directors.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February 5, 2021, the Company’s ordinary shares began trading on the Nasdaq Stock Exchange. On the same date the Company converted from a Dutch limited liability company (B.V.) to a Dutch public limited liability company (N.V.).</w:t>
      </w:r>
    </w:p>
    <w:p>
      <w:pPr>
        <w:spacing w:after="0" w:line="1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On February 9, 2021 the Company completed its initial public offering (“IPO”). The total gross proceeds from the IPO were USD 190.2 million and the total net proceeds raised from the IPO, after deducting underwriting discounts, were USD 176.9 million.</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color w:val="auto"/>
        </w:rPr>
        <w:t>On May 1, 2021 Dr. R. Gaster resigned as member of the Board of directors.</w:t>
      </w:r>
    </w:p>
    <w:p>
      <w:pPr>
        <w:spacing w:after="0" w:line="194" w:lineRule="exact"/>
        <w:rPr>
          <w:sz w:val="20"/>
          <w:szCs w:val="20"/>
          <w:color w:val="auto"/>
        </w:rPr>
      </w:pPr>
    </w:p>
    <w:p>
      <w:pPr>
        <w:ind w:right="580" w:firstLine="319"/>
        <w:spacing w:after="0" w:line="271" w:lineRule="auto"/>
        <w:rPr>
          <w:sz w:val="20"/>
          <w:szCs w:val="20"/>
          <w:color w:val="auto"/>
        </w:rPr>
      </w:pPr>
      <w:r>
        <w:rPr>
          <w:rFonts w:ascii="Arial" w:cs="Arial" w:eastAsia="Arial" w:hAnsi="Arial"/>
          <w:sz w:val="18"/>
          <w:szCs w:val="18"/>
          <w:color w:val="auto"/>
        </w:rPr>
        <w:t>On May 12, 2021, the Company announced the expansion of their leadership team through the appointment of Dr. W. Souverijns, as Chief Community Engagement &amp; Commercial Officer.</w:t>
      </w:r>
    </w:p>
    <w:p>
      <w:pPr>
        <w:spacing w:after="0" w:line="134" w:lineRule="exact"/>
        <w:rPr>
          <w:sz w:val="20"/>
          <w:szCs w:val="20"/>
          <w:color w:val="auto"/>
        </w:rPr>
      </w:pPr>
    </w:p>
    <w:p>
      <w:pPr>
        <w:ind w:right="140" w:firstLine="319"/>
        <w:spacing w:after="0" w:line="259" w:lineRule="auto"/>
        <w:rPr>
          <w:sz w:val="20"/>
          <w:szCs w:val="20"/>
          <w:color w:val="auto"/>
        </w:rPr>
      </w:pPr>
      <w:r>
        <w:rPr>
          <w:rFonts w:ascii="Arial" w:cs="Arial" w:eastAsia="Arial" w:hAnsi="Arial"/>
          <w:sz w:val="18"/>
          <w:szCs w:val="18"/>
          <w:color w:val="auto"/>
        </w:rPr>
        <w:t>On May 26, 2021, the Company announced that the Board has nominated Ms. V. Monges to be appointed to the Board of Directors by the General Meeting at the Company's annual general meeting 2021 and, contingent on her appointment by the General Meeting, Ms. V. Monges will be the Chair of the Audit Committee.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9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unaudited condensed consolidated interim financial statements have been prepared in accordance with IAS 34 Interim Financial Reporting and should be read in conjunction with the Group’s annual consolidated financial statements as at and for the year ended December 31, 2020 (‘last annual financial statements’). These unaudited condensed consolidated interim financial statements do not include all the information required for a complete set financial statements prepared in accordance with IFRS as issued by the IASB. However, selected explanatory notes are included to explain events and transactions that are significant to an understanding of the changes in the Group’s financial position and performance since the last annual financial statements.</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8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proven successful. This makes the Group dependent on external capital sources, debt capital and equity capital. The Group is currently fully financed by equity capital.</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2021 and December 31, 2020 the Group had cash of €238.3 million and €98.6 million, respectively. The Group incurred net losses of €6.0 million in the three months ended March 31, 2021 and €3.3 million in the same period in 2020 and negative operating cash flows of €10.2 million and € 2.3 million in the three months ended March 31, 2021 and 2020 respectively.</w:t>
      </w:r>
    </w:p>
    <w:p>
      <w:pPr>
        <w:spacing w:after="0" w:line="15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for a period of at least twelve months after the signing date of these unaudited condensed consolidated interim financial</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statements. Accordingly, unaudited condensed consolidated interim financial statements have been prepared on a going concern basis.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16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Group has taken appropriate measures to protect the safety of the employees and continuously monitors and evaluates the situation regarding COVID-19. The COVID-19 outbreak has delayed, and may continue to delay, enrollment in our clinical trials. The Group experienced an approximate two-month delay in starting the enrollment of our now completed Phase 1 multiple ascending dose study of PHA121 in healthy volunteers as a result of COVID-19.</w:t>
      </w:r>
    </w:p>
    <w:p>
      <w:pPr>
        <w:spacing w:after="0" w:line="1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54"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color w:val="auto"/>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ultimate impact of the COVID-19 pandemic is uncertain and subject to change. Management does not expect that COVID-19 will have a material adverse effect on the financial condition or liquidity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9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4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significant judgements made by management in applying the Group’s accounting policies and the key sources of estimation uncertainty were the same as those described in the last annual financial statements, except for the share options granted, refer to note 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9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accounting policies applied in these unaudited condensed consolidated interim financial statements are the same as those applied in the consolidated financial statements as at and for the year ended December 31, 2020.</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3. Research and development expenses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2"/>
        </w:trPr>
        <w:tc>
          <w:tcPr>
            <w:tcW w:w="7720" w:type="dxa"/>
            <w:vAlign w:val="bottom"/>
          </w:tcPr>
          <w:p>
            <w:pPr>
              <w:spacing w:after="0"/>
              <w:rPr>
                <w:sz w:val="24"/>
                <w:szCs w:val="24"/>
                <w:color w:val="auto"/>
              </w:rPr>
            </w:pPr>
          </w:p>
        </w:tc>
        <w:tc>
          <w:tcPr>
            <w:tcW w:w="3520" w:type="dxa"/>
            <w:vAlign w:val="bottom"/>
            <w:gridSpan w:val="4"/>
          </w:tcPr>
          <w:p>
            <w:pPr>
              <w:jc w:val="right"/>
              <w:ind w:right="420"/>
              <w:spacing w:after="0"/>
              <w:rPr>
                <w:sz w:val="20"/>
                <w:szCs w:val="20"/>
                <w:color w:val="auto"/>
              </w:rPr>
            </w:pPr>
            <w:r>
              <w:rPr>
                <w:rFonts w:ascii="Arial" w:cs="Arial" w:eastAsia="Arial" w:hAnsi="Arial"/>
                <w:sz w:val="18"/>
                <w:szCs w:val="18"/>
                <w:color w:val="auto"/>
              </w:rPr>
              <w:t>For the three months ended March 31</w:t>
            </w:r>
          </w:p>
        </w:tc>
      </w:tr>
      <w:tr>
        <w:trPr>
          <w:trHeight w:val="234"/>
        </w:trPr>
        <w:tc>
          <w:tcPr>
            <w:tcW w:w="77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(2,008,496)</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(456,387)</w:t>
            </w: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Clinical expenses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(3,265,702)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(1,179,563)</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Pre-clinical expenses</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(962,053)</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(354,889)</w:t>
            </w: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Manufacturing costs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(1,318,192)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(411,687)</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(500,000)</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(17,008)</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r>
      <w:tr>
        <w:trPr>
          <w:trHeight w:val="2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4"/>
        </w:trPr>
        <w:tc>
          <w:tcPr>
            <w:tcW w:w="772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(8,071,451)</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(2,403,401)</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Pre-clinical expenses include costs of our outsourced discovery, preclinical and nonclinical development studies.</w:t>
      </w:r>
    </w:p>
    <w:p>
      <w:pPr>
        <w:spacing w:after="0" w:line="234"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License costs consist of a milestone payment of €500,000 was paid to AnalytiCon upon commencement of Phase 2 development.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80" w:type="dxa"/>
            <w:vAlign w:val="bottom"/>
          </w:tcPr>
          <w:p>
            <w:pPr>
              <w:spacing w:after="0"/>
              <w:rPr>
                <w:sz w:val="20"/>
                <w:szCs w:val="20"/>
                <w:color w:val="auto"/>
              </w:rPr>
            </w:pPr>
            <w:r>
              <w:rPr>
                <w:rFonts w:ascii="Arial" w:cs="Arial" w:eastAsia="Arial" w:hAnsi="Arial"/>
                <w:sz w:val="18"/>
                <w:szCs w:val="18"/>
                <w:b w:val="1"/>
                <w:bCs w:val="1"/>
                <w:color w:val="auto"/>
              </w:rPr>
              <w:t>4. General and administrative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2"/>
        </w:trPr>
        <w:tc>
          <w:tcPr>
            <w:tcW w:w="7480" w:type="dxa"/>
            <w:vAlign w:val="bottom"/>
          </w:tcPr>
          <w:p>
            <w:pPr>
              <w:spacing w:after="0"/>
              <w:rPr>
                <w:sz w:val="24"/>
                <w:szCs w:val="24"/>
                <w:color w:val="auto"/>
              </w:rPr>
            </w:pPr>
          </w:p>
        </w:tc>
        <w:tc>
          <w:tcPr>
            <w:tcW w:w="3760" w:type="dxa"/>
            <w:vAlign w:val="bottom"/>
            <w:gridSpan w:val="4"/>
          </w:tcPr>
          <w:p>
            <w:pPr>
              <w:jc w:val="right"/>
              <w:ind w:right="540"/>
              <w:spacing w:after="0"/>
              <w:rPr>
                <w:sz w:val="20"/>
                <w:szCs w:val="20"/>
                <w:color w:val="auto"/>
              </w:rPr>
            </w:pPr>
            <w:r>
              <w:rPr>
                <w:rFonts w:ascii="Arial" w:cs="Arial" w:eastAsia="Arial" w:hAnsi="Arial"/>
                <w:sz w:val="18"/>
                <w:szCs w:val="18"/>
                <w:color w:val="auto"/>
              </w:rPr>
              <w:t>For the three months ended March 31</w:t>
            </w:r>
          </w:p>
        </w:tc>
      </w:tr>
      <w:tr>
        <w:trPr>
          <w:trHeight w:val="247"/>
        </w:trPr>
        <w:tc>
          <w:tcPr>
            <w:tcW w:w="748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r>
      <w:tr>
        <w:trPr>
          <w:trHeight w:val="247"/>
        </w:trPr>
        <w:tc>
          <w:tcPr>
            <w:tcW w:w="7480" w:type="dxa"/>
            <w:vAlign w:val="bottom"/>
          </w:tcPr>
          <w:p>
            <w:pPr>
              <w:spacing w:after="0"/>
              <w:rPr>
                <w:sz w:val="21"/>
                <w:szCs w:val="21"/>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5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(1,241,065)</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(158,448)</w:t>
            </w:r>
          </w:p>
        </w:tc>
      </w:tr>
      <w:tr>
        <w:trPr>
          <w:trHeight w:val="267"/>
        </w:trPr>
        <w:tc>
          <w:tcPr>
            <w:tcW w:w="7480" w:type="dxa"/>
            <w:vAlign w:val="bottom"/>
          </w:tcPr>
          <w:p>
            <w:pPr>
              <w:spacing w:after="0"/>
              <w:rPr>
                <w:sz w:val="20"/>
                <w:szCs w:val="20"/>
                <w:color w:val="auto"/>
              </w:rPr>
            </w:pPr>
            <w:r>
              <w:rPr>
                <w:rFonts w:ascii="Arial" w:cs="Arial" w:eastAsia="Arial" w:hAnsi="Arial"/>
                <w:sz w:val="18"/>
                <w:szCs w:val="18"/>
                <w:color w:val="auto"/>
              </w:rPr>
              <w:t>Consulting fees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(229,317)</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(257,393)</w:t>
            </w:r>
          </w:p>
        </w:tc>
      </w:tr>
      <w:tr>
        <w:trPr>
          <w:trHeight w:val="25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(807,913)</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(130,118)</w:t>
            </w:r>
          </w:p>
        </w:tc>
      </w:tr>
      <w:tr>
        <w:trPr>
          <w:trHeight w:val="267"/>
        </w:trPr>
        <w:tc>
          <w:tcPr>
            <w:tcW w:w="748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(438,130)</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(83,329)</w:t>
            </w:r>
          </w:p>
        </w:tc>
      </w:tr>
      <w:tr>
        <w:trPr>
          <w:trHeight w:val="25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&amp; office expenses</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(951,581)</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(102,993)</w:t>
            </w:r>
          </w:p>
        </w:tc>
      </w:tr>
      <w:tr>
        <w:trPr>
          <w:trHeight w:val="267"/>
        </w:trPr>
        <w:tc>
          <w:tcPr>
            <w:tcW w:w="7480" w:type="dxa"/>
            <w:vAlign w:val="bottom"/>
          </w:tcPr>
          <w:p>
            <w:pPr>
              <w:spacing w:after="0"/>
              <w:rPr>
                <w:sz w:val="20"/>
                <w:szCs w:val="20"/>
                <w:color w:val="auto"/>
              </w:rPr>
            </w:pPr>
            <w:r>
              <w:rPr>
                <w:rFonts w:ascii="Arial" w:cs="Arial" w:eastAsia="Arial" w:hAnsi="Arial"/>
                <w:sz w:val="18"/>
                <w:szCs w:val="18"/>
                <w:color w:val="auto"/>
              </w:rPr>
              <w:t>Travel expenses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(794)</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(22,786)</w:t>
            </w:r>
          </w:p>
        </w:tc>
      </w:tr>
      <w:tr>
        <w:trPr>
          <w:trHeight w:val="254"/>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(102,893)</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(87,494)</w:t>
            </w:r>
          </w:p>
        </w:tc>
      </w:tr>
      <w:tr>
        <w:trPr>
          <w:trHeight w:val="20"/>
        </w:trPr>
        <w:tc>
          <w:tcPr>
            <w:tcW w:w="74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7480" w:type="dxa"/>
            <w:vAlign w:val="bottom"/>
          </w:tcPr>
          <w:p>
            <w:pPr>
              <w:spacing w:after="0"/>
              <w:rPr>
                <w:sz w:val="20"/>
                <w:szCs w:val="20"/>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(3,771,693)</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(842,561)</w:t>
            </w:r>
          </w:p>
        </w:tc>
      </w:tr>
      <w:tr>
        <w:trPr>
          <w:trHeight w:val="20"/>
        </w:trPr>
        <w:tc>
          <w:tcPr>
            <w:tcW w:w="74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2021 the Group entered into a number of lease arrangements, which were assessed to be short-term leases (with a lease term of 12 months equaling its non-cancellable period). The total outflow for</w:t>
      </w:r>
    </w:p>
    <w:p>
      <w:pPr>
        <w:spacing w:after="0" w:line="2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leases in the first quarter of 2021 was €42,652 (2020: €37,122) and is included in the Facilities, communication &amp; office expenses line.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of €3,061 (2020: €1,105) related to property, plant and equipment and is included in the other expenses line.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5. Personnel expenses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5"/>
        </w:trPr>
        <w:tc>
          <w:tcPr>
            <w:tcW w:w="7720" w:type="dxa"/>
            <w:vAlign w:val="bottom"/>
          </w:tcPr>
          <w:p>
            <w:pPr>
              <w:spacing w:after="0"/>
              <w:rPr>
                <w:sz w:val="24"/>
                <w:szCs w:val="24"/>
                <w:color w:val="auto"/>
              </w:rPr>
            </w:pPr>
          </w:p>
        </w:tc>
        <w:tc>
          <w:tcPr>
            <w:tcW w:w="3520" w:type="dxa"/>
            <w:vAlign w:val="bottom"/>
            <w:gridSpan w:val="4"/>
          </w:tcPr>
          <w:p>
            <w:pPr>
              <w:jc w:val="right"/>
              <w:ind w:right="420"/>
              <w:spacing w:after="0"/>
              <w:rPr>
                <w:sz w:val="20"/>
                <w:szCs w:val="20"/>
                <w:color w:val="auto"/>
              </w:rPr>
            </w:pPr>
            <w:r>
              <w:rPr>
                <w:rFonts w:ascii="Arial" w:cs="Arial" w:eastAsia="Arial" w:hAnsi="Arial"/>
                <w:sz w:val="18"/>
                <w:szCs w:val="18"/>
                <w:color w:val="auto"/>
              </w:rPr>
              <w:t>For the three months ended March 31</w:t>
            </w:r>
          </w:p>
        </w:tc>
      </w:tr>
      <w:tr>
        <w:trPr>
          <w:trHeight w:val="234"/>
        </w:trPr>
        <w:tc>
          <w:tcPr>
            <w:tcW w:w="77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Wages and salaries</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(1,011,675)</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(278,262)</w:t>
            </w: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Pension charges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(29,962)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(5,408)</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social security charges</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(111,314)</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(37,448)</w:t>
            </w: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Share-based payments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(2,096,610)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(293,717)</w:t>
            </w:r>
          </w:p>
        </w:tc>
      </w:tr>
      <w:tr>
        <w:trPr>
          <w:trHeight w:val="2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4"/>
        </w:trPr>
        <w:tc>
          <w:tcPr>
            <w:tcW w:w="772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(3,249,561)</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(614,835)</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average number of staff (in FTEs) employed by the Group in the three months ended March 31, 2021 was 14 (2020: 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6. Net foreign exchange income/(loss)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4"/>
                <w:szCs w:val="24"/>
                <w:color w:val="auto"/>
              </w:rPr>
            </w:pPr>
          </w:p>
        </w:tc>
        <w:tc>
          <w:tcPr>
            <w:tcW w:w="3520" w:type="dxa"/>
            <w:vAlign w:val="bottom"/>
            <w:gridSpan w:val="4"/>
          </w:tcPr>
          <w:p>
            <w:pPr>
              <w:jc w:val="right"/>
              <w:ind w:right="420"/>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differences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5,905,896</w:t>
            </w:r>
          </w:p>
        </w:tc>
        <w:tc>
          <w:tcPr>
            <w:tcW w:w="2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(19,109)</w:t>
            </w:r>
          </w:p>
        </w:tc>
        <w:tc>
          <w:tcPr>
            <w:tcW w:w="0" w:type="dxa"/>
            <w:vAlign w:val="bottom"/>
          </w:tcPr>
          <w:p>
            <w:pPr>
              <w:spacing w:after="0"/>
              <w:rPr>
                <w:sz w:val="1"/>
                <w:szCs w:val="1"/>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Interest expenses over bank balances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(82,212)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finance expenses</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(4,828)</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5,818,856</w:t>
            </w:r>
          </w:p>
        </w:tc>
        <w:tc>
          <w:tcPr>
            <w:tcW w:w="28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7. Income taxes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4"/>
                <w:szCs w:val="24"/>
                <w:color w:val="auto"/>
              </w:rPr>
            </w:pPr>
          </w:p>
        </w:tc>
        <w:tc>
          <w:tcPr>
            <w:tcW w:w="3520" w:type="dxa"/>
            <w:vAlign w:val="bottom"/>
            <w:gridSpan w:val="4"/>
          </w:tcPr>
          <w:p>
            <w:pPr>
              <w:jc w:val="right"/>
              <w:ind w:right="420"/>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(18,589)</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(18,589)</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tax expenses over the three months ended March 31, 2021 relate to the Company's US subsidiary as the result of a cost-plus agreement between the US entity and Group's principal entity resulting in a taxable profit in the United States of America.</w:t>
      </w:r>
    </w:p>
    <w:p>
      <w:pPr>
        <w:spacing w:after="0" w:line="2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1" w:name="page32"/>
    <w:bookmarkEnd w:id="31"/>
    <w:p>
      <w:pPr>
        <w:ind w:right="180"/>
        <w:spacing w:after="0" w:line="271" w:lineRule="auto"/>
        <w:rPr>
          <w:sz w:val="20"/>
          <w:szCs w:val="20"/>
          <w:color w:val="auto"/>
        </w:rPr>
      </w:pPr>
      <w:r>
        <w:rPr>
          <w:rFonts w:ascii="Arial" w:cs="Arial" w:eastAsia="Arial" w:hAnsi="Arial"/>
          <w:sz w:val="18"/>
          <w:szCs w:val="18"/>
          <w:color w:val="auto"/>
        </w:rPr>
        <w:t>Reconciliation of income tax benefit at statutory tax rate and the income tax expense as reported in the unaudited condensed consolidated statement of profit or loss and other comprehensive income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3760" w:type="dxa"/>
            <w:vAlign w:val="bottom"/>
            <w:gridSpan w:val="4"/>
          </w:tcPr>
          <w:p>
            <w:pPr>
              <w:jc w:val="right"/>
              <w:ind w:right="540"/>
              <w:spacing w:after="0"/>
              <w:rPr>
                <w:sz w:val="20"/>
                <w:szCs w:val="20"/>
                <w:color w:val="auto"/>
              </w:rPr>
            </w:pPr>
            <w:r>
              <w:rPr>
                <w:rFonts w:ascii="Arial" w:cs="Arial" w:eastAsia="Arial" w:hAnsi="Arial"/>
                <w:sz w:val="18"/>
                <w:szCs w:val="18"/>
                <w:color w:val="auto"/>
              </w:rPr>
              <w:t>For the three months ended March 31</w:t>
            </w:r>
          </w:p>
        </w:tc>
      </w:tr>
      <w:tr>
        <w:trPr>
          <w:trHeight w:val="234"/>
        </w:trPr>
        <w:tc>
          <w:tcPr>
            <w:tcW w:w="748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4"/>
        </w:trPr>
        <w:tc>
          <w:tcPr>
            <w:tcW w:w="748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41"/>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(6,024,288)</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(3,276,355)</w:t>
            </w:r>
          </w:p>
        </w:tc>
      </w:tr>
      <w:tr>
        <w:trPr>
          <w:trHeight w:val="240"/>
        </w:trPr>
        <w:tc>
          <w:tcPr>
            <w:tcW w:w="7480" w:type="dxa"/>
            <w:vAlign w:val="bottom"/>
          </w:tcPr>
          <w:p>
            <w:pPr>
              <w:spacing w:after="0"/>
              <w:rPr>
                <w:sz w:val="20"/>
                <w:szCs w:val="20"/>
                <w:color w:val="auto"/>
              </w:rPr>
            </w:pPr>
            <w:r>
              <w:rPr>
                <w:rFonts w:ascii="Arial" w:cs="Arial" w:eastAsia="Arial" w:hAnsi="Arial"/>
                <w:sz w:val="18"/>
                <w:szCs w:val="18"/>
                <w:color w:val="auto"/>
              </w:rPr>
              <w:t>Income tax benefit at statutory income tax rate of 25%</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(1,506,072)</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(819,089)</w:t>
            </w:r>
          </w:p>
        </w:tc>
      </w:tr>
      <w:tr>
        <w:trPr>
          <w:trHeight w:val="24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Temporary differences for which no deferred tax assets/liabilities have been recognized</w:t>
            </w:r>
          </w:p>
        </w:tc>
        <w:tc>
          <w:tcPr>
            <w:tcW w:w="1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2"/>
        </w:trPr>
        <w:tc>
          <w:tcPr>
            <w:tcW w:w="748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(22,049)</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486,754</w:t>
            </w:r>
          </w:p>
        </w:tc>
        <w:tc>
          <w:tcPr>
            <w:tcW w:w="100" w:type="dxa"/>
            <w:vAlign w:val="bottom"/>
            <w:shd w:val="clear" w:color="auto" w:fill="CFF0FC"/>
          </w:tcPr>
          <w:p>
            <w:pPr>
              <w:spacing w:after="0"/>
              <w:rPr>
                <w:sz w:val="21"/>
                <w:szCs w:val="21"/>
                <w:color w:val="auto"/>
              </w:rPr>
            </w:pPr>
          </w:p>
        </w:tc>
      </w:tr>
      <w:tr>
        <w:trPr>
          <w:trHeight w:val="240"/>
        </w:trPr>
        <w:tc>
          <w:tcPr>
            <w:tcW w:w="7480" w:type="dxa"/>
            <w:vAlign w:val="bottom"/>
          </w:tcPr>
          <w:p>
            <w:pPr>
              <w:spacing w:after="0"/>
              <w:rPr>
                <w:sz w:val="20"/>
                <w:szCs w:val="20"/>
                <w:color w:val="auto"/>
              </w:rPr>
            </w:pPr>
            <w:r>
              <w:rPr>
                <w:rFonts w:ascii="Arial" w:cs="Arial" w:eastAsia="Arial" w:hAnsi="Arial"/>
                <w:sz w:val="18"/>
                <w:szCs w:val="18"/>
                <w:color w:val="auto"/>
              </w:rPr>
              <w:t>Non-deductible expenses for tax purposes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(95,538)</w:t>
            </w:r>
          </w:p>
        </w:tc>
        <w:tc>
          <w:tcPr>
            <w:tcW w:w="1680" w:type="dxa"/>
            <w:vAlign w:val="bottom"/>
          </w:tcPr>
          <w:p>
            <w:pPr>
              <w:jc w:val="right"/>
              <w:spacing w:after="0"/>
              <w:rPr>
                <w:sz w:val="20"/>
                <w:szCs w:val="20"/>
                <w:color w:val="auto"/>
              </w:rPr>
            </w:pPr>
            <w:r>
              <w:rPr>
                <w:rFonts w:ascii="Arial" w:cs="Arial" w:eastAsia="Arial" w:hAnsi="Arial"/>
                <w:sz w:val="18"/>
                <w:szCs w:val="18"/>
                <w:color w:val="auto"/>
              </w:rPr>
              <w:t>74,579</w:t>
            </w:r>
          </w:p>
        </w:tc>
        <w:tc>
          <w:tcPr>
            <w:tcW w:w="100" w:type="dxa"/>
            <w:vAlign w:val="bottom"/>
          </w:tcPr>
          <w:p>
            <w:pPr>
              <w:spacing w:after="0"/>
              <w:rPr>
                <w:sz w:val="20"/>
                <w:szCs w:val="20"/>
                <w:color w:val="auto"/>
              </w:rPr>
            </w:pPr>
          </w:p>
        </w:tc>
      </w:tr>
      <w:tr>
        <w:trPr>
          <w:trHeight w:val="241"/>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Current year losses for which no deferred tax asset has been recognized</w:t>
            </w: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(369,240)</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262,659</w:t>
            </w:r>
          </w:p>
        </w:tc>
        <w:tc>
          <w:tcPr>
            <w:tcW w:w="100" w:type="dxa"/>
            <w:vAlign w:val="bottom"/>
            <w:shd w:val="clear" w:color="auto" w:fill="CFF0FC"/>
          </w:tcPr>
          <w:p>
            <w:pPr>
              <w:spacing w:after="0"/>
              <w:rPr>
                <w:sz w:val="20"/>
                <w:szCs w:val="20"/>
                <w:color w:val="auto"/>
              </w:rPr>
            </w:pPr>
          </w:p>
        </w:tc>
      </w:tr>
      <w:tr>
        <w:trPr>
          <w:trHeight w:val="240"/>
        </w:trPr>
        <w:tc>
          <w:tcPr>
            <w:tcW w:w="748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1680" w:type="dxa"/>
            <w:vAlign w:val="bottom"/>
          </w:tcPr>
          <w:p>
            <w:pPr>
              <w:jc w:val="right"/>
              <w:spacing w:after="0"/>
              <w:rPr>
                <w:sz w:val="20"/>
                <w:szCs w:val="20"/>
                <w:color w:val="auto"/>
              </w:rPr>
            </w:pPr>
            <w:r>
              <w:rPr>
                <w:rFonts w:ascii="Arial" w:cs="Arial" w:eastAsia="Arial" w:hAnsi="Arial"/>
                <w:sz w:val="18"/>
                <w:szCs w:val="18"/>
                <w:color w:val="auto"/>
              </w:rPr>
              <w:t>2,011,488</w:t>
            </w:r>
          </w:p>
        </w:tc>
        <w:tc>
          <w:tcPr>
            <w:tcW w:w="30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(5,105)</w:t>
            </w:r>
          </w:p>
        </w:tc>
      </w:tr>
      <w:tr>
        <w:trPr>
          <w:trHeight w:val="241"/>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20"/>
                <w:szCs w:val="20"/>
                <w:color w:val="auto"/>
              </w:rPr>
            </w:pPr>
          </w:p>
        </w:tc>
      </w:tr>
      <w:tr>
        <w:trPr>
          <w:trHeight w:val="233"/>
        </w:trPr>
        <w:tc>
          <w:tcPr>
            <w:tcW w:w="74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18,589</w:t>
            </w:r>
          </w:p>
        </w:tc>
        <w:tc>
          <w:tcPr>
            <w:tcW w:w="30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right="540"/>
        <w:spacing w:after="0" w:line="286" w:lineRule="auto"/>
        <w:rPr>
          <w:sz w:val="20"/>
          <w:szCs w:val="20"/>
          <w:color w:val="auto"/>
        </w:rPr>
      </w:pPr>
      <w:r>
        <w:rPr>
          <w:rFonts w:ascii="Arial" w:cs="Arial" w:eastAsia="Arial" w:hAnsi="Arial"/>
          <w:sz w:val="18"/>
          <w:szCs w:val="18"/>
          <w:color w:val="auto"/>
        </w:rPr>
        <w:t>The effect of current year losses for which no DTA has been recognized includes the offsetting effect from the derecognition of losses reported through equity/ consolidated statement of profit or loss and other comprehensive income.</w:t>
      </w:r>
    </w:p>
    <w:p>
      <w:pPr>
        <w:spacing w:after="0" w:line="175" w:lineRule="exact"/>
        <w:rPr>
          <w:sz w:val="20"/>
          <w:szCs w:val="20"/>
          <w:color w:val="auto"/>
        </w:rPr>
      </w:pPr>
    </w:p>
    <w:p>
      <w:pPr>
        <w:ind w:right="780"/>
        <w:spacing w:after="0" w:line="286" w:lineRule="auto"/>
        <w:rPr>
          <w:sz w:val="20"/>
          <w:szCs w:val="20"/>
          <w:color w:val="auto"/>
        </w:rPr>
      </w:pPr>
      <w:r>
        <w:rPr>
          <w:rFonts w:ascii="Arial" w:cs="Arial" w:eastAsia="Arial" w:hAnsi="Arial"/>
          <w:sz w:val="18"/>
          <w:szCs w:val="18"/>
          <w:color w:val="auto"/>
        </w:rPr>
        <w:t>The differences in the overseas tax rates are mainly due to the lower tax rate in Switzerland compared to the statutory income tax rate in the Netherlands.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0.3% for the three months ended March 31, 2021(2020: 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Pharvaris N.V. is the head of the fiscal unity including Pharvaris Netherlands B.V. and Pharvaris Holdings B.V.</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Group has tax loss carry-forwards of approximately €63.7 million as of March 31, 2021 (2020: €3.4 million),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gridSpan w:val="2"/>
          </w:tcPr>
          <w:p>
            <w:pPr>
              <w:spacing w:after="0"/>
              <w:rPr>
                <w:sz w:val="20"/>
                <w:szCs w:val="20"/>
                <w:color w:val="auto"/>
              </w:rPr>
            </w:pPr>
            <w:r>
              <w:rPr>
                <w:rFonts w:ascii="Arial" w:cs="Arial" w:eastAsia="Arial" w:hAnsi="Arial"/>
                <w:sz w:val="18"/>
                <w:szCs w:val="18"/>
                <w:color w:val="auto"/>
              </w:rPr>
              <w:t>Tax loss carry-forwards incurred in current and prior years will expire as follows: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5"/>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Switzerland</w:t>
            </w:r>
          </w:p>
        </w:tc>
        <w:tc>
          <w:tcPr>
            <w:tcW w:w="2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Netherlands</w:t>
            </w:r>
          </w:p>
        </w:tc>
        <w:tc>
          <w:tcPr>
            <w:tcW w:w="2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Tax losses</w:t>
            </w:r>
          </w:p>
        </w:tc>
        <w:tc>
          <w:tcPr>
            <w:tcW w:w="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rPr>
              <w:t>€ million</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rPr>
              <w:t>€ million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rPr>
              <w:t>€ million</w:t>
            </w: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0"/>
                <w:szCs w:val="20"/>
                <w:color w:val="auto"/>
              </w:rPr>
            </w:pPr>
          </w:p>
        </w:tc>
      </w:tr>
      <w:tr>
        <w:trPr>
          <w:trHeight w:val="240"/>
        </w:trPr>
        <w:tc>
          <w:tcPr>
            <w:tcW w:w="652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0"/>
                <w:szCs w:val="20"/>
                <w:color w:val="auto"/>
              </w:rPr>
            </w:pPr>
          </w:p>
        </w:tc>
      </w:tr>
      <w:tr>
        <w:trPr>
          <w:trHeight w:val="240"/>
        </w:trPr>
        <w:tc>
          <w:tcPr>
            <w:tcW w:w="6520" w:type="dxa"/>
            <w:vAlign w:val="bottom"/>
          </w:tcPr>
          <w:p>
            <w:pPr>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r>
      <w:tr>
        <w:trPr>
          <w:trHeight w:val="234"/>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carry-forward losses</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DTA on losses not recognized partly relates to an effect through P&amp;L and partly to an effect through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or loss and other comprehensive income.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40" w:type="dxa"/>
            <w:vAlign w:val="bottom"/>
          </w:tcPr>
          <w:p>
            <w:pPr>
              <w:spacing w:after="0"/>
              <w:rPr>
                <w:sz w:val="20"/>
                <w:szCs w:val="20"/>
                <w:color w:val="auto"/>
              </w:rPr>
            </w:pPr>
            <w:r>
              <w:rPr>
                <w:rFonts w:ascii="Arial" w:cs="Arial" w:eastAsia="Arial" w:hAnsi="Arial"/>
                <w:sz w:val="18"/>
                <w:szCs w:val="18"/>
                <w:b w:val="1"/>
                <w:bCs w:val="1"/>
                <w:color w:val="auto"/>
              </w:rPr>
              <w:t>Movements in deferred tax balances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58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R&amp;D</w:t>
            </w:r>
          </w:p>
        </w:tc>
        <w:tc>
          <w:tcPr>
            <w:tcW w:w="2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color w:val="auto"/>
                <w:w w:val="96"/>
              </w:rPr>
              <w:t>Accrued</w:t>
            </w:r>
          </w:p>
        </w:tc>
        <w:tc>
          <w:tcPr>
            <w:tcW w:w="116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expenses</w:t>
            </w:r>
          </w:p>
        </w:tc>
        <w:tc>
          <w:tcPr>
            <w:tcW w:w="24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receivables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expenses</w:t>
            </w:r>
          </w:p>
        </w:tc>
        <w:tc>
          <w:tcPr>
            <w:tcW w:w="240" w:type="dxa"/>
            <w:vAlign w:val="bottom"/>
            <w:gridSpan w:val="2"/>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color w:val="auto"/>
                <w:w w:val="79"/>
              </w:rPr>
              <w: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1,964,583</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99,339</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2,063,922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8"/>
                <w:szCs w:val="18"/>
                <w:color w:val="auto"/>
              </w:rPr>
              <w:t>(Charged)/credited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Profit or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Currency translation differences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4,626</w:t>
            </w: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March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1,964,583</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103,965</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2,068,548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liability</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8"/>
                <w:szCs w:val="18"/>
                <w:color w:val="auto"/>
              </w:rPr>
              <w:t>At January 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(1,964,583)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(1,964,583)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(Charged)/credited</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Profit or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March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(1,964,583)</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(1,964,583)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8"/>
                <w:szCs w:val="18"/>
                <w:b w:val="1"/>
                <w:bCs w:val="1"/>
                <w:color w:val="auto"/>
              </w:rPr>
              <w:t>Net deferred tax assets at March 31, 2021</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jc w:val="center"/>
              <w:ind w:right="880"/>
              <w:spacing w:after="0"/>
              <w:rPr>
                <w:sz w:val="20"/>
                <w:szCs w:val="20"/>
                <w:color w:val="auto"/>
              </w:rPr>
            </w:pPr>
            <w:r>
              <w:rPr>
                <w:rFonts w:ascii="Arial" w:cs="Arial" w:eastAsia="Arial" w:hAnsi="Arial"/>
                <w:sz w:val="18"/>
                <w:szCs w:val="18"/>
                <w:color w:val="auto"/>
                <w:w w:val="97"/>
              </w:rPr>
              <w:t>Office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right"/>
              <w:ind w:right="431"/>
              <w:spacing w:after="0"/>
              <w:rPr>
                <w:sz w:val="20"/>
                <w:szCs w:val="20"/>
                <w:color w:val="auto"/>
              </w:rPr>
            </w:pPr>
            <w:r>
              <w:rPr>
                <w:rFonts w:ascii="Arial" w:cs="Arial" w:eastAsia="Arial" w:hAnsi="Arial"/>
                <w:sz w:val="18"/>
                <w:szCs w:val="18"/>
                <w:color w:val="auto"/>
              </w:rPr>
              <w:t>Notes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71"/>
              <w:spacing w:after="0"/>
              <w:rPr>
                <w:sz w:val="20"/>
                <w:szCs w:val="20"/>
                <w:color w:val="auto"/>
              </w:rPr>
            </w:pPr>
            <w:r>
              <w:rPr>
                <w:rFonts w:ascii="Arial" w:cs="Arial" w:eastAsia="Arial" w:hAnsi="Arial"/>
                <w:sz w:val="18"/>
                <w:szCs w:val="18"/>
                <w:color w:val="auto"/>
                <w:w w:val="92"/>
              </w:rPr>
              <w:t>equipment</w:t>
            </w:r>
          </w:p>
        </w:tc>
        <w:tc>
          <w:tcPr>
            <w:tcW w:w="28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center"/>
              <w:ind w:right="10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48,503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Additions</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spacing w:after="0"/>
              <w:rPr>
                <w:sz w:val="20"/>
                <w:szCs w:val="20"/>
                <w:color w:val="auto"/>
              </w:rPr>
            </w:pPr>
          </w:p>
        </w:tc>
        <w:tc>
          <w:tcPr>
            <w:tcW w:w="1140" w:type="dxa"/>
            <w:vAlign w:val="bottom"/>
            <w:gridSpan w:val="2"/>
          </w:tcPr>
          <w:p>
            <w:pPr>
              <w:jc w:val="right"/>
              <w:ind w:right="551"/>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11"/>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11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55,507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55,507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8"/>
                <w:szCs w:val="18"/>
                <w:color w:val="auto"/>
              </w:rPr>
              <w:t>Cost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66,518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111"/>
              <w:spacing w:after="0"/>
              <w:rPr>
                <w:sz w:val="20"/>
                <w:szCs w:val="20"/>
                <w:color w:val="auto"/>
              </w:rPr>
            </w:pPr>
            <w:r>
              <w:rPr>
                <w:rFonts w:ascii="Arial" w:cs="Arial" w:eastAsia="Arial" w:hAnsi="Arial"/>
                <w:sz w:val="18"/>
                <w:szCs w:val="18"/>
                <w:color w:val="auto"/>
              </w:rPr>
              <w:t>(11,011)</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40" w:type="dxa"/>
            <w:vAlign w:val="bottom"/>
          </w:tcPr>
          <w:p>
            <w:pPr>
              <w:spacing w:after="0"/>
              <w:rPr>
                <w:sz w:val="20"/>
                <w:szCs w:val="20"/>
                <w:color w:val="auto"/>
              </w:rPr>
            </w:pPr>
            <w:r>
              <w:rPr>
                <w:rFonts w:ascii="Arial" w:cs="Arial" w:eastAsia="Arial" w:hAnsi="Arial"/>
                <w:sz w:val="18"/>
                <w:szCs w:val="18"/>
                <w:b w:val="1"/>
                <w:bCs w:val="1"/>
                <w:color w:val="auto"/>
              </w:rPr>
              <w:t>Net book amount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55,507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33" w:name="page34"/>
    <w:bookmarkEnd w:id="33"/>
    <w:p>
      <w:pPr>
        <w:ind w:right="280"/>
        <w:spacing w:after="0" w:line="271" w:lineRule="auto"/>
        <w:rPr>
          <w:sz w:val="20"/>
          <w:szCs w:val="20"/>
          <w:color w:val="auto"/>
        </w:rPr>
      </w:pPr>
      <w:r>
        <w:rPr>
          <w:rFonts w:ascii="Arial" w:cs="Arial" w:eastAsia="Arial" w:hAnsi="Arial"/>
          <w:sz w:val="18"/>
          <w:szCs w:val="18"/>
          <w:color w:val="auto"/>
        </w:rPr>
        <w:t>During the three months ended March 31, 2021, the Group acquired assets with a cost of €10,065 (December 31, 2020: €42,977). The acquisitions during the three months ended March 31, 2021 and 2020 were related to equipment, tools and installations.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9. Receivables</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7720" w:type="dxa"/>
            <w:vAlign w:val="bottom"/>
          </w:tcPr>
          <w:p>
            <w:pPr>
              <w:spacing w:after="0"/>
              <w:rPr>
                <w:sz w:val="24"/>
                <w:szCs w:val="24"/>
                <w:color w:val="auto"/>
              </w:rPr>
            </w:pPr>
          </w:p>
        </w:tc>
        <w:tc>
          <w:tcPr>
            <w:tcW w:w="1860" w:type="dxa"/>
            <w:vAlign w:val="bottom"/>
            <w:gridSpan w:val="4"/>
          </w:tcPr>
          <w:p>
            <w:pPr>
              <w:ind w:left="400"/>
              <w:spacing w:after="0"/>
              <w:rPr>
                <w:sz w:val="20"/>
                <w:szCs w:val="20"/>
                <w:color w:val="auto"/>
              </w:rPr>
            </w:pPr>
            <w:r>
              <w:rPr>
                <w:rFonts w:ascii="Arial" w:cs="Arial" w:eastAsia="Arial" w:hAnsi="Arial"/>
                <w:sz w:val="18"/>
                <w:szCs w:val="18"/>
                <w:color w:val="auto"/>
              </w:rPr>
              <w:t>March 31,</w:t>
            </w:r>
          </w:p>
        </w:tc>
        <w:tc>
          <w:tcPr>
            <w:tcW w:w="1660" w:type="dxa"/>
            <w:vAlign w:val="bottom"/>
            <w:gridSpan w:val="3"/>
          </w:tcPr>
          <w:p>
            <w:pPr>
              <w:ind w:left="2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7720" w:type="dxa"/>
            <w:vAlign w:val="bottom"/>
          </w:tcPr>
          <w:p>
            <w:pPr>
              <w:spacing w:after="0"/>
              <w:rPr>
                <w:sz w:val="23"/>
                <w:szCs w:val="23"/>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VAT receivables</w:t>
            </w:r>
          </w:p>
        </w:tc>
        <w:tc>
          <w:tcPr>
            <w:tcW w:w="1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541,316</w:t>
            </w:r>
          </w:p>
        </w:tc>
        <w:tc>
          <w:tcPr>
            <w:tcW w:w="2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569,578</w:t>
            </w: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20" w:type="dxa"/>
            <w:vAlign w:val="bottom"/>
          </w:tcPr>
          <w:p>
            <w:pPr>
              <w:spacing w:after="0"/>
              <w:rPr>
                <w:sz w:val="22"/>
                <w:szCs w:val="22"/>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541,316</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569,578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10. Other current assets</w:t>
            </w: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4"/>
                <w:szCs w:val="24"/>
                <w:color w:val="auto"/>
              </w:rPr>
            </w:pPr>
          </w:p>
        </w:tc>
        <w:tc>
          <w:tcPr>
            <w:tcW w:w="1860" w:type="dxa"/>
            <w:vAlign w:val="bottom"/>
            <w:gridSpan w:val="4"/>
          </w:tcPr>
          <w:p>
            <w:pPr>
              <w:ind w:left="400"/>
              <w:spacing w:after="0"/>
              <w:rPr>
                <w:sz w:val="20"/>
                <w:szCs w:val="20"/>
                <w:color w:val="auto"/>
              </w:rPr>
            </w:pPr>
            <w:r>
              <w:rPr>
                <w:rFonts w:ascii="Arial" w:cs="Arial" w:eastAsia="Arial" w:hAnsi="Arial"/>
                <w:sz w:val="18"/>
                <w:szCs w:val="18"/>
                <w:color w:val="auto"/>
              </w:rPr>
              <w:t>March 31,</w:t>
            </w:r>
          </w:p>
        </w:tc>
        <w:tc>
          <w:tcPr>
            <w:tcW w:w="1660" w:type="dxa"/>
            <w:vAlign w:val="bottom"/>
            <w:gridSpan w:val="3"/>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Prepayments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5,004,581</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540,701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1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1,212,626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5,004,581</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1,753,327</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Prepayments mainly relates to prepaid insurance, retention bonus to personnel and prepaid rent.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Other assets per December 31, 2020, mainly consist of deferred transaction costs related to Group’s IPO, which was completed in February,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balance was reclassified to the share premium at completion of the IPO.</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and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comprise of cash in bank and are not subject to any restriction.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4" w:lineRule="exact"/>
        <w:rPr>
          <w:sz w:val="20"/>
          <w:szCs w:val="20"/>
          <w:color w:val="auto"/>
        </w:rPr>
      </w:pPr>
    </w:p>
    <w:p>
      <w:pPr>
        <w:ind w:right="560"/>
        <w:spacing w:after="0" w:line="252" w:lineRule="auto"/>
        <w:rPr>
          <w:sz w:val="20"/>
          <w:szCs w:val="20"/>
          <w:color w:val="auto"/>
        </w:rPr>
      </w:pPr>
      <w:r>
        <w:rPr>
          <w:rFonts w:ascii="Arial" w:cs="Arial" w:eastAsia="Arial" w:hAnsi="Arial"/>
          <w:sz w:val="18"/>
          <w:szCs w:val="18"/>
          <w:color w:val="auto"/>
        </w:rPr>
        <w:t>On March 31, 2021, the Company’s authorized share capital amounted to €14,100,000 divided into 58,750,000 ordinary shares and 58,750,000 preferred shares, each with a nominal value of €0.12. As at March 31, 2021, a total number of ordinary shares issued was 33,094,593 (2020: 23,569,276). On March 31, 2021, the issued share capital totalled to €3,971,352 (2020: €235,693).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hold the right to one vote per share.</w:t>
      </w:r>
    </w:p>
    <w:p>
      <w:pPr>
        <w:spacing w:after="0" w:line="24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Issued shares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5"/>
        </w:trPr>
        <w:tc>
          <w:tcPr>
            <w:tcW w:w="7720" w:type="dxa"/>
            <w:vAlign w:val="bottom"/>
          </w:tcPr>
          <w:p>
            <w:pPr>
              <w:spacing w:after="0"/>
              <w:rPr>
                <w:sz w:val="24"/>
                <w:szCs w:val="24"/>
                <w:color w:val="auto"/>
              </w:rPr>
            </w:pPr>
          </w:p>
        </w:tc>
        <w:tc>
          <w:tcPr>
            <w:tcW w:w="1840" w:type="dxa"/>
            <w:vAlign w:val="bottom"/>
            <w:gridSpan w:val="2"/>
          </w:tcPr>
          <w:p>
            <w:pPr>
              <w:ind w:left="400"/>
              <w:spacing w:after="0"/>
              <w:rPr>
                <w:sz w:val="20"/>
                <w:szCs w:val="20"/>
                <w:color w:val="auto"/>
              </w:rPr>
            </w:pPr>
            <w:r>
              <w:rPr>
                <w:rFonts w:ascii="Arial" w:cs="Arial" w:eastAsia="Arial" w:hAnsi="Arial"/>
                <w:sz w:val="18"/>
                <w:szCs w:val="18"/>
                <w:color w:val="auto"/>
              </w:rPr>
              <w:t>March 31,</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r>
      <w:tr>
        <w:trPr>
          <w:trHeight w:val="228"/>
        </w:trPr>
        <w:tc>
          <w:tcPr>
            <w:tcW w:w="772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r>
      <w:tr>
        <w:trPr>
          <w:trHeight w:val="23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Ordinary shares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33,094,593</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120" w:type="dxa"/>
            <w:vAlign w:val="bottom"/>
            <w:shd w:val="clear" w:color="auto" w:fill="CFF0FC"/>
          </w:tcPr>
          <w:p>
            <w:pPr>
              <w:spacing w:after="0"/>
              <w:rPr>
                <w:sz w:val="20"/>
                <w:szCs w:val="20"/>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Preferred shares A</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5,242,850</w:t>
            </w:r>
          </w:p>
        </w:tc>
        <w:tc>
          <w:tcPr>
            <w:tcW w:w="120" w:type="dxa"/>
            <w:vAlign w:val="bottom"/>
          </w:tcPr>
          <w:p>
            <w:pPr>
              <w:spacing w:after="0"/>
              <w:rPr>
                <w:sz w:val="20"/>
                <w:szCs w:val="20"/>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Preferred shares B</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7,650,147</w:t>
            </w:r>
          </w:p>
        </w:tc>
        <w:tc>
          <w:tcPr>
            <w:tcW w:w="120" w:type="dxa"/>
            <w:vAlign w:val="bottom"/>
            <w:shd w:val="clear" w:color="auto" w:fill="CFF0FC"/>
          </w:tcPr>
          <w:p>
            <w:pPr>
              <w:spacing w:after="0"/>
              <w:rPr>
                <w:sz w:val="20"/>
                <w:szCs w:val="20"/>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Preferred shares C</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5,826,279</w:t>
            </w:r>
          </w:p>
        </w:tc>
        <w:tc>
          <w:tcPr>
            <w:tcW w:w="120" w:type="dxa"/>
            <w:vAlign w:val="bottom"/>
          </w:tcPr>
          <w:p>
            <w:pPr>
              <w:spacing w:after="0"/>
              <w:rPr>
                <w:sz w:val="20"/>
                <w:szCs w:val="20"/>
                <w:color w:val="auto"/>
              </w:rPr>
            </w:pPr>
          </w:p>
        </w:tc>
      </w:tr>
      <w:tr>
        <w:trPr>
          <w:trHeight w:val="234"/>
        </w:trPr>
        <w:tc>
          <w:tcPr>
            <w:tcW w:w="772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33,094,593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23,569,276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5, 2021, the Company became public by listing its ordinary shares on the Nasdaq Stock Exchange. On the same date all Preferred shares A, Preferred shares B and Preferred shares C were automatically converted to ordinary shares and 9,511,075 shares were issued. Together with the issuance of the ordinary shares, the par value of each share was increased from €0.01 to €0.12.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13. Trade and other payables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4"/>
                <w:szCs w:val="24"/>
                <w:color w:val="auto"/>
              </w:rPr>
            </w:pPr>
          </w:p>
        </w:tc>
        <w:tc>
          <w:tcPr>
            <w:tcW w:w="1840" w:type="dxa"/>
            <w:vAlign w:val="bottom"/>
            <w:gridSpan w:val="2"/>
          </w:tcPr>
          <w:p>
            <w:pPr>
              <w:ind w:left="400"/>
              <w:spacing w:after="0"/>
              <w:rPr>
                <w:sz w:val="20"/>
                <w:szCs w:val="20"/>
                <w:color w:val="auto"/>
              </w:rPr>
            </w:pPr>
            <w:r>
              <w:rPr>
                <w:rFonts w:ascii="Arial" w:cs="Arial" w:eastAsia="Arial" w:hAnsi="Arial"/>
                <w:sz w:val="18"/>
                <w:szCs w:val="18"/>
                <w:color w:val="auto"/>
              </w:rPr>
              <w:t>March 31,</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3,884,617</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 and social security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431,210</w:t>
            </w:r>
          </w:p>
        </w:tc>
        <w:tc>
          <w:tcPr>
            <w:tcW w:w="28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4,315,827</w:t>
            </w:r>
          </w:p>
        </w:tc>
        <w:tc>
          <w:tcPr>
            <w:tcW w:w="2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846,952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14. Accrued liabilities</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4"/>
                <w:szCs w:val="24"/>
                <w:color w:val="auto"/>
              </w:rPr>
            </w:pPr>
          </w:p>
        </w:tc>
        <w:tc>
          <w:tcPr>
            <w:tcW w:w="1840" w:type="dxa"/>
            <w:vAlign w:val="bottom"/>
            <w:gridSpan w:val="2"/>
          </w:tcPr>
          <w:p>
            <w:pPr>
              <w:ind w:left="400"/>
              <w:spacing w:after="0"/>
              <w:rPr>
                <w:sz w:val="20"/>
                <w:szCs w:val="20"/>
                <w:color w:val="auto"/>
              </w:rPr>
            </w:pPr>
            <w:r>
              <w:rPr>
                <w:rFonts w:ascii="Arial" w:cs="Arial" w:eastAsia="Arial" w:hAnsi="Arial"/>
                <w:sz w:val="18"/>
                <w:szCs w:val="18"/>
                <w:color w:val="auto"/>
              </w:rPr>
              <w:t>March 31,</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accounting fees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1,334,062</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1,505,304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Clinical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655,889</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635,820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expenses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820,925</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970,587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Pre-clinical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267,021</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421,429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953,758</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875,238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104,369</w:t>
            </w:r>
          </w:p>
        </w:tc>
        <w:tc>
          <w:tcPr>
            <w:tcW w:w="28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4,136,024</w:t>
            </w:r>
          </w:p>
        </w:tc>
        <w:tc>
          <w:tcPr>
            <w:tcW w:w="2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4,466,837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Risk management activities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Group’s risk management activities are the same as disclosed in note 16 of the consolidated financial statements as of and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except for the following: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Company is exposed to foreign exchange risk arising from various currency exposures, primarily with respect to the U.S. Dollar. We received the proceeds from our initial public offering in February 2021 in U.S. Dollars. We seek to minimize our exchange rate risk by maintaining cash positions in the</w:t>
      </w:r>
    </w:p>
    <w:p>
      <w:pPr>
        <w:spacing w:after="0" w:line="21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currencies in which we expect to incur the majority of our future expenses and we make payments from those positions.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cash. This investment policy establishes minimum ratings for institutions with which we hold cash.</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Fair values</w:t>
      </w:r>
    </w:p>
    <w:p>
      <w:pPr>
        <w:spacing w:after="0" w:line="2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Share-based payments</w:t>
      </w:r>
    </w:p>
    <w:p>
      <w:pPr>
        <w:spacing w:after="0" w:line="2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Set out below is an overview of changes in the Stock Options and Restricted Stock Units (“RSUs”) during the three months ended March 31,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254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9"/>
                <w:szCs w:val="19"/>
                <w:color w:val="auto"/>
              </w:rPr>
            </w:pPr>
          </w:p>
        </w:tc>
        <w:tc>
          <w:tcPr>
            <w:tcW w:w="156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rPr>
              <w:t>RSUs</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00"/>
        </w:trPr>
        <w:tc>
          <w:tcPr>
            <w:tcW w:w="5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r>
      <w:tr>
        <w:trPr>
          <w:trHeight w:val="227"/>
        </w:trPr>
        <w:tc>
          <w:tcPr>
            <w:tcW w:w="5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27"/>
        </w:trPr>
        <w:tc>
          <w:tcPr>
            <w:tcW w:w="586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Outstanding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56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Outstanding</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purchase</w:t>
            </w:r>
          </w:p>
        </w:tc>
      </w:tr>
      <w:tr>
        <w:trPr>
          <w:trHeight w:val="228"/>
        </w:trPr>
        <w:tc>
          <w:tcPr>
            <w:tcW w:w="586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price</w:t>
            </w:r>
          </w:p>
        </w:tc>
        <w:tc>
          <w:tcPr>
            <w:tcW w:w="156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RSUs</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price</w:t>
            </w:r>
          </w:p>
        </w:tc>
      </w:tr>
      <w:tr>
        <w:trPr>
          <w:trHeight w:val="235"/>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1,465,295</w:t>
            </w:r>
          </w:p>
        </w:tc>
        <w:tc>
          <w:tcPr>
            <w:tcW w:w="20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top w:val="single" w:sz="8" w:color="CFF0FC"/>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153,595</w:t>
            </w: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980,000</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20"/>
                <w:szCs w:val="20"/>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5"/>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(25,295)</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2"/>
                <w:szCs w:val="22"/>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March 31,2021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2,445,295</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128,300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January 1, 2021 the Company granted a total of 107,000 stock options to members of key management with an exercise price of €7.25 per share with a final exercise date of December 31, 2030 unless forfeited or exercised on an earlier date. 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3, 2020 132,000 stock options were granted to a member of key management with an exercise price of €2.38 per share with a final exercise date of February 2, 2030 unless forfeited or exercised on an earlier date. Each of 2020, 2021, 2022 is a performance period. The Board needs to determine the performance goals for the related performance period before September 30 of the respective year. On July 13, 2020 the performance goals for 2020 were determined and the fair value</w:t>
      </w:r>
    </w:p>
    <w:p>
      <w:pPr>
        <w:spacing w:after="0" w:line="2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6" w:name="page37"/>
    <w:bookmarkEnd w:id="36"/>
    <w:p>
      <w:pPr>
        <w:ind w:right="20"/>
        <w:spacing w:after="0" w:line="271" w:lineRule="auto"/>
        <w:rPr>
          <w:sz w:val="20"/>
          <w:szCs w:val="20"/>
          <w:color w:val="auto"/>
        </w:rPr>
      </w:pPr>
      <w:r>
        <w:rPr>
          <w:rFonts w:ascii="Arial" w:cs="Arial" w:eastAsia="Arial" w:hAnsi="Arial"/>
          <w:sz w:val="18"/>
          <w:szCs w:val="18"/>
          <w:color w:val="auto"/>
        </w:rPr>
        <w:t>of the 44,000 stock options was reassessed for the stock options subject to the performance goals for 2020. The fair value of the 88,000 stock options related to the performance periods 2021 and 2022 was reassessed on March 31, 2021.</w:t>
      </w:r>
    </w:p>
    <w:p>
      <w:pPr>
        <w:spacing w:after="0" w:line="375" w:lineRule="exact"/>
        <w:rPr>
          <w:sz w:val="20"/>
          <w:szCs w:val="20"/>
          <w:color w:val="auto"/>
        </w:rPr>
      </w:pPr>
    </w:p>
    <w:p>
      <w:pPr>
        <w:ind w:right="820"/>
        <w:spacing w:after="0" w:line="335" w:lineRule="auto"/>
        <w:rPr>
          <w:sz w:val="20"/>
          <w:szCs w:val="20"/>
          <w:color w:val="auto"/>
        </w:rPr>
      </w:pPr>
      <w:r>
        <w:rPr>
          <w:rFonts w:ascii="Arial" w:cs="Arial" w:eastAsia="Arial" w:hAnsi="Arial"/>
          <w:sz w:val="16"/>
          <w:szCs w:val="16"/>
          <w:color w:val="auto"/>
        </w:rPr>
        <w:t>For the three months ended March 31, 2021, the Group recognized €2,096,610 of share-based payment expense in the unaudited condensed consolidated statement of income or loss and other comprehensive income (loss) (three month ended March 31, 2020: €293,717).</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a total number of 707.767 of the granted stock options have vested (March 31, 2020: nil), of which 314,917 stock options 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exercisable (March 31, 2020: nil)</w:t>
      </w:r>
    </w:p>
    <w:p>
      <w:pPr>
        <w:spacing w:after="0" w:line="20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inputs used in the measurement of the fair value per option at each grant/ measurement date using the Black-Scholes formula (including the related number of options and the fair value of the options)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February 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January 1,</w:t>
            </w:r>
          </w:p>
        </w:tc>
      </w:tr>
      <w:tr>
        <w:trPr>
          <w:trHeight w:val="228"/>
        </w:trPr>
        <w:tc>
          <w:tcPr>
            <w:tcW w:w="390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FF0FC"/>
            </w:tcBorders>
          </w:tcPr>
          <w:p>
            <w:pPr>
              <w:spacing w:after="0"/>
              <w:rPr>
                <w:sz w:val="19"/>
                <w:szCs w:val="19"/>
                <w:color w:val="auto"/>
              </w:rPr>
            </w:pPr>
          </w:p>
        </w:tc>
      </w:tr>
      <w:tr>
        <w:trPr>
          <w:trHeight w:val="235"/>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460" w:type="dxa"/>
            <w:vAlign w:val="bottom"/>
            <w:shd w:val="clear" w:color="auto" w:fill="CFF0FC"/>
          </w:tcPr>
          <w:p>
            <w:pPr>
              <w:spacing w:after="0"/>
              <w:rPr>
                <w:sz w:val="20"/>
                <w:szCs w:val="20"/>
                <w:color w:val="auto"/>
              </w:rPr>
            </w:pPr>
          </w:p>
        </w:tc>
      </w:tr>
      <w:tr>
        <w:trPr>
          <w:trHeight w:val="240"/>
        </w:trPr>
        <w:tc>
          <w:tcPr>
            <w:tcW w:w="390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20"/>
                <w:szCs w:val="20"/>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11.88</w:t>
            </w:r>
          </w:p>
        </w:tc>
        <w:tc>
          <w:tcPr>
            <w:tcW w:w="26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20"/>
                <w:szCs w:val="20"/>
                <w:color w:val="auto"/>
              </w:rPr>
            </w:pPr>
          </w:p>
        </w:tc>
      </w:tr>
      <w:tr>
        <w:trPr>
          <w:trHeight w:val="241"/>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ordinary shares</w:t>
            </w:r>
          </w:p>
        </w:tc>
        <w:tc>
          <w:tcPr>
            <w:tcW w:w="1700" w:type="dxa"/>
            <w:vAlign w:val="bottom"/>
            <w:gridSpan w:val="2"/>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3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460" w:type="dxa"/>
            <w:vAlign w:val="bottom"/>
            <w:shd w:val="clear" w:color="auto" w:fill="CFF0FC"/>
          </w:tcPr>
          <w:p>
            <w:pPr>
              <w:spacing w:after="0"/>
              <w:rPr>
                <w:sz w:val="20"/>
                <w:szCs w:val="20"/>
                <w:color w:val="auto"/>
              </w:rPr>
            </w:pPr>
          </w:p>
        </w:tc>
      </w:tr>
      <w:tr>
        <w:trPr>
          <w:trHeight w:val="240"/>
        </w:trPr>
        <w:tc>
          <w:tcPr>
            <w:tcW w:w="390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0"/>
                <w:szCs w:val="20"/>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16.69</w:t>
            </w:r>
          </w:p>
        </w:tc>
        <w:tc>
          <w:tcPr>
            <w:tcW w:w="26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7.25</w:t>
            </w:r>
          </w:p>
        </w:tc>
        <w:tc>
          <w:tcPr>
            <w:tcW w:w="460" w:type="dxa"/>
            <w:vAlign w:val="bottom"/>
          </w:tcPr>
          <w:p>
            <w:pPr>
              <w:spacing w:after="0"/>
              <w:rPr>
                <w:sz w:val="20"/>
                <w:szCs w:val="20"/>
                <w:color w:val="auto"/>
              </w:rPr>
            </w:pPr>
          </w:p>
        </w:tc>
      </w:tr>
      <w:tr>
        <w:trPr>
          <w:trHeight w:val="241"/>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85%</w:t>
            </w:r>
          </w:p>
        </w:tc>
      </w:tr>
      <w:tr>
        <w:trPr>
          <w:trHeight w:val="240"/>
        </w:trPr>
        <w:tc>
          <w:tcPr>
            <w:tcW w:w="3900" w:type="dxa"/>
            <w:vAlign w:val="bottom"/>
          </w:tcPr>
          <w:p>
            <w:pPr>
              <w:spacing w:after="0"/>
              <w:rPr>
                <w:sz w:val="20"/>
                <w:szCs w:val="20"/>
                <w:color w:val="auto"/>
              </w:rPr>
            </w:pPr>
            <w:r>
              <w:rPr>
                <w:rFonts w:ascii="Arial" w:cs="Arial" w:eastAsia="Arial" w:hAnsi="Arial"/>
                <w:sz w:val="18"/>
                <w:szCs w:val="18"/>
                <w:color w:val="auto"/>
              </w:rPr>
              <w:t>Expected life (years)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0"/>
                <w:szCs w:val="20"/>
                <w:color w:val="auto"/>
              </w:rPr>
            </w:pPr>
          </w:p>
        </w:tc>
      </w:tr>
      <w:tr>
        <w:trPr>
          <w:trHeight w:val="241"/>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(0.6)%</w:t>
            </w:r>
          </w:p>
        </w:tc>
      </w:tr>
      <w:tr>
        <w:trPr>
          <w:trHeight w:val="239"/>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and US Governments bonds, with tenure equal to the expected life. The expected dividend yield is zero considering the stage of the Group.</w:t>
      </w:r>
    </w:p>
    <w:p>
      <w:pPr>
        <w:spacing w:after="0" w:line="150"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On February 5, 2021, the Company’s ordinary shares began trading on the Nasdaq Stock Exchange. From that date, the shares of the Company were traded at a regulated stock exchange. For the determination of the fair value on the grant date, the opening price on the grant date is used.</w:t>
      </w:r>
    </w:p>
    <w:p>
      <w:pPr>
        <w:spacing w:after="0" w:line="11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Reference is made to Note 5 for allocation of expenses in lines of the unaudited condensed consolidated statement of income or loss and other comprehensive income (loss).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Basic and diluted loss per share</w:t>
      </w:r>
    </w:p>
    <w:p>
      <w:pPr>
        <w:spacing w:after="0" w:line="2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three months ended March 31, 2021 and March 31,2020.</w:t>
      </w:r>
    </w:p>
    <w:p>
      <w:pPr>
        <w:ind w:right="900"/>
        <w:spacing w:after="0" w:line="248"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ind w:right="20"/>
        <w:spacing w:after="0" w:line="318" w:lineRule="auto"/>
        <w:rPr>
          <w:sz w:val="20"/>
          <w:szCs w:val="20"/>
          <w:color w:val="auto"/>
        </w:rPr>
      </w:pPr>
      <w:r>
        <w:rPr>
          <w:rFonts w:ascii="Arial" w:cs="Arial" w:eastAsia="Arial" w:hAnsi="Arial"/>
          <w:sz w:val="16"/>
          <w:szCs w:val="16"/>
          <w:color w:val="auto"/>
        </w:rPr>
        <w:t>Potentially dilutive shares that were not included in the diluted per share calculations because they would be anti-dilutive were 5,242,850 Series A preferred shared and 3,003,391 Series B preferred shares as of March 31, 2020. All the preferred shares were converted to common shares on the date</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7" w:name="page38"/>
    <w:bookmarkEnd w:id="37"/>
    <w:p>
      <w:pPr>
        <w:ind w:right="660"/>
        <w:spacing w:after="0" w:line="271" w:lineRule="auto"/>
        <w:rPr>
          <w:sz w:val="20"/>
          <w:szCs w:val="20"/>
          <w:color w:val="auto"/>
        </w:rPr>
      </w:pPr>
      <w:r>
        <w:rPr>
          <w:rFonts w:ascii="Arial" w:cs="Arial" w:eastAsia="Arial" w:hAnsi="Arial"/>
          <w:sz w:val="18"/>
          <w:szCs w:val="18"/>
          <w:color w:val="auto"/>
        </w:rPr>
        <w:t>that the Company completed its listing at Nasdaq. All the options outstanding as of March 31, 2021 and 2020 were anti-dilutive and were not included in the diluted per share calculations.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720"/>
        <w:spacing w:after="0" w:line="344" w:lineRule="auto"/>
        <w:rPr>
          <w:sz w:val="20"/>
          <w:szCs w:val="20"/>
          <w:color w:val="auto"/>
        </w:rPr>
      </w:pPr>
      <w:r>
        <w:rPr>
          <w:rFonts w:ascii="Arial" w:cs="Arial" w:eastAsia="Arial" w:hAnsi="Arial"/>
          <w:sz w:val="18"/>
          <w:szCs w:val="18"/>
          <w:color w:val="auto"/>
        </w:rPr>
        <w:t>Loss attributable to equity holders of the Company Weighted average number of ordinary shares outstanding 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-572135</wp:posOffset>
            </wp:positionV>
            <wp:extent cx="7133590" cy="178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wp:posOffset>
            </wp:positionV>
            <wp:extent cx="7133590" cy="178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76" w:lineRule="exact"/>
        <w:rPr>
          <w:sz w:val="20"/>
          <w:szCs w:val="20"/>
          <w:color w:val="auto"/>
        </w:rPr>
      </w:pPr>
    </w:p>
    <w:p>
      <w:pPr>
        <w:ind w:right="4080" w:firstLine="7"/>
        <w:spacing w:after="0" w:line="275" w:lineRule="auto"/>
        <w:tabs>
          <w:tab w:leader="none" w:pos="28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Claims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March 31,</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March 31,</w:t>
            </w:r>
          </w:p>
        </w:tc>
      </w:tr>
      <w:tr>
        <w:trPr>
          <w:trHeight w:val="228"/>
        </w:trPr>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r>
      <w:tr>
        <w:trPr>
          <w:trHeight w:val="273"/>
        </w:trPr>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81"/>
        </w:trPr>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(6,041,628)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(3,276,355)</w:t>
            </w:r>
          </w:p>
        </w:tc>
      </w:tr>
      <w:tr>
        <w:trPr>
          <w:trHeight w:val="294"/>
        </w:trPr>
        <w:tc>
          <w:tcPr>
            <w:tcW w:w="1560" w:type="dxa"/>
            <w:vAlign w:val="bottom"/>
          </w:tcPr>
          <w:p>
            <w:pPr>
              <w:jc w:val="right"/>
              <w:spacing w:after="0"/>
              <w:rPr>
                <w:sz w:val="20"/>
                <w:szCs w:val="20"/>
                <w:color w:val="auto"/>
              </w:rPr>
            </w:pPr>
            <w:r>
              <w:rPr>
                <w:rFonts w:ascii="Arial" w:cs="Arial" w:eastAsia="Arial" w:hAnsi="Arial"/>
                <w:sz w:val="18"/>
                <w:szCs w:val="18"/>
                <w:color w:val="auto"/>
              </w:rPr>
              <w:t>9,104,630</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4,850,000</w:t>
            </w:r>
          </w:p>
        </w:tc>
        <w:tc>
          <w:tcPr>
            <w:tcW w:w="60" w:type="dxa"/>
            <w:vAlign w:val="bottom"/>
          </w:tcPr>
          <w:p>
            <w:pPr>
              <w:spacing w:after="0"/>
              <w:rPr>
                <w:sz w:val="24"/>
                <w:szCs w:val="24"/>
                <w:color w:val="auto"/>
              </w:rPr>
            </w:pPr>
          </w:p>
        </w:tc>
      </w:tr>
      <w:tr>
        <w:trPr>
          <w:trHeight w:val="281"/>
        </w:trPr>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(0.68)</w:t>
            </w:r>
          </w:p>
        </w:tc>
      </w:tr>
    </w:tbl>
    <w:p>
      <w:pPr>
        <w:spacing w:after="0" w:line="1374" w:lineRule="exact"/>
        <w:rPr>
          <w:sz w:val="20"/>
          <w:szCs w:val="20"/>
          <w:color w:val="auto"/>
        </w:rPr>
      </w:pPr>
    </w:p>
    <w:p>
      <w:pPr>
        <w:sectPr>
          <w:pgSz w:w="11900" w:h="16838" w:orient="portrait"/>
          <w:cols w:equalWidth="0" w:num="2">
            <w:col w:w="7000" w:space="720"/>
            <w:col w:w="3520"/>
          </w:cols>
          <w:pgMar w:left="320" w:top="459"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commitments</w:t>
      </w:r>
    </w:p>
    <w:p>
      <w:pPr>
        <w:spacing w:after="0" w:line="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Group’s research and development commitments amounted to €11,278,000 as at March 31, 2021 (December 31, 2020: €11,351,000), all of which are due within 3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contingent liabilities and no contingent assets as at March 31, 2021 and at March 31, 2020,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parties</w:t>
      </w:r>
    </w:p>
    <w:p>
      <w:pPr>
        <w:spacing w:after="0" w:line="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Charité Research Organisation GmbH (Charité CRO)</w:t>
      </w:r>
    </w:p>
    <w:p>
      <w:pPr>
        <w:spacing w:after="0" w:line="2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CRO. The Group has entered into a service contract with Charité CRO according to which Charité CRO provides services supporting research for the Group. The aggregate transaction value of the transactions with Charité CRO during the three months ended March 31, 2021 and 2020 were €608 and €600,292, respectively. The outstanding balances with Charité CRO amounts €608 and €3,692 on March 31, 2021 and December 31, 2020, respectively.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r>
              <w:rPr>
                <w:rFonts w:ascii="Arial" w:cs="Arial" w:eastAsia="Arial" w:hAnsi="Arial"/>
                <w:sz w:val="18"/>
                <w:szCs w:val="18"/>
                <w:b w:val="1"/>
                <w:bCs w:val="1"/>
                <w:color w:val="auto"/>
              </w:rPr>
              <w:t>Key management personnel compensation</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5"/>
        </w:trPr>
        <w:tc>
          <w:tcPr>
            <w:tcW w:w="7720" w:type="dxa"/>
            <w:vAlign w:val="bottom"/>
          </w:tcPr>
          <w:p>
            <w:pPr>
              <w:spacing w:after="0"/>
              <w:rPr>
                <w:sz w:val="24"/>
                <w:szCs w:val="24"/>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Three months ended</w:t>
            </w:r>
          </w:p>
        </w:tc>
      </w:tr>
      <w:tr>
        <w:trPr>
          <w:trHeight w:val="228"/>
        </w:trPr>
        <w:tc>
          <w:tcPr>
            <w:tcW w:w="7720" w:type="dxa"/>
            <w:vAlign w:val="bottom"/>
          </w:tcPr>
          <w:p>
            <w:pPr>
              <w:spacing w:after="0"/>
              <w:rPr>
                <w:sz w:val="19"/>
                <w:szCs w:val="19"/>
                <w:color w:val="auto"/>
              </w:rPr>
            </w:pPr>
          </w:p>
        </w:tc>
        <w:tc>
          <w:tcPr>
            <w:tcW w:w="2260" w:type="dxa"/>
            <w:vAlign w:val="bottom"/>
            <w:tcBorders>
              <w:bottom w:val="single" w:sz="8" w:color="auto"/>
            </w:tcBorders>
            <w:gridSpan w:val="3"/>
          </w:tcPr>
          <w:p>
            <w:pPr>
              <w:jc w:val="center"/>
              <w:ind w:left="1051"/>
              <w:spacing w:after="0"/>
              <w:rPr>
                <w:sz w:val="20"/>
                <w:szCs w:val="20"/>
                <w:color w:val="auto"/>
              </w:rPr>
            </w:pPr>
            <w:r>
              <w:rPr>
                <w:rFonts w:ascii="Arial" w:cs="Arial" w:eastAsia="Arial" w:hAnsi="Arial"/>
                <w:sz w:val="18"/>
                <w:szCs w:val="18"/>
                <w:color w:val="auto"/>
                <w:w w:val="94"/>
              </w:rPr>
              <w:t>March 31,</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r>
      <w:tr>
        <w:trPr>
          <w:trHeight w:val="23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Short term employee benefits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541,228</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425,082</w:t>
            </w:r>
          </w:p>
        </w:tc>
        <w:tc>
          <w:tcPr>
            <w:tcW w:w="120" w:type="dxa"/>
            <w:vAlign w:val="bottom"/>
            <w:shd w:val="clear" w:color="auto" w:fill="CFF0FC"/>
          </w:tcPr>
          <w:p>
            <w:pPr>
              <w:spacing w:after="0"/>
              <w:rPr>
                <w:sz w:val="20"/>
                <w:szCs w:val="20"/>
                <w:color w:val="auto"/>
              </w:rPr>
            </w:pPr>
          </w:p>
        </w:tc>
      </w:tr>
      <w:tr>
        <w:trPr>
          <w:trHeight w:val="240"/>
        </w:trPr>
        <w:tc>
          <w:tcPr>
            <w:tcW w:w="7720" w:type="dxa"/>
            <w:vAlign w:val="bottom"/>
          </w:tcPr>
          <w:p>
            <w:pPr>
              <w:spacing w:after="0"/>
              <w:rPr>
                <w:sz w:val="20"/>
                <w:szCs w:val="20"/>
                <w:color w:val="auto"/>
              </w:rPr>
            </w:pPr>
            <w:r>
              <w:rPr>
                <w:rFonts w:ascii="Arial" w:cs="Arial" w:eastAsia="Arial" w:hAnsi="Arial"/>
                <w:sz w:val="18"/>
                <w:szCs w:val="18"/>
                <w:color w:val="auto"/>
              </w:rPr>
              <w:t>Post employee benefits</w:t>
            </w:r>
          </w:p>
        </w:tc>
        <w:tc>
          <w:tcPr>
            <w:tcW w:w="1560" w:type="dxa"/>
            <w:vAlign w:val="bottom"/>
          </w:tcPr>
          <w:p>
            <w:pPr>
              <w:jc w:val="right"/>
              <w:spacing w:after="0"/>
              <w:rPr>
                <w:sz w:val="20"/>
                <w:szCs w:val="20"/>
                <w:color w:val="auto"/>
              </w:rPr>
            </w:pPr>
            <w:r>
              <w:rPr>
                <w:rFonts w:ascii="Arial" w:cs="Arial" w:eastAsia="Arial" w:hAnsi="Arial"/>
                <w:sz w:val="18"/>
                <w:szCs w:val="18"/>
                <w:color w:val="auto"/>
              </w:rPr>
              <w:t>15,477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1,297,662</w:t>
            </w:r>
          </w:p>
        </w:tc>
        <w:tc>
          <w:tcPr>
            <w:tcW w:w="28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131,295</w:t>
            </w:r>
          </w:p>
        </w:tc>
        <w:tc>
          <w:tcPr>
            <w:tcW w:w="120" w:type="dxa"/>
            <w:vAlign w:val="bottom"/>
            <w:shd w:val="clear" w:color="auto" w:fill="CFF0FC"/>
          </w:tcPr>
          <w:p>
            <w:pPr>
              <w:spacing w:after="0"/>
              <w:rPr>
                <w:sz w:val="20"/>
                <w:szCs w:val="20"/>
                <w:color w:val="auto"/>
              </w:rPr>
            </w:pPr>
          </w:p>
        </w:tc>
      </w:tr>
      <w:tr>
        <w:trPr>
          <w:trHeight w:val="23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1,854,367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556,377</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761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38" w:name="page39"/>
    <w:bookmarkEnd w:id="38"/>
    <w:p>
      <w:pPr>
        <w:jc w:val="both"/>
        <w:ind w:right="400"/>
        <w:spacing w:after="0" w:line="259" w:lineRule="auto"/>
        <w:rPr>
          <w:sz w:val="20"/>
          <w:szCs w:val="20"/>
          <w:color w:val="auto"/>
        </w:rPr>
      </w:pPr>
      <w:r>
        <w:rPr>
          <w:rFonts w:ascii="Arial" w:cs="Arial" w:eastAsia="Arial" w:hAnsi="Arial"/>
          <w:sz w:val="18"/>
          <w:szCs w:val="18"/>
          <w:color w:val="auto"/>
        </w:rPr>
        <w:t>An amount of €32,000 (2020: 247,000) of the short-term employee benefits is capitalized in the unaudited condensed consolidated statements of financial position and will be recognized in the Group’s statements of profit or loss and other comprehensive income in the period between April 2021 and June 2021.</w:t>
      </w:r>
    </w:p>
    <w:p>
      <w:pPr>
        <w:spacing w:after="0" w:line="14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 total of 980,000 stock options are granted to key management during the three months ended March 31, 2020. Refer to note 17 for disclosures on the share-based payments.</w:t>
      </w:r>
    </w:p>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Group engages several management entities for the purpose of providing key management services to the Group. The aggregate value of transactions related to key management personnel, or entities which they control were €764,258 and €457,034 in the three months ended March 31, 2021 and 2020, respectively.</w:t>
      </w:r>
    </w:p>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outstanding balances payable to key management personnel, or entities which they control, as per March 31, 2021 and December 31, 2020 were €585,566 and €57,920,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Events after the reporting period</w:t>
      </w: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evaluated subsequent events through May 26, 2021, which is the date the condensed consolidated interim financial statements were authorized for issuance, and identified the following:</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April 29, 2021, the Company announced that Dr. Gaster will transition off of the Board of directors to focus on new investments, effective May 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May 1, 2021, Dr. R. Gaster resigned as member of the Board of directors.</w:t>
      </w:r>
    </w:p>
    <w:p>
      <w:pPr>
        <w:spacing w:after="0" w:line="22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On May 12, 2021, the Company announced the expansion of their leadership team through the appointment of Dr. W. Souverijns, as Chief Community Engagement &amp; Commercial Officer.</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26, 2021, the Company announced that the Board has nominated Ms. V. Monges to be appointed to the Board of Directors by the General Meeting at the Company's annual general meeting 2021 and, contingent on her appointment by the General Meeting, Ms. V. Monges will be the Chair of the Audit Committee.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61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Signatories to the unaudited condensed consolidated interim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Leiden, May 26,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D. Meeker</w:t>
      </w:r>
      <w:r>
        <w:rPr>
          <w:sz w:val="20"/>
          <w:szCs w:val="20"/>
          <w:color w:val="auto"/>
        </w:rPr>
        <w:tab/>
      </w:r>
      <w:r>
        <w:rPr>
          <w:rFonts w:ascii="Arial" w:cs="Arial" w:eastAsia="Arial" w:hAnsi="Arial"/>
          <w:sz w:val="18"/>
          <w:szCs w:val="18"/>
          <w:color w:val="auto"/>
        </w:rPr>
        <w:t>M. Kleijwegt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R.P.L. Droller</w:t>
      </w:r>
      <w:r>
        <w:rPr>
          <w:sz w:val="20"/>
          <w:szCs w:val="20"/>
          <w:color w:val="auto"/>
        </w:rPr>
        <w:tab/>
      </w:r>
      <w:r>
        <w:rPr>
          <w:rFonts w:ascii="Arial" w:cs="Arial" w:eastAsia="Arial" w:hAnsi="Arial"/>
          <w:sz w:val="18"/>
          <w:szCs w:val="18"/>
          <w:color w:val="auto"/>
        </w:rPr>
        <w:t>B.A.E. Modig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 Glassman</w:t>
      </w:r>
      <w:r>
        <w:rPr>
          <w:sz w:val="20"/>
          <w:szCs w:val="20"/>
          <w:color w:val="auto"/>
        </w:rPr>
        <w:tab/>
      </w:r>
      <w:r>
        <w:rPr>
          <w:rFonts w:ascii="Arial" w:cs="Arial" w:eastAsia="Arial" w:hAnsi="Arial"/>
          <w:sz w:val="16"/>
          <w:szCs w:val="16"/>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20" w:top="4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2021-05-26T08:32:28Z</dcterms:created>
  <dcterms:modified xsi:type="dcterms:W3CDTF">2021-05-26T08:32:28Z</dcterms:modified>
</cp:coreProperties>
</file>