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(Rule 13d-102)</w:t>
      </w:r>
    </w:p>
    <w:p>
      <w:pPr>
        <w:spacing w:after="0" w:line="182" w:lineRule="exact"/>
        <w:rPr>
          <w:sz w:val="24"/>
          <w:szCs w:val="24"/>
          <w:color w:val="auto"/>
        </w:rPr>
      </w:pPr>
    </w:p>
    <w:p>
      <w:pPr>
        <w:jc w:val="center"/>
        <w:ind w:left="500" w:right="264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 240.13d-1(b), (c) and (d) and Amendments Thereto Filed Pursuant to § 240.13d-2</w:t>
      </w:r>
    </w:p>
    <w:p>
      <w:pPr>
        <w:spacing w:after="0" w:line="17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tabs>
          <w:tab w:leader="none" w:pos="26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PHARVARIS N.V.</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Ordinary shares, €0.12</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par value per share</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N696051080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February 9,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7"/>
          <w:szCs w:val="17"/>
          <w:color w:val="auto"/>
        </w:rPr>
        <w:t>The information required in the remainder of this cover page shall not be deemed to be “filed” for the purpose of Section 18 of the Securities</w:t>
      </w:r>
    </w:p>
    <w:p>
      <w:pPr>
        <w:spacing w:after="0" w:line="35" w:lineRule="exact"/>
        <w:rPr>
          <w:sz w:val="24"/>
          <w:szCs w:val="24"/>
          <w:color w:val="auto"/>
        </w:rPr>
      </w:pPr>
    </w:p>
    <w:p>
      <w:pPr>
        <w:ind w:right="440"/>
        <w:spacing w:after="0" w:line="260" w:lineRule="auto"/>
        <w:rPr>
          <w:sz w:val="20"/>
          <w:szCs w:val="20"/>
          <w:color w:val="auto"/>
        </w:rPr>
      </w:pPr>
      <w:r>
        <w:rPr>
          <w:rFonts w:ascii="Arial" w:cs="Arial" w:eastAsia="Arial" w:hAnsi="Arial"/>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195580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spacing w:after="0"/>
        <w:tabs>
          <w:tab w:leader="none" w:pos="538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N696051080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7 Pages</w:t>
      </w:r>
    </w:p>
    <w:p>
      <w:pPr>
        <w:spacing w:after="0" w:line="144" w:lineRule="exact"/>
        <w:rPr>
          <w:sz w:val="20"/>
          <w:szCs w:val="20"/>
          <w:color w:val="auto"/>
        </w:rPr>
      </w:pPr>
    </w:p>
    <w:p>
      <w:pPr>
        <w:ind w:left="620" w:hanging="377"/>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Bain Capital Life Sciences Fund, L.P.</w:t>
      </w:r>
    </w:p>
    <w:p>
      <w:pPr>
        <w:spacing w:after="0" w:line="36" w:lineRule="exact"/>
        <w:rPr>
          <w:sz w:val="20"/>
          <w:szCs w:val="20"/>
          <w:color w:val="auto"/>
        </w:rPr>
      </w:pPr>
    </w:p>
    <w:p>
      <w:pPr>
        <w:ind w:left="620" w:hanging="377"/>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Cayman Islands</w:t>
      </w:r>
    </w:p>
    <w:p>
      <w:pPr>
        <w:spacing w:after="0" w:line="36" w:lineRule="exact"/>
        <w:rPr>
          <w:sz w:val="20"/>
          <w:szCs w:val="20"/>
          <w:color w:val="auto"/>
        </w:rPr>
      </w:pPr>
    </w:p>
    <w:p>
      <w:pPr>
        <w:ind w:left="1620" w:hanging="396"/>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tcBorders>
          </w:tcPr>
          <w:p>
            <w:pPr>
              <w:spacing w:after="0"/>
              <w:rPr>
                <w:sz w:val="21"/>
                <w:szCs w:val="21"/>
                <w:color w:val="auto"/>
              </w:rPr>
            </w:pPr>
          </w:p>
        </w:tc>
        <w:tc>
          <w:tcPr>
            <w:tcW w:w="9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 Ordinary Shares</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56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40" w:type="dxa"/>
            <w:vAlign w:val="bottom"/>
          </w:tcPr>
          <w:p>
            <w:pPr>
              <w:spacing w:after="0"/>
              <w:rPr>
                <w:sz w:val="18"/>
                <w:szCs w:val="18"/>
                <w:color w:val="auto"/>
              </w:rPr>
            </w:pPr>
          </w:p>
        </w:tc>
        <w:tc>
          <w:tcPr>
            <w:tcW w:w="9560" w:type="dxa"/>
            <w:vAlign w:val="bottom"/>
            <w:vMerge w:val="restart"/>
          </w:tcPr>
          <w:p>
            <w:pPr>
              <w:ind w:left="160"/>
              <w:spacing w:after="0"/>
              <w:rPr>
                <w:sz w:val="20"/>
                <w:szCs w:val="20"/>
                <w:color w:val="auto"/>
              </w:rPr>
            </w:pPr>
            <w:r>
              <w:rPr>
                <w:rFonts w:ascii="Arial" w:cs="Arial" w:eastAsia="Arial" w:hAnsi="Arial"/>
                <w:sz w:val="18"/>
                <w:szCs w:val="18"/>
                <w:color w:val="auto"/>
              </w:rPr>
              <w:t>2,885,266 Ordinary Shares</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tcBorders>
          </w:tcPr>
          <w:p>
            <w:pPr>
              <w:spacing w:after="0"/>
              <w:rPr>
                <w:sz w:val="20"/>
                <w:szCs w:val="20"/>
                <w:color w:val="auto"/>
              </w:rPr>
            </w:pPr>
          </w:p>
        </w:tc>
        <w:tc>
          <w:tcPr>
            <w:tcW w:w="95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56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4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40" w:type="dxa"/>
            <w:vAlign w:val="bottom"/>
          </w:tcPr>
          <w:p>
            <w:pPr>
              <w:spacing w:after="0"/>
              <w:rPr>
                <w:sz w:val="18"/>
                <w:szCs w:val="18"/>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0 Ordinary Shares</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tcBorders>
          </w:tcPr>
          <w:p>
            <w:pPr>
              <w:spacing w:after="0"/>
              <w:rPr>
                <w:sz w:val="5"/>
                <w:szCs w:val="5"/>
                <w:color w:val="auto"/>
              </w:rPr>
            </w:pPr>
          </w:p>
        </w:tc>
        <w:tc>
          <w:tcPr>
            <w:tcW w:w="9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56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2,885,266 Ordinary Shares</w:t>
      </w:r>
    </w:p>
    <w:p>
      <w:pPr>
        <w:spacing w:after="0" w:line="36" w:lineRule="exact"/>
        <w:rPr>
          <w:sz w:val="20"/>
          <w:szCs w:val="20"/>
          <w:color w:val="auto"/>
        </w:rPr>
      </w:pPr>
    </w:p>
    <w:p>
      <w:pPr>
        <w:ind w:left="600" w:hanging="357"/>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2,885,266 Ordinary Shares</w:t>
      </w:r>
    </w:p>
    <w:p>
      <w:pPr>
        <w:spacing w:after="0" w:line="36" w:lineRule="exact"/>
        <w:rPr>
          <w:sz w:val="20"/>
          <w:szCs w:val="20"/>
          <w:color w:val="auto"/>
        </w:rPr>
      </w:pPr>
    </w:p>
    <w:p>
      <w:pPr>
        <w:ind w:left="620" w:hanging="467"/>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6740" w:hanging="467"/>
        <w:spacing w:after="0" w:line="402"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 9.1%</w:t>
      </w:r>
    </w:p>
    <w:p>
      <w:pPr>
        <w:spacing w:after="0" w:line="1" w:lineRule="exact"/>
        <w:rPr>
          <w:rFonts w:ascii="Arial" w:cs="Arial" w:eastAsia="Arial" w:hAnsi="Arial"/>
          <w:sz w:val="18"/>
          <w:szCs w:val="18"/>
          <w:color w:val="auto"/>
        </w:rPr>
      </w:pPr>
    </w:p>
    <w:p>
      <w:pPr>
        <w:ind w:left="600" w:hanging="447"/>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1020"/>
          </w:cols>
          <w:pgMar w:left="440" w:top="274" w:right="439" w:bottom="1440" w:gutter="0" w:footer="0" w:header="0"/>
        </w:sectPr>
      </w:pPr>
    </w:p>
    <w:bookmarkStart w:id="2" w:name="page3"/>
    <w:bookmarkEnd w:id="2"/>
    <w:p>
      <w:pPr>
        <w:spacing w:after="0"/>
        <w:tabs>
          <w:tab w:leader="none" w:pos="538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N696051080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7 Pages</w:t>
      </w:r>
    </w:p>
    <w:p>
      <w:pPr>
        <w:spacing w:after="0" w:line="144" w:lineRule="exact"/>
        <w:rPr>
          <w:sz w:val="20"/>
          <w:szCs w:val="20"/>
          <w:color w:val="auto"/>
        </w:rPr>
      </w:pPr>
    </w:p>
    <w:p>
      <w:pPr>
        <w:ind w:left="620" w:hanging="377"/>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BCIP Life Sciences Associates, LP</w:t>
      </w:r>
    </w:p>
    <w:p>
      <w:pPr>
        <w:spacing w:after="0" w:line="36" w:lineRule="exact"/>
        <w:rPr>
          <w:sz w:val="20"/>
          <w:szCs w:val="20"/>
          <w:color w:val="auto"/>
        </w:rPr>
      </w:pPr>
    </w:p>
    <w:p>
      <w:pPr>
        <w:ind w:left="620" w:hanging="377"/>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956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73"/>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tcBorders>
          </w:tcPr>
          <w:p>
            <w:pPr>
              <w:spacing w:after="0"/>
              <w:rPr>
                <w:sz w:val="24"/>
                <w:szCs w:val="24"/>
                <w:color w:val="auto"/>
              </w:rPr>
            </w:pPr>
          </w:p>
        </w:tc>
        <w:tc>
          <w:tcPr>
            <w:tcW w:w="9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 Ordinary Shares</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56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40" w:type="dxa"/>
            <w:vAlign w:val="bottom"/>
          </w:tcPr>
          <w:p>
            <w:pPr>
              <w:spacing w:after="0"/>
              <w:rPr>
                <w:sz w:val="18"/>
                <w:szCs w:val="18"/>
                <w:color w:val="auto"/>
              </w:rPr>
            </w:pPr>
          </w:p>
        </w:tc>
        <w:tc>
          <w:tcPr>
            <w:tcW w:w="9560" w:type="dxa"/>
            <w:vAlign w:val="bottom"/>
            <w:vMerge w:val="restart"/>
          </w:tcPr>
          <w:p>
            <w:pPr>
              <w:ind w:left="160"/>
              <w:spacing w:after="0"/>
              <w:rPr>
                <w:sz w:val="20"/>
                <w:szCs w:val="20"/>
                <w:color w:val="auto"/>
              </w:rPr>
            </w:pPr>
            <w:r>
              <w:rPr>
                <w:rFonts w:ascii="Arial" w:cs="Arial" w:eastAsia="Arial" w:hAnsi="Arial"/>
                <w:sz w:val="18"/>
                <w:szCs w:val="18"/>
                <w:color w:val="auto"/>
              </w:rPr>
              <w:t>295,335 Ordinary Shares</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tcBorders>
          </w:tcPr>
          <w:p>
            <w:pPr>
              <w:spacing w:after="0"/>
              <w:rPr>
                <w:sz w:val="20"/>
                <w:szCs w:val="20"/>
                <w:color w:val="auto"/>
              </w:rPr>
            </w:pPr>
          </w:p>
        </w:tc>
        <w:tc>
          <w:tcPr>
            <w:tcW w:w="95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56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4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40" w:type="dxa"/>
            <w:vAlign w:val="bottom"/>
          </w:tcPr>
          <w:p>
            <w:pPr>
              <w:spacing w:after="0"/>
              <w:rPr>
                <w:sz w:val="18"/>
                <w:szCs w:val="18"/>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0 Ordinary Shares</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tcBorders>
          </w:tcPr>
          <w:p>
            <w:pPr>
              <w:spacing w:after="0"/>
              <w:rPr>
                <w:sz w:val="5"/>
                <w:szCs w:val="5"/>
                <w:color w:val="auto"/>
              </w:rPr>
            </w:pPr>
          </w:p>
        </w:tc>
        <w:tc>
          <w:tcPr>
            <w:tcW w:w="9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56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295,335 Ordinary Shares</w:t>
      </w:r>
    </w:p>
    <w:p>
      <w:pPr>
        <w:spacing w:after="0" w:line="36" w:lineRule="exact"/>
        <w:rPr>
          <w:sz w:val="20"/>
          <w:szCs w:val="20"/>
          <w:color w:val="auto"/>
        </w:rPr>
      </w:pPr>
    </w:p>
    <w:p>
      <w:pPr>
        <w:ind w:left="600" w:hanging="357"/>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295,335 Ordinary Shares</w:t>
      </w:r>
    </w:p>
    <w:p>
      <w:pPr>
        <w:spacing w:after="0" w:line="36" w:lineRule="exact"/>
        <w:rPr>
          <w:sz w:val="20"/>
          <w:szCs w:val="20"/>
          <w:color w:val="auto"/>
        </w:rPr>
      </w:pPr>
    </w:p>
    <w:p>
      <w:pPr>
        <w:ind w:left="620" w:hanging="467"/>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6740" w:hanging="467"/>
        <w:spacing w:after="0" w:line="402"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9 0.9%</w:t>
      </w:r>
    </w:p>
    <w:p>
      <w:pPr>
        <w:spacing w:after="0" w:line="1" w:lineRule="exact"/>
        <w:rPr>
          <w:rFonts w:ascii="Arial" w:cs="Arial" w:eastAsia="Arial" w:hAnsi="Arial"/>
          <w:sz w:val="18"/>
          <w:szCs w:val="18"/>
          <w:color w:val="auto"/>
        </w:rPr>
      </w:pPr>
    </w:p>
    <w:p>
      <w:pPr>
        <w:ind w:left="600" w:hanging="447"/>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1020"/>
          </w:cols>
          <w:pgMar w:left="440" w:top="274" w:right="439" w:bottom="1440" w:gutter="0" w:footer="0" w:header="0"/>
        </w:sectPr>
      </w:pPr>
    </w:p>
    <w:bookmarkStart w:id="3" w:name="page4"/>
    <w:bookmarkEnd w:id="3"/>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issuer to which this filing on Schedule 13G relates is Pharvaris N.V. (the “Issuer”).</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principal executive offices of the Issuer are located at J.H. Oortweg 21, 2333 CH Leiden, the Netherlands.</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This Schedule 13G is being filed jointly by Bain Capital Life Sciences Fund, L.P., a Cayman exempted limited partnership (“BCLS”), and BCIP Life Sciences Associates, LP, a Delaware limited partnership (“BCIPLS” and, together with BCLS, the “Reporting Persons”).</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Bain Capital Life Sciences Investors, LLC, a Delaware limited liability company (“BCLSI”), whose managers are Jeffrey Schwartz and Adam Koppel, is the general partner of Bain Capital Life Sciences Partners, LP, a Cayman exempted limited partnership (“BCLSP”), which is the general partner of BCLS.</w:t>
      </w:r>
    </w:p>
    <w:p>
      <w:pPr>
        <w:spacing w:after="0" w:line="18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Boylston Coinvestors, LLC, a Delaware limited liability company (“Boylston”), is the general partner of BCIPLS. BCLSI governs the investment strategy and decision-making process with respect to investments held by BCIPLS.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 result, each of BCLSI, Mr. Schwartz and Dr. Koppel may be deemed to share voting and dispositive power with respect to the securities held by the Reporting Persons.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Reporting Persons have entered into a Joint Filing Agreement, dated February 19, 2021, pursuant to which the Reporting Persons have agreed to file this Schedule 13G jointly in accordance with the provisions of Rule 13d-1(k)(1) promulgated under the Act.</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principal business address of each of the Reporting Persons, BCLSI, BCLSP, Boylston, Mr. Schwartz and Dr. Koppel is 200 Clarendon Street, Boston, Massachusetts 02116.</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BCLS and BCLSP are each organized under the laws of the Cayman Islands. BCIPLS, BCLSI and Boylston are each organized under the laws of the State of Delaware. Mr. Schwartz and Dr. Koppel are citizens of the United States.</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class of securities of the Issuer to which this Schedule 13G relates is ordinary shares, €0.12 par value per share (“Ordinary Shares”).</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CUSIP number of the Ordinary Shares is N696051080.</w:t>
      </w:r>
    </w:p>
    <w:p>
      <w:pPr>
        <w:sectPr>
          <w:pgSz w:w="11900" w:h="16838" w:orient="portrait"/>
          <w:cols w:equalWidth="0" w:num="1">
            <w:col w:w="11000"/>
          </w:cols>
          <w:pgMar w:left="440" w:top="270" w:right="459" w:bottom="1440" w:gutter="0" w:footer="0" w:header="0"/>
        </w:sectPr>
      </w:pPr>
    </w:p>
    <w:bookmarkStart w:id="4" w:name="page5"/>
    <w:bookmarkEnd w:id="4"/>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02" w:lineRule="exact"/>
        <w:rPr>
          <w:sz w:val="20"/>
          <w:szCs w:val="20"/>
          <w:color w:val="auto"/>
        </w:rPr>
      </w:pPr>
    </w:p>
    <w:p>
      <w:pPr>
        <w:ind w:left="244" w:hanging="244"/>
        <w:spacing w:after="0" w:line="207" w:lineRule="exact"/>
        <w:tabs>
          <w:tab w:leader="none" w:pos="244"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130" w:lineRule="exact"/>
        <w:rPr>
          <w:rFonts w:ascii="Arial" w:cs="Arial" w:eastAsia="Arial" w:hAnsi="Arial"/>
          <w:sz w:val="18"/>
          <w:szCs w:val="18"/>
          <w:color w:val="auto"/>
        </w:rPr>
      </w:pPr>
    </w:p>
    <w:p>
      <w:pPr>
        <w:ind w:left="264" w:hanging="264"/>
        <w:spacing w:after="0" w:line="207" w:lineRule="exact"/>
        <w:tabs>
          <w:tab w:leader="none" w:pos="264"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130" w:lineRule="exact"/>
        <w:rPr>
          <w:rFonts w:ascii="Arial" w:cs="Arial" w:eastAsia="Arial" w:hAnsi="Arial"/>
          <w:sz w:val="18"/>
          <w:szCs w:val="18"/>
          <w:color w:val="auto"/>
        </w:rPr>
      </w:pPr>
    </w:p>
    <w:p>
      <w:pPr>
        <w:ind w:left="244" w:hanging="244"/>
        <w:spacing w:after="0" w:line="207" w:lineRule="exact"/>
        <w:tabs>
          <w:tab w:leader="none" w:pos="244"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130" w:lineRule="exact"/>
        <w:rPr>
          <w:rFonts w:ascii="Arial" w:cs="Arial" w:eastAsia="Arial" w:hAnsi="Arial"/>
          <w:sz w:val="18"/>
          <w:szCs w:val="18"/>
          <w:color w:val="auto"/>
        </w:rPr>
      </w:pPr>
    </w:p>
    <w:p>
      <w:pPr>
        <w:ind w:left="264" w:hanging="264"/>
        <w:spacing w:after="0" w:line="207" w:lineRule="exact"/>
        <w:tabs>
          <w:tab w:leader="none" w:pos="264"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130" w:lineRule="exact"/>
        <w:rPr>
          <w:rFonts w:ascii="Arial" w:cs="Arial" w:eastAsia="Arial" w:hAnsi="Arial"/>
          <w:sz w:val="18"/>
          <w:szCs w:val="18"/>
          <w:color w:val="auto"/>
        </w:rPr>
      </w:pPr>
    </w:p>
    <w:p>
      <w:pPr>
        <w:ind w:left="244" w:hanging="244"/>
        <w:spacing w:after="0" w:line="207" w:lineRule="exact"/>
        <w:tabs>
          <w:tab w:leader="none" w:pos="244"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 240.13d-1(b)(1)(ii)(E);</w:t>
      </w:r>
    </w:p>
    <w:p>
      <w:pPr>
        <w:spacing w:after="0" w:line="130" w:lineRule="exact"/>
        <w:rPr>
          <w:rFonts w:ascii="Arial" w:cs="Arial" w:eastAsia="Arial" w:hAnsi="Arial"/>
          <w:sz w:val="18"/>
          <w:szCs w:val="18"/>
          <w:color w:val="auto"/>
        </w:rPr>
      </w:pPr>
    </w:p>
    <w:p>
      <w:pPr>
        <w:ind w:left="224" w:hanging="224"/>
        <w:spacing w:after="0" w:line="207" w:lineRule="exact"/>
        <w:tabs>
          <w:tab w:leader="none" w:pos="224"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 240.13d-1(b)(1)(ii)(F);</w:t>
      </w:r>
    </w:p>
    <w:p>
      <w:pPr>
        <w:spacing w:after="0" w:line="130" w:lineRule="exact"/>
        <w:rPr>
          <w:rFonts w:ascii="Arial" w:cs="Arial" w:eastAsia="Arial" w:hAnsi="Arial"/>
          <w:sz w:val="18"/>
          <w:szCs w:val="18"/>
          <w:color w:val="auto"/>
        </w:rPr>
      </w:pPr>
    </w:p>
    <w:p>
      <w:pPr>
        <w:ind w:left="264" w:hanging="264"/>
        <w:spacing w:after="0" w:line="207" w:lineRule="exact"/>
        <w:tabs>
          <w:tab w:leader="none" w:pos="264"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240.13d-1(b)(1)(ii)(G);</w:t>
      </w:r>
    </w:p>
    <w:p>
      <w:pPr>
        <w:spacing w:after="0" w:line="130" w:lineRule="exact"/>
        <w:rPr>
          <w:rFonts w:ascii="Arial" w:cs="Arial" w:eastAsia="Arial" w:hAnsi="Arial"/>
          <w:sz w:val="18"/>
          <w:szCs w:val="18"/>
          <w:color w:val="auto"/>
        </w:rPr>
      </w:pPr>
    </w:p>
    <w:p>
      <w:pPr>
        <w:ind w:left="264" w:hanging="264"/>
        <w:spacing w:after="0" w:line="207" w:lineRule="exact"/>
        <w:tabs>
          <w:tab w:leader="none" w:pos="264"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 (12 U.S.C. 1813);</w:t>
      </w:r>
    </w:p>
    <w:p>
      <w:pPr>
        <w:spacing w:after="0" w:line="130" w:lineRule="exact"/>
        <w:rPr>
          <w:rFonts w:ascii="Arial" w:cs="Arial" w:eastAsia="Arial" w:hAnsi="Arial"/>
          <w:sz w:val="18"/>
          <w:szCs w:val="18"/>
          <w:color w:val="auto"/>
        </w:rPr>
      </w:pPr>
    </w:p>
    <w:p>
      <w:pPr>
        <w:ind w:left="884" w:right="520" w:hanging="884"/>
        <w:spacing w:after="0" w:line="223" w:lineRule="exact"/>
        <w:tabs>
          <w:tab w:leader="none" w:pos="221"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(15 U.S.C. 80a-3);</w:t>
      </w:r>
    </w:p>
    <w:p>
      <w:pPr>
        <w:spacing w:after="0" w:line="108" w:lineRule="exact"/>
        <w:rPr>
          <w:rFonts w:ascii="Arial" w:cs="Arial" w:eastAsia="Arial" w:hAnsi="Arial"/>
          <w:sz w:val="18"/>
          <w:szCs w:val="18"/>
          <w:color w:val="auto"/>
        </w:rPr>
      </w:pPr>
    </w:p>
    <w:p>
      <w:pPr>
        <w:ind w:left="224" w:hanging="224"/>
        <w:spacing w:after="0" w:line="207" w:lineRule="exact"/>
        <w:tabs>
          <w:tab w:leader="none" w:pos="224"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 240.13d-1(b)(1)(ii)(J);</w:t>
      </w:r>
    </w:p>
    <w:p>
      <w:pPr>
        <w:spacing w:after="0" w:line="130" w:lineRule="exact"/>
        <w:rPr>
          <w:rFonts w:ascii="Arial" w:cs="Arial" w:eastAsia="Arial" w:hAnsi="Arial"/>
          <w:sz w:val="18"/>
          <w:szCs w:val="18"/>
          <w:color w:val="auto"/>
        </w:rPr>
      </w:pPr>
    </w:p>
    <w:p>
      <w:pPr>
        <w:ind w:left="264" w:hanging="264"/>
        <w:spacing w:after="0" w:line="207" w:lineRule="exact"/>
        <w:tabs>
          <w:tab w:leader="none" w:pos="264"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 240.13d-1(b)(1)(ii)(K).</w:t>
      </w:r>
    </w:p>
    <w:p>
      <w:pPr>
        <w:spacing w:after="0" w:line="258"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filing as a non-U.S. institution in accordance with § 240.13d-1(b)(1)(ii)(J), please specify the type of institution:</w:t>
      </w:r>
    </w:p>
    <w:p>
      <w:pPr>
        <w:spacing w:after="0" w:line="37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 Amount beneficially owned:</w:t>
      </w:r>
    </w:p>
    <w:p>
      <w:pPr>
        <w:spacing w:after="0" w:line="121" w:lineRule="exact"/>
        <w:rPr>
          <w:sz w:val="20"/>
          <w:szCs w:val="20"/>
          <w:color w:val="auto"/>
        </w:rPr>
      </w:pPr>
    </w:p>
    <w:p>
      <w:pPr>
        <w:ind w:left="4" w:right="480"/>
        <w:spacing w:after="0" w:line="308" w:lineRule="auto"/>
        <w:rPr>
          <w:sz w:val="20"/>
          <w:szCs w:val="20"/>
          <w:color w:val="auto"/>
        </w:rPr>
      </w:pPr>
      <w:r>
        <w:rPr>
          <w:rFonts w:ascii="Arial" w:cs="Arial" w:eastAsia="Arial" w:hAnsi="Arial"/>
          <w:sz w:val="17"/>
          <w:szCs w:val="17"/>
          <w:color w:val="auto"/>
        </w:rPr>
        <w:t>As of the date hereof, BCLS holds 2,885,266 Ordinary Shares, representing approximately 9.1% of the Issuer’s outstanding Ordinary Shares, and BCIPLS holds 295,335 Ordinary Shares, representing approximately 0.9% of the Issuer’s outstanding Ordinary Shares.</w:t>
      </w:r>
    </w:p>
    <w:p>
      <w:pPr>
        <w:spacing w:after="0" w:line="146" w:lineRule="exact"/>
        <w:rPr>
          <w:sz w:val="20"/>
          <w:szCs w:val="20"/>
          <w:color w:val="auto"/>
        </w:rPr>
      </w:pPr>
    </w:p>
    <w:p>
      <w:pPr>
        <w:ind w:left="4" w:right="420"/>
        <w:spacing w:after="0" w:line="308" w:lineRule="auto"/>
        <w:rPr>
          <w:sz w:val="20"/>
          <w:szCs w:val="20"/>
          <w:color w:val="auto"/>
        </w:rPr>
      </w:pPr>
      <w:r>
        <w:rPr>
          <w:rFonts w:ascii="Arial" w:cs="Arial" w:eastAsia="Arial" w:hAnsi="Arial"/>
          <w:sz w:val="17"/>
          <w:szCs w:val="17"/>
          <w:color w:val="auto"/>
        </w:rPr>
        <w:t>As a result of the foregoing and the relationships described in Item 2(a), the Reporting Persons may be deemed to collectively beneficially own an aggregate of 3,180,601 Ordinary Shares, representing approximately 9.9% of the Issuer’s outstanding Ordinary Shares.</w:t>
      </w:r>
    </w:p>
    <w:p>
      <w:pPr>
        <w:spacing w:after="0" w:line="146"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The percentage of the Issuer’s outstanding Ordinary Shares held by the Reporting Persons is based on 31,839,776 Ordinary Shares issued and outstanding immediately following the closing of the Issuer’s initial public offering on February 9, 2021, as reported by the Issuer in its Prospectus filed with the Securities and Exchange Commission (the “SEC”) pursuant to Rule 424(b)(4) under the Securities Act of 1933, as amended, on February 8, 2021.</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 Percent of class: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Item 4(a) hereof.</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 Number of shares as to which the person has:</w:t>
      </w:r>
    </w:p>
    <w:p>
      <w:pPr>
        <w:spacing w:after="0" w:line="229" w:lineRule="exact"/>
        <w:rPr>
          <w:sz w:val="20"/>
          <w:szCs w:val="20"/>
          <w:color w:val="auto"/>
        </w:rPr>
      </w:pPr>
    </w:p>
    <w:p>
      <w:pPr>
        <w:ind w:left="4" w:right="7880" w:hanging="4"/>
        <w:spacing w:after="0" w:line="500" w:lineRule="auto"/>
        <w:tabs>
          <w:tab w:leader="none" w:pos="219"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Sole power to vote or to direct the vote: 0 Ordinary Shares</w:t>
      </w:r>
    </w:p>
    <w:p>
      <w:pPr>
        <w:spacing w:after="0" w:line="1" w:lineRule="exact"/>
        <w:rPr>
          <w:rFonts w:ascii="Arial" w:cs="Arial" w:eastAsia="Arial" w:hAnsi="Arial"/>
          <w:sz w:val="18"/>
          <w:szCs w:val="18"/>
          <w:color w:val="auto"/>
        </w:rPr>
      </w:pPr>
    </w:p>
    <w:p>
      <w:pPr>
        <w:ind w:left="264" w:hanging="264"/>
        <w:spacing w:after="0"/>
        <w:tabs>
          <w:tab w:leader="none" w:pos="2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31"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color w:val="auto"/>
        </w:rPr>
        <w:t>BCLS</w:t>
      </w:r>
      <w:r>
        <w:rPr>
          <w:sz w:val="20"/>
          <w:szCs w:val="20"/>
          <w:color w:val="auto"/>
        </w:rPr>
        <w:tab/>
      </w:r>
      <w:r>
        <w:rPr>
          <w:rFonts w:ascii="Arial" w:cs="Arial" w:eastAsia="Arial" w:hAnsi="Arial"/>
          <w:sz w:val="18"/>
          <w:szCs w:val="18"/>
          <w:color w:val="auto"/>
        </w:rPr>
        <w:t>2,885,266 Ordinary Shares</w:t>
      </w:r>
    </w:p>
    <w:p>
      <w:pPr>
        <w:spacing w:after="0" w:line="131"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color w:val="auto"/>
        </w:rPr>
        <w:t>BCIPLS</w:t>
      </w:r>
      <w:r>
        <w:rPr>
          <w:sz w:val="20"/>
          <w:szCs w:val="20"/>
          <w:color w:val="auto"/>
        </w:rPr>
        <w:tab/>
      </w:r>
      <w:r>
        <w:rPr>
          <w:rFonts w:ascii="Arial" w:cs="Arial" w:eastAsia="Arial" w:hAnsi="Arial"/>
          <w:sz w:val="18"/>
          <w:szCs w:val="18"/>
          <w:color w:val="auto"/>
        </w:rPr>
        <w:t>295,335 Ordinary Shares</w:t>
      </w:r>
    </w:p>
    <w:p>
      <w:pPr>
        <w:sectPr>
          <w:pgSz w:w="11900" w:h="16838" w:orient="portrait"/>
          <w:cols w:equalWidth="0" w:num="1">
            <w:col w:w="10944"/>
          </w:cols>
          <w:pgMar w:left="436" w:top="270" w:right="519" w:bottom="1440" w:gutter="0" w:footer="0" w:header="0"/>
        </w:sectPr>
      </w:pPr>
    </w:p>
    <w:bookmarkStart w:id="5" w:name="page6"/>
    <w:bookmarkEnd w:id="5"/>
    <w:p>
      <w:pPr>
        <w:ind w:left="4" w:right="6840" w:hanging="4"/>
        <w:spacing w:after="0" w:line="500" w:lineRule="auto"/>
        <w:tabs>
          <w:tab w:leader="none" w:pos="319"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Sole power to dispose or to direct the disposition of: 0 Ordinary Shares</w:t>
      </w:r>
    </w:p>
    <w:p>
      <w:pPr>
        <w:spacing w:after="0" w:line="1" w:lineRule="exact"/>
        <w:rPr>
          <w:rFonts w:ascii="Arial" w:cs="Arial" w:eastAsia="Arial" w:hAnsi="Arial"/>
          <w:sz w:val="18"/>
          <w:szCs w:val="18"/>
          <w:color w:val="auto"/>
        </w:rPr>
      </w:pPr>
    </w:p>
    <w:p>
      <w:pPr>
        <w:ind w:left="304" w:hanging="304"/>
        <w:spacing w:after="0"/>
        <w:tabs>
          <w:tab w:leader="none" w:pos="304" w:val="left"/>
        </w:tabs>
        <w:numPr>
          <w:ilvl w:val="0"/>
          <w:numId w:val="19"/>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w:t>
      </w:r>
    </w:p>
    <w:p>
      <w:pPr>
        <w:spacing w:after="0" w:line="154"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color w:val="auto"/>
        </w:rPr>
        <w:t>BCLS</w:t>
      </w:r>
      <w:r>
        <w:rPr>
          <w:sz w:val="20"/>
          <w:szCs w:val="20"/>
          <w:color w:val="auto"/>
        </w:rPr>
        <w:tab/>
      </w:r>
      <w:r>
        <w:rPr>
          <w:rFonts w:ascii="Arial" w:cs="Arial" w:eastAsia="Arial" w:hAnsi="Arial"/>
          <w:sz w:val="18"/>
          <w:szCs w:val="18"/>
          <w:color w:val="auto"/>
        </w:rPr>
        <w:t>2,885,266 Ordinary Shares</w:t>
      </w:r>
    </w:p>
    <w:p>
      <w:pPr>
        <w:spacing w:after="0" w:line="131"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color w:val="auto"/>
        </w:rPr>
        <w:t>BCIPLS</w:t>
      </w:r>
      <w:r>
        <w:rPr>
          <w:sz w:val="20"/>
          <w:szCs w:val="20"/>
          <w:color w:val="auto"/>
        </w:rPr>
        <w:tab/>
      </w:r>
      <w:r>
        <w:rPr>
          <w:rFonts w:ascii="Arial" w:cs="Arial" w:eastAsia="Arial" w:hAnsi="Arial"/>
          <w:sz w:val="18"/>
          <w:szCs w:val="18"/>
          <w:color w:val="auto"/>
        </w:rPr>
        <w:t>295,335 Ordinary Shares</w:t>
      </w:r>
    </w:p>
    <w:p>
      <w:pPr>
        <w:sectPr>
          <w:pgSz w:w="11900" w:h="16838" w:orient="portrait"/>
          <w:cols w:equalWidth="0" w:num="1">
            <w:col w:w="10924"/>
          </w:cols>
          <w:pgMar w:left="436" w:top="274" w:right="539" w:bottom="1440" w:gutter="0" w:footer="0" w:header="0"/>
        </w:sectPr>
      </w:pPr>
    </w:p>
    <w:p>
      <w:pPr>
        <w:spacing w:after="0" w:line="370"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Five Percent or Less of a Class</w:t>
      </w:r>
    </w:p>
    <w:p>
      <w:pPr>
        <w:spacing w:after="0" w:line="144" w:lineRule="exact"/>
        <w:rPr>
          <w:sz w:val="20"/>
          <w:szCs w:val="20"/>
          <w:color w:val="auto"/>
        </w:rPr>
      </w:pPr>
    </w:p>
    <w:p>
      <w:pPr>
        <w:sectPr>
          <w:pgSz w:w="11900" w:h="16838" w:orient="portrait"/>
          <w:cols w:equalWidth="0" w:num="2">
            <w:col w:w="504" w:space="700"/>
            <w:col w:w="9720"/>
          </w:cols>
          <w:pgMar w:left="436" w:top="274" w:right="5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0924"/>
          </w:cols>
          <w:pgMar w:left="436" w:top="274" w:right="539" w:bottom="1440" w:gutter="0" w:footer="0" w:header="0"/>
          <w:type w:val="continuous"/>
        </w:sectPr>
      </w:pPr>
    </w:p>
    <w:p>
      <w:pPr>
        <w:spacing w:after="0" w:line="393"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144" w:lineRule="exact"/>
        <w:rPr>
          <w:sz w:val="20"/>
          <w:szCs w:val="20"/>
          <w:color w:val="auto"/>
        </w:rPr>
      </w:pPr>
    </w:p>
    <w:p>
      <w:pPr>
        <w:sectPr>
          <w:pgSz w:w="11900" w:h="16838" w:orient="portrait"/>
          <w:cols w:equalWidth="0" w:num="2">
            <w:col w:w="504" w:space="700"/>
            <w:col w:w="9720"/>
          </w:cols>
          <w:pgMar w:left="436" w:top="274" w:right="5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0924"/>
          </w:cols>
          <w:pgMar w:left="436" w:top="274" w:right="539" w:bottom="1440" w:gutter="0" w:footer="0" w:header="0"/>
          <w:type w:val="continuous"/>
        </w:sectPr>
      </w:pPr>
    </w:p>
    <w:p>
      <w:pPr>
        <w:spacing w:after="0" w:line="393"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ectPr>
          <w:pgSz w:w="11900" w:h="16838" w:orient="portrait"/>
          <w:cols w:equalWidth="0" w:num="2">
            <w:col w:w="504" w:space="700"/>
            <w:col w:w="9720"/>
          </w:cols>
          <w:pgMar w:left="436" w:top="274" w:right="5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0924"/>
          </w:cols>
          <w:pgMar w:left="436" w:top="274" w:right="539" w:bottom="1440" w:gutter="0" w:footer="0" w:header="0"/>
          <w:type w:val="continuous"/>
        </w:sectPr>
      </w:pPr>
    </w:p>
    <w:p>
      <w:pPr>
        <w:spacing w:after="0" w:line="393"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144" w:lineRule="exact"/>
        <w:rPr>
          <w:sz w:val="20"/>
          <w:szCs w:val="20"/>
          <w:color w:val="auto"/>
        </w:rPr>
      </w:pPr>
    </w:p>
    <w:p>
      <w:pPr>
        <w:sectPr>
          <w:pgSz w:w="11900" w:h="16838" w:orient="portrait"/>
          <w:cols w:equalWidth="0" w:num="2">
            <w:col w:w="504" w:space="700"/>
            <w:col w:w="9720"/>
          </w:cols>
          <w:pgMar w:left="436" w:top="274" w:right="5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0924"/>
          </w:cols>
          <w:pgMar w:left="436" w:top="274" w:right="539" w:bottom="1440" w:gutter="0" w:footer="0" w:header="0"/>
          <w:type w:val="continuous"/>
        </w:sectPr>
      </w:pPr>
    </w:p>
    <w:p>
      <w:pPr>
        <w:spacing w:after="0" w:line="393"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144" w:lineRule="exact"/>
        <w:rPr>
          <w:sz w:val="20"/>
          <w:szCs w:val="20"/>
          <w:color w:val="auto"/>
        </w:rPr>
      </w:pPr>
    </w:p>
    <w:p>
      <w:pPr>
        <w:sectPr>
          <w:pgSz w:w="11900" w:h="16838" w:orient="portrait"/>
          <w:cols w:equalWidth="0" w:num="2">
            <w:col w:w="504" w:space="700"/>
            <w:col w:w="9720"/>
          </w:cols>
          <w:pgMar w:left="436" w:top="274" w:right="5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0924"/>
          </w:cols>
          <w:pgMar w:left="436" w:top="274" w:right="539" w:bottom="1440" w:gutter="0" w:footer="0" w:header="0"/>
          <w:type w:val="continuous"/>
        </w:sectPr>
      </w:pPr>
    </w:p>
    <w:p>
      <w:pPr>
        <w:spacing w:after="0" w:line="39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10</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Certifications</w:t>
      </w:r>
    </w:p>
    <w:p>
      <w:pPr>
        <w:spacing w:after="0" w:line="144" w:lineRule="exact"/>
        <w:rPr>
          <w:sz w:val="20"/>
          <w:szCs w:val="20"/>
          <w:color w:val="auto"/>
        </w:rPr>
      </w:pPr>
    </w:p>
    <w:p>
      <w:pPr>
        <w:sectPr>
          <w:pgSz w:w="11900" w:h="16838" w:orient="portrait"/>
          <w:cols w:equalWidth="0" w:num="2">
            <w:col w:w="584" w:space="620"/>
            <w:col w:w="9720"/>
          </w:cols>
          <w:pgMar w:left="436" w:top="274" w:right="539" w:bottom="1440" w:gutter="0" w:footer="0" w:header="0"/>
          <w:type w:val="continuous"/>
        </w:sectPr>
      </w:pPr>
    </w:p>
    <w:p>
      <w:pPr>
        <w:ind w:left="4"/>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0924"/>
          </w:cols>
          <w:pgMar w:left="436" w:top="274" w:right="539" w:bottom="1440" w:gutter="0" w:footer="0" w:header="0"/>
          <w:type w:val="continuous"/>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in this statement is true, complete and correct.</w:t>
      </w:r>
    </w:p>
    <w:p>
      <w:pPr>
        <w:spacing w:after="0" w:line="193" w:lineRule="exact"/>
        <w:rPr>
          <w:sz w:val="20"/>
          <w:szCs w:val="20"/>
          <w:color w:val="auto"/>
        </w:rPr>
      </w:pPr>
    </w:p>
    <w:p>
      <w:pPr>
        <w:spacing w:after="0"/>
        <w:tabs>
          <w:tab w:leader="none" w:pos="5300" w:val="left"/>
        </w:tabs>
        <w:rPr>
          <w:sz w:val="20"/>
          <w:szCs w:val="20"/>
          <w:color w:val="auto"/>
        </w:rPr>
      </w:pPr>
      <w:r>
        <w:rPr>
          <w:rFonts w:ascii="Arial" w:cs="Arial" w:eastAsia="Arial" w:hAnsi="Arial"/>
          <w:sz w:val="18"/>
          <w:szCs w:val="18"/>
          <w:color w:val="auto"/>
        </w:rPr>
        <w:t>Dated: February 19, 2021</w:t>
      </w:r>
      <w:r>
        <w:rPr>
          <w:sz w:val="20"/>
          <w:szCs w:val="20"/>
          <w:color w:val="auto"/>
        </w:rPr>
        <w:tab/>
      </w:r>
      <w:r>
        <w:rPr>
          <w:rFonts w:ascii="Arial" w:cs="Arial" w:eastAsia="Arial" w:hAnsi="Arial"/>
          <w:sz w:val="16"/>
          <w:szCs w:val="16"/>
          <w:b w:val="1"/>
          <w:bCs w:val="1"/>
          <w:color w:val="auto"/>
        </w:rPr>
        <w:t>Bain Capital Life Sciences Fund, L.P.</w:t>
      </w:r>
    </w:p>
    <w:p>
      <w:pPr>
        <w:spacing w:after="0" w:line="229"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Life Sciences Partners, LP</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Life Sciences Investors, LLC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Ricky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14605</wp:posOffset>
            </wp:positionV>
            <wp:extent cx="33432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Ricky Sun</w:t>
      </w:r>
    </w:p>
    <w:p>
      <w:pPr>
        <w:spacing w:after="0" w:line="23"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BCIP Life Sciences Associates, L</w:t>
      </w:r>
      <w:r>
        <w:rPr>
          <w:rFonts w:ascii="Arial" w:cs="Arial" w:eastAsia="Arial" w:hAnsi="Arial"/>
          <w:sz w:val="18"/>
          <w:szCs w:val="18"/>
          <w:color w:val="auto"/>
        </w:rPr>
        <w:t>P</w:t>
      </w:r>
    </w:p>
    <w:p>
      <w:pPr>
        <w:spacing w:after="0" w:line="229"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Boylston Coinvestors, LLC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Ricky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14605</wp:posOffset>
            </wp:positionV>
            <wp:extent cx="33432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Ricky Sun</w:t>
      </w:r>
    </w:p>
    <w:p>
      <w:pPr>
        <w:spacing w:after="0" w:line="23"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Title:</w:t>
        <w:tab/>
        <w:t>Authorized Signatory</w:t>
      </w:r>
    </w:p>
    <w:p>
      <w:pPr>
        <w:sectPr>
          <w:pgSz w:w="11900" w:h="16838" w:orient="portrait"/>
          <w:cols w:equalWidth="0" w:num="1">
            <w:col w:w="10940"/>
          </w:cols>
          <w:pgMar w:left="440" w:top="270" w:right="51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REGARDING THE JOINT FILING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agree as follows:</w:t>
      </w:r>
    </w:p>
    <w:p>
      <w:pPr>
        <w:spacing w:after="0" w:line="117" w:lineRule="exact"/>
        <w:rPr>
          <w:sz w:val="20"/>
          <w:szCs w:val="20"/>
          <w:color w:val="auto"/>
        </w:rPr>
      </w:pPr>
    </w:p>
    <w:p>
      <w:pPr>
        <w:ind w:left="440" w:right="360" w:hanging="4"/>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of them is individually eligible to use the Schedule 13G to which this Exhibit is attached, and such Schedule 13G is filed on behalf of each of them; and</w:t>
      </w:r>
    </w:p>
    <w:p>
      <w:pPr>
        <w:spacing w:after="0" w:line="62" w:lineRule="exact"/>
        <w:rPr>
          <w:rFonts w:ascii="Arial" w:cs="Arial" w:eastAsia="Arial" w:hAnsi="Arial"/>
          <w:sz w:val="18"/>
          <w:szCs w:val="18"/>
          <w:color w:val="auto"/>
        </w:rPr>
      </w:pPr>
    </w:p>
    <w:p>
      <w:pPr>
        <w:ind w:left="440" w:right="60" w:hanging="4"/>
        <w:spacing w:after="0" w:line="311" w:lineRule="auto"/>
        <w:tabs>
          <w:tab w:leader="none" w:pos="705" w:val="left"/>
        </w:tabs>
        <w:numPr>
          <w:ilvl w:val="0"/>
          <w:numId w:val="20"/>
        </w:numPr>
        <w:rPr>
          <w:rFonts w:ascii="Arial" w:cs="Arial" w:eastAsia="Arial" w:hAnsi="Arial"/>
          <w:sz w:val="16"/>
          <w:szCs w:val="16"/>
          <w:color w:val="auto"/>
        </w:rPr>
      </w:pPr>
      <w:r>
        <w:rPr>
          <w:rFonts w:ascii="Arial" w:cs="Arial" w:eastAsia="Arial" w:hAnsi="Arial"/>
          <w:sz w:val="16"/>
          <w:szCs w:val="16"/>
          <w:color w:val="auto"/>
        </w:rPr>
        <w:t>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72" w:lineRule="exact"/>
        <w:rPr>
          <w:sz w:val="20"/>
          <w:szCs w:val="20"/>
          <w:color w:val="auto"/>
        </w:rPr>
      </w:pPr>
    </w:p>
    <w:p>
      <w:pPr>
        <w:spacing w:after="0"/>
        <w:tabs>
          <w:tab w:leader="none" w:pos="5300" w:val="left"/>
        </w:tabs>
        <w:rPr>
          <w:sz w:val="20"/>
          <w:szCs w:val="20"/>
          <w:color w:val="auto"/>
        </w:rPr>
      </w:pPr>
      <w:r>
        <w:rPr>
          <w:rFonts w:ascii="Arial" w:cs="Arial" w:eastAsia="Arial" w:hAnsi="Arial"/>
          <w:sz w:val="18"/>
          <w:szCs w:val="18"/>
          <w:color w:val="auto"/>
        </w:rPr>
        <w:t>Dated: February 19, 2021</w:t>
      </w:r>
      <w:r>
        <w:rPr>
          <w:sz w:val="20"/>
          <w:szCs w:val="20"/>
          <w:color w:val="auto"/>
        </w:rPr>
        <w:tab/>
      </w:r>
      <w:r>
        <w:rPr>
          <w:rFonts w:ascii="Arial" w:cs="Arial" w:eastAsia="Arial" w:hAnsi="Arial"/>
          <w:sz w:val="16"/>
          <w:szCs w:val="16"/>
          <w:b w:val="1"/>
          <w:bCs w:val="1"/>
          <w:color w:val="auto"/>
        </w:rPr>
        <w:t>Bain Capital Life Sciences Fund, L.P.</w:t>
      </w:r>
    </w:p>
    <w:p>
      <w:pPr>
        <w:spacing w:after="0" w:line="229"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Life Sciences Partners, LP</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Life Sciences Investors, LLC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Ricky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14605</wp:posOffset>
            </wp:positionV>
            <wp:extent cx="33432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Ricky Sun</w:t>
      </w:r>
    </w:p>
    <w:p>
      <w:pPr>
        <w:spacing w:after="0" w:line="23"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BCIP Life Sciences Associates, L</w:t>
      </w:r>
      <w:r>
        <w:rPr>
          <w:rFonts w:ascii="Arial" w:cs="Arial" w:eastAsia="Arial" w:hAnsi="Arial"/>
          <w:sz w:val="18"/>
          <w:szCs w:val="18"/>
          <w:color w:val="auto"/>
        </w:rPr>
        <w:t>P</w:t>
      </w:r>
    </w:p>
    <w:p>
      <w:pPr>
        <w:spacing w:after="0" w:line="229"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Boylston Coinvestors, LLC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Ricky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14605</wp:posOffset>
            </wp:positionV>
            <wp:extent cx="33432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6"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Ricky Sun</w:t>
      </w:r>
    </w:p>
    <w:p>
      <w:pPr>
        <w:spacing w:after="0" w:line="23"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Title:</w:t>
        <w:tab/>
        <w:t>Authorized Signatory</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lvl w:ilvl="1">
      <w:lvlJc w:val="left"/>
      <w:lvlText w:val="☐"/>
      <w:numFmt w:val="bullet"/>
      <w:start w:val="1"/>
    </w:lvl>
  </w:abstractNum>
  <w:abstractNum w:abstractNumId="3">
    <w:nsid w:val="66EF438D"/>
    <w:multiLevelType w:val="hybridMultilevel"/>
    <w:lvl w:ilvl="0">
      <w:lvlJc w:val="left"/>
      <w:lvlText w:val="1"/>
      <w:numFmt w:val="bullet"/>
      <w:start w:val="1"/>
    </w:lvl>
  </w:abstractNum>
  <w:abstractNum w:abstractNumId="4">
    <w:nsid w:val="140E0F76"/>
    <w:multiLevelType w:val="hybridMultilevel"/>
    <w:lvl w:ilvl="0">
      <w:lvlJc w:val="left"/>
      <w:lvlText w:val="2"/>
      <w:numFmt w:val="bullet"/>
      <w:start w:val="1"/>
    </w:lvl>
  </w:abstractNum>
  <w:abstractNum w:abstractNumId="5">
    <w:nsid w:val="3352255A"/>
    <w:multiLevelType w:val="hybridMultilevel"/>
    <w:lvl w:ilvl="0">
      <w:lvlJc w:val="left"/>
      <w:lvlText w:val="3"/>
      <w:numFmt w:val="bullet"/>
      <w:start w:val="1"/>
    </w:lvl>
  </w:abstractNum>
  <w:abstractNum w:abstractNumId="6">
    <w:nsid w:val="109CF92E"/>
    <w:multiLevelType w:val="hybridMultilevel"/>
    <w:lvl w:ilvl="0">
      <w:lvlJc w:val="left"/>
      <w:lvlText w:val="4"/>
      <w:numFmt w:val="bullet"/>
      <w:start w:val="1"/>
    </w:lvl>
  </w:abstractNum>
  <w:abstractNum w:abstractNumId="7">
    <w:nsid w:val="DED7263"/>
    <w:multiLevelType w:val="hybridMultilevel"/>
    <w:lvl w:ilvl="0">
      <w:lvlJc w:val="left"/>
      <w:lvlText w:val="5"/>
      <w:numFmt w:val="bullet"/>
      <w:start w:val="1"/>
    </w:lvl>
  </w:abstractNum>
  <w:abstractNum w:abstractNumId="8">
    <w:nsid w:val="7FDCC233"/>
    <w:multiLevelType w:val="hybridMultilevel"/>
    <w:lvl w:ilvl="0">
      <w:lvlJc w:val="left"/>
      <w:lvlText w:val="9"/>
      <w:numFmt w:val="bullet"/>
      <w:start w:val="1"/>
    </w:lvl>
  </w:abstractNum>
  <w:abstractNum w:abstractNumId="9">
    <w:nsid w:val="1BEFD79F"/>
    <w:multiLevelType w:val="hybridMultilevel"/>
    <w:lvl w:ilvl="0">
      <w:lvlJc w:val="left"/>
      <w:lvlText w:val="%1"/>
      <w:numFmt w:val="decimal"/>
      <w:start w:val="10"/>
    </w:lvl>
  </w:abstractNum>
  <w:abstractNum w:abstractNumId="10">
    <w:nsid w:val="41A7C4C9"/>
    <w:multiLevelType w:val="hybridMultilevel"/>
    <w:lvl w:ilvl="0">
      <w:lvlJc w:val="left"/>
      <w:lvlText w:val="1"/>
      <w:numFmt w:val="bullet"/>
      <w:start w:val="1"/>
    </w:lvl>
  </w:abstractNum>
  <w:abstractNum w:abstractNumId="11">
    <w:nsid w:val="6B68079A"/>
    <w:multiLevelType w:val="hybridMultilevel"/>
    <w:lvl w:ilvl="0">
      <w:lvlJc w:val="left"/>
      <w:lvlText w:val="2"/>
      <w:numFmt w:val="bullet"/>
      <w:start w:val="1"/>
    </w:lvl>
  </w:abstractNum>
  <w:abstractNum w:abstractNumId="12">
    <w:nsid w:val="4E6AFB66"/>
    <w:multiLevelType w:val="hybridMultilevel"/>
    <w:lvl w:ilvl="0">
      <w:lvlJc w:val="left"/>
      <w:lvlText w:val="3"/>
      <w:numFmt w:val="bullet"/>
      <w:start w:val="1"/>
    </w:lvl>
  </w:abstractNum>
  <w:abstractNum w:abstractNumId="13">
    <w:nsid w:val="25E45D32"/>
    <w:multiLevelType w:val="hybridMultilevel"/>
    <w:lvl w:ilvl="0">
      <w:lvlJc w:val="left"/>
      <w:lvlText w:val="4"/>
      <w:numFmt w:val="bullet"/>
      <w:start w:val="1"/>
    </w:lvl>
  </w:abstractNum>
  <w:abstractNum w:abstractNumId="14">
    <w:nsid w:val="519B500D"/>
    <w:multiLevelType w:val="hybridMultilevel"/>
    <w:lvl w:ilvl="0">
      <w:lvlJc w:val="left"/>
      <w:lvlText w:val="9"/>
      <w:numFmt w:val="bullet"/>
      <w:start w:val="1"/>
    </w:lvl>
  </w:abstractNum>
  <w:abstractNum w:abstractNumId="15">
    <w:nsid w:val="431BD7B7"/>
    <w:multiLevelType w:val="hybridMultilevel"/>
    <w:lvl w:ilvl="0">
      <w:lvlJc w:val="left"/>
      <w:lvlText w:val="%1"/>
      <w:numFmt w:val="decimal"/>
      <w:start w:val="10"/>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Roman"/>
      <w:start w:val="1"/>
    </w:lvl>
  </w:abstractNum>
  <w:abstractNum w:abstractNumId="18">
    <w:nsid w:val="257130A3"/>
    <w:multiLevelType w:val="hybridMultilevel"/>
    <w:lvl w:ilvl="0">
      <w:lvlJc w:val="left"/>
      <w:lvlText w:val="(%1)"/>
      <w:numFmt w:val="lowerRoman"/>
      <w:start w:val="3"/>
    </w:lvl>
  </w:abstractNum>
  <w:abstractNum w:abstractNumId="19">
    <w:nsid w:val="62BBD9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2021-02-19T15:34:13Z</dcterms:created>
  <dcterms:modified xsi:type="dcterms:W3CDTF">2021-02-19T15:34:13Z</dcterms:modified>
</cp:coreProperties>
</file>