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Berndt Modig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Pharvaris, B.V.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J.H. Oortweg 21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2333 CH Leiden, The Netherlands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Pharvaris, B.V.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22,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333-252157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Modig: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registration statement and have the following comment.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comment, we may have additional comments.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January 15,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F-1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United States and Dutch Income Tax Considerations, page 177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and your response to comment 5. It appears that you do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intend to file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opinion relating to the U.S. tax consequences of this transaction.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why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determined that such a tax opinion is not required for this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considering, for example, the uncertainty relating to your PFIC status.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Alternatively,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an opinion that addresses U.S. tax matters. Refer to Item 601 of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III.A of Staff Legal Bulletin No. 19.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Berndt Modig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LastNameBerndt Modig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Pharvaris, B.V.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28,NamePharvaris,</w:t>
      </w:r>
    </w:p>
    <w:p>
      <w:pPr>
        <w:ind w:left="1280"/>
        <w:spacing w:after="0" w:line="238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B.V.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28,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Julie Sherman at 202-551-3640 or Kate Tillan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202-551-3604 if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Jason L. Drory at 202-551-8342 or Chris Edwards at 202-551-6761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Sophia Hudson, Esq.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2021-03-05T23:52:07Z</dcterms:created>
  <dcterms:modified xsi:type="dcterms:W3CDTF">2021-03-05T23:52:07Z</dcterms:modified>
</cp:coreProperties>
</file>