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9, 2021</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The Netherlands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2">
            <w:col w:w="7040" w:space="720"/>
            <w:col w:w="3260"/>
          </w:cols>
          <w:pgMar w:left="440" w:top="229" w:right="43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0" w:gutter="0" w:footer="0" w:header="0"/>
          <w:type w:val="continuous"/>
        </w:sectPr>
      </w:pPr>
    </w:p>
    <w:p>
      <w:pPr>
        <w:spacing w:after="0" w:line="1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20"/>
          </w:cols>
          <w:pgMar w:left="440" w:top="229" w:right="439" w:bottom="0"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Pharvaris N.V. 2021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Pharvaris B.V. 2016 Equity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Berndt Modig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J.H. Oortweg 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 (0)71 203 6410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Sophia Hudson, P.C.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Jennifer Lee,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3540" w:type="dxa"/>
            <w:vAlign w:val="bottom"/>
          </w:tcPr>
          <w:p>
            <w:pPr>
              <w:ind w:left="14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540" w:type="dxa"/>
            <w:vAlign w:val="bottom"/>
          </w:tcPr>
          <w:p>
            <w:pPr>
              <w:ind w:left="140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40" w:type="dxa"/>
            <w:vAlign w:val="bottom"/>
          </w:tcPr>
          <w:p>
            <w:pPr>
              <w:ind w:left="140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00" w:type="dxa"/>
            <w:vAlign w:val="bottom"/>
            <w:tcBorders>
              <w:top w:val="single" w:sz="8" w:color="auto"/>
              <w:bottom w:val="single" w:sz="8" w:color="auto"/>
            </w:tcBorders>
          </w:tcPr>
          <w:p>
            <w:pPr>
              <w:spacing w:after="0"/>
              <w:rPr>
                <w:sz w:val="3"/>
                <w:szCs w:val="3"/>
                <w:color w:val="auto"/>
              </w:rPr>
            </w:pPr>
          </w:p>
        </w:tc>
        <w:tc>
          <w:tcPr>
            <w:tcW w:w="31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00" w:type="dxa"/>
            <w:vAlign w:val="bottom"/>
            <w:tcBorders>
              <w:right w:val="single" w:sz="8" w:color="auto"/>
            </w:tcBorders>
          </w:tcPr>
          <w:p>
            <w:pPr>
              <w:spacing w:after="0"/>
              <w:rPr>
                <w:sz w:val="9"/>
                <w:szCs w:val="9"/>
                <w:color w:val="auto"/>
              </w:rPr>
            </w:pPr>
          </w:p>
        </w:tc>
        <w:tc>
          <w:tcPr>
            <w:tcW w:w="316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8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00" w:type="dxa"/>
            <w:vAlign w:val="bottom"/>
            <w:tcBorders>
              <w:right w:val="single" w:sz="8" w:color="auto"/>
            </w:tcBorders>
          </w:tcPr>
          <w:p>
            <w:pPr>
              <w:spacing w:after="0"/>
              <w:rPr>
                <w:sz w:val="12"/>
                <w:szCs w:val="12"/>
                <w:color w:val="auto"/>
              </w:rPr>
            </w:pP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44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8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maximum</w:t>
            </w:r>
          </w:p>
        </w:tc>
        <w:tc>
          <w:tcPr>
            <w:tcW w:w="144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000" w:type="dxa"/>
            <w:vAlign w:val="bottom"/>
            <w:tcBorders>
              <w:right w:val="single" w:sz="8" w:color="auto"/>
            </w:tcBorders>
          </w:tcPr>
          <w:p>
            <w:pPr>
              <w:spacing w:after="0"/>
              <w:rPr>
                <w:sz w:val="12"/>
                <w:szCs w:val="12"/>
                <w:color w:val="auto"/>
              </w:rPr>
            </w:pPr>
          </w:p>
        </w:tc>
        <w:tc>
          <w:tcPr>
            <w:tcW w:w="31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4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8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89"/>
              </w:rPr>
              <w:t>aggregate</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Plan</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1"/>
              </w:rPr>
              <w:t>offering price</w:t>
            </w:r>
          </w:p>
        </w:tc>
        <w:tc>
          <w:tcPr>
            <w:tcW w:w="14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2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Pharvaris N.V. 2021 Equity</w:t>
            </w:r>
          </w:p>
        </w:tc>
        <w:tc>
          <w:tcPr>
            <w:tcW w:w="3160" w:type="dxa"/>
            <w:vAlign w:val="bottom"/>
            <w:tcBorders>
              <w:right w:val="single" w:sz="8" w:color="auto"/>
            </w:tcBorders>
          </w:tcPr>
          <w:p>
            <w:pPr>
              <w:jc w:val="center"/>
              <w:ind w:left="2"/>
              <w:spacing w:after="0" w:line="195" w:lineRule="exact"/>
              <w:rPr>
                <w:sz w:val="20"/>
                <w:szCs w:val="20"/>
                <w:color w:val="auto"/>
              </w:rPr>
            </w:pPr>
            <w:r>
              <w:rPr>
                <w:rFonts w:ascii="Arial" w:cs="Arial" w:eastAsia="Arial" w:hAnsi="Arial"/>
                <w:sz w:val="18"/>
                <w:szCs w:val="18"/>
                <w:color w:val="auto"/>
                <w:w w:val="88"/>
              </w:rPr>
              <w:t>Ordinary shares, par value €0.12 per share</w:t>
            </w: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Incentive Plan</w:t>
            </w:r>
          </w:p>
        </w:tc>
        <w:tc>
          <w:tcPr>
            <w:tcW w:w="31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8"/>
                <w:szCs w:val="18"/>
                <w:color w:val="auto"/>
              </w:rPr>
              <w:t>3,870,401(2)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$29.02(3)</w:t>
            </w:r>
          </w:p>
        </w:tc>
        <w:tc>
          <w:tcPr>
            <w:tcW w:w="15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$112,319,037.02 (3)</w:t>
            </w:r>
          </w:p>
        </w:tc>
        <w:tc>
          <w:tcPr>
            <w:tcW w:w="144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$12,255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20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Amended and Restated</w:t>
            </w:r>
          </w:p>
        </w:tc>
        <w:tc>
          <w:tcPr>
            <w:tcW w:w="3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87"/>
              </w:rPr>
              <w:t>Ordinary shares, par value €0.12 per share</w:t>
            </w:r>
          </w:p>
        </w:tc>
        <w:tc>
          <w:tcPr>
            <w:tcW w:w="144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2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Pharvaris B.V. 2016</w:t>
            </w:r>
          </w:p>
        </w:tc>
        <w:tc>
          <w:tcPr>
            <w:tcW w:w="3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2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Equity Incentive Plan</w:t>
            </w:r>
          </w:p>
        </w:tc>
        <w:tc>
          <w:tcPr>
            <w:tcW w:w="31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2,445,295(4)</w:t>
            </w:r>
          </w:p>
        </w:tc>
        <w:tc>
          <w:tcPr>
            <w:tcW w:w="14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$8.86(5)</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$21,665,313.70 (5)</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$2,364</w:t>
            </w:r>
          </w:p>
        </w:tc>
      </w:tr>
      <w:tr>
        <w:trPr>
          <w:trHeight w:val="195"/>
        </w:trPr>
        <w:tc>
          <w:tcPr>
            <w:tcW w:w="20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87"/>
              </w:rPr>
              <w:t>Ordinary shares, par value €0.12 per share</w:t>
            </w: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2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Pharvaris B.V. 2016</w:t>
            </w:r>
          </w:p>
        </w:tc>
        <w:tc>
          <w:tcPr>
            <w:tcW w:w="3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2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Equity Incentive Plan</w:t>
            </w:r>
          </w:p>
        </w:tc>
        <w:tc>
          <w:tcPr>
            <w:tcW w:w="31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154,945(6)</w:t>
            </w:r>
          </w:p>
        </w:tc>
        <w:tc>
          <w:tcPr>
            <w:tcW w:w="14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$29.02(3)</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$4,496,503.90 (3)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$491</w:t>
            </w:r>
          </w:p>
        </w:tc>
      </w:tr>
      <w:tr>
        <w:trPr>
          <w:trHeight w:val="209"/>
        </w:trPr>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$15,110</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ind w:left="424" w:right="480" w:hanging="424"/>
        <w:spacing w:after="0" w:line="27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shall also cover any additional ordinary shares which become issuable because of any stock dividend, stock split, recapitalization or any other similar transaction effected without the receipt of consideration which results in an increase in the number of the outstanding ordinary shares.</w:t>
      </w:r>
    </w:p>
    <w:p>
      <w:pPr>
        <w:spacing w:after="0" w:line="1" w:lineRule="exact"/>
        <w:rPr>
          <w:rFonts w:ascii="Arial" w:cs="Arial" w:eastAsia="Arial" w:hAnsi="Arial"/>
          <w:sz w:val="17"/>
          <w:szCs w:val="17"/>
          <w:color w:val="auto"/>
        </w:rPr>
      </w:pPr>
    </w:p>
    <w:p>
      <w:pPr>
        <w:ind w:left="424" w:right="4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ordinary shares of Pharvaris N.V. that are currently authorized for issuance under the Pharvaris N.V. 2021 Equity Incentive Plan (the “2021 Plan”), which shares consist of ordinary shares reserved and available for delivery with respect to awards under the 2021 Plan, ordinary shares that may again become available for delivery with respect to awards under such plan pursuant to the share counting, share recycling and other terms and conditions of the 2021 Plan, and ordinary shares that may become reserved and again available for delivery with respect to awards under the 2021 Plan pursuant to the “evergreen” provision of the Plan.</w:t>
      </w:r>
    </w:p>
    <w:p>
      <w:pPr>
        <w:jc w:val="both"/>
        <w:ind w:left="424" w:right="1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is calculated pursuant Rule 457(c) and Rule 457(h) under the Securities Act on the basis of the average of the high and low sale prices for the ordinary shares as reported on the Nasdaq Global Select Market on February 8, 2021 solely for the purpose of calculating the registration fee.</w:t>
      </w:r>
    </w:p>
    <w:p>
      <w:pPr>
        <w:spacing w:after="0" w:line="1" w:lineRule="exact"/>
        <w:rPr>
          <w:rFonts w:ascii="Arial" w:cs="Arial" w:eastAsia="Arial" w:hAnsi="Arial"/>
          <w:sz w:val="18"/>
          <w:szCs w:val="18"/>
          <w:color w:val="auto"/>
        </w:rPr>
      </w:pPr>
    </w:p>
    <w:p>
      <w:pPr>
        <w:ind w:left="424" w:right="6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of Pharvaris N.V. that are issuable upon the exercise of stock options granted under the Amended and Restated Pharvaris B.V. 2016 Equity Incentive Plan.</w:t>
      </w:r>
    </w:p>
    <w:p>
      <w:pPr>
        <w:ind w:left="424" w:right="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is calculated pursuant to Rule 457(h) under the Securities Act based on the weighted average of the price at which the stock options may be exercised.</w:t>
      </w:r>
    </w:p>
    <w:p>
      <w:pPr>
        <w:ind w:left="424" w:right="24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of Pharvaris N.V. that are issuable pursuant to awards granted under the Amended and Restated Pharvaris B.V. 2016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documents containing the information specified in Part I will be delivered to the participants in accordance with Form S-8 and Rule 428(b) under the Securities Act. Such documents are not required to be, and are not,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33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The written statement required by Item 2 of Part I is included in documents that will be delivered to participants pursuant to Rule 428(b) of the Securities Act.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The following documents, which have been filed by Pharvaris N.V. (the “Company”) with the Commission, are incorporated in this Registration Statement by reference:</w:t>
      </w:r>
    </w:p>
    <w:p>
      <w:pPr>
        <w:spacing w:after="0" w:line="170" w:lineRule="exact"/>
        <w:rPr>
          <w:sz w:val="20"/>
          <w:szCs w:val="20"/>
          <w:color w:val="auto"/>
        </w:rPr>
      </w:pPr>
    </w:p>
    <w:p>
      <w:pPr>
        <w:ind w:left="4" w:right="500" w:hanging="4"/>
        <w:spacing w:after="0" w:line="277"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prospectus filed pursuant to Rule 424(b) under the Securities Act on February 8, 2021, relating to the Company’s Registration Statement on Form F-1, as amended (Registration No. 333-252157); and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Company’s ordinary shares incorporated by reference in the Company’s Registration Statement on Form 8-A (File</w:t>
      </w:r>
    </w:p>
    <w:p>
      <w:pPr>
        <w:spacing w:after="0" w:line="35" w:lineRule="exact"/>
        <w:rPr>
          <w:sz w:val="20"/>
          <w:szCs w:val="20"/>
          <w:color w:val="auto"/>
        </w:rPr>
      </w:pPr>
    </w:p>
    <w:p>
      <w:pPr>
        <w:ind w:left="4" w:right="300"/>
        <w:spacing w:after="0" w:line="260" w:lineRule="auto"/>
        <w:rPr>
          <w:sz w:val="20"/>
          <w:szCs w:val="20"/>
          <w:color w:val="auto"/>
        </w:rPr>
      </w:pPr>
      <w:r>
        <w:rPr>
          <w:rFonts w:ascii="Arial" w:cs="Arial" w:eastAsia="Arial" w:hAnsi="Arial"/>
          <w:sz w:val="18"/>
          <w:szCs w:val="18"/>
          <w:color w:val="auto"/>
        </w:rPr>
        <w:t>No. 001-40010), filed with the Commission on February 4, 2021, pursuant to Section 12(b) of the Securities Exchange Act of 1934, as amended (the “Exchange Act”), including any amendments or reports filed for the purpose of updating such description.</w:t>
      </w:r>
    </w:p>
    <w:p>
      <w:pPr>
        <w:spacing w:after="0" w:line="18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All reports and other documents subsequently filed by the Company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 The Company is not incorporating by reference any documents or portions thereof, whether specifically listed above or filed in the future, that are not deemed “filed” with the Commission.</w:t>
      </w:r>
    </w:p>
    <w:p>
      <w:pPr>
        <w:spacing w:after="0" w:line="188"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Under Dutch law, members of the Company’s Board of Directors (“Board”) may be liable for damages in the event of improper or negligent performance of their duties. They may be jointly and severally liable for damages to the Company and to third parties for infringement of our Articles of Association or of certain provisions of Dutch law. In certain circumstances, they may also incur additional specific civil and criminal liabilities. Members of the Board and the Company’s Senior Management and certain other officers of the Company and certain subsidiaries are insured under an insurance policy against damages resulting from their conduct when acting in the capacities as such members or officers.</w:t>
      </w:r>
    </w:p>
    <w:p>
      <w:pPr>
        <w:spacing w:after="0" w:line="17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Our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31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Reference is made to the attached Exhibit Index, which is incorporated by reference herein.</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40" w:hanging="439"/>
        <w:spacing w:after="0" w:line="291" w:lineRule="auto"/>
        <w:tabs>
          <w:tab w:leader="none" w:pos="1424"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4" w:right="140" w:hanging="439"/>
        <w:spacing w:after="0" w:line="277"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984" w:right="8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(a)(i) and (a)(ii)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periodic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0984"/>
          </w:cols>
          <w:pgMar w:left="436" w:top="270" w:right="479" w:bottom="1440" w:gutter="0" w:footer="0" w:header="0"/>
        </w:sectPr>
      </w:pPr>
    </w:p>
    <w:bookmarkStart w:id="4" w:name="page5"/>
    <w:bookmarkEnd w:id="4"/>
    <w:p>
      <w:pPr>
        <w:ind w:left="964"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93" w:lineRule="exact"/>
        <w:rPr>
          <w:rFonts w:ascii="Arial" w:cs="Arial" w:eastAsia="Arial" w:hAnsi="Arial"/>
          <w:sz w:val="18"/>
          <w:szCs w:val="18"/>
          <w:color w:val="auto"/>
        </w:rPr>
      </w:pPr>
    </w:p>
    <w:p>
      <w:pPr>
        <w:ind w:left="424" w:right="6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9120" w:type="dxa"/>
            <w:vAlign w:val="bottom"/>
            <w:gridSpan w:val="4"/>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w w:val="98"/>
              </w:rPr>
              <w:t>Exhibit</w:t>
            </w:r>
          </w:p>
        </w:tc>
        <w:tc>
          <w:tcPr>
            <w:tcW w:w="37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0"/>
        </w:trPr>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w w:val="90"/>
              </w:rPr>
              <w:t>Number</w:t>
            </w:r>
          </w:p>
        </w:tc>
        <w:tc>
          <w:tcPr>
            <w:tcW w:w="3760" w:type="dxa"/>
            <w:vAlign w:val="bottom"/>
          </w:tcPr>
          <w:p>
            <w:pPr>
              <w:spacing w:after="0"/>
              <w:rPr>
                <w:sz w:val="17"/>
                <w:szCs w:val="17"/>
                <w:color w:val="auto"/>
              </w:rPr>
            </w:pPr>
          </w:p>
        </w:tc>
        <w:tc>
          <w:tcPr>
            <w:tcW w:w="536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040" w:type="dxa"/>
            <w:vAlign w:val="bottom"/>
          </w:tcPr>
          <w:p>
            <w:pPr>
              <w:jc w:val="right"/>
              <w:ind w:right="554"/>
              <w:spacing w:after="0"/>
              <w:rPr>
                <w:sz w:val="20"/>
                <w:szCs w:val="20"/>
                <w:color w:val="auto"/>
              </w:rPr>
            </w:pPr>
            <w:r>
              <w:rPr>
                <w:rFonts w:ascii="Arial" w:cs="Arial" w:eastAsia="Arial" w:hAnsi="Arial"/>
                <w:sz w:val="18"/>
                <w:szCs w:val="18"/>
                <w:color w:val="auto"/>
              </w:rPr>
              <w:t>3.1*</w:t>
            </w:r>
          </w:p>
        </w:tc>
        <w:tc>
          <w:tcPr>
            <w:tcW w:w="91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Articles of Association of Pharvaris N.V.</w:t>
              </w:r>
            </w:hyperlink>
          </w:p>
        </w:tc>
      </w:tr>
      <w:tr>
        <w:trPr>
          <w:trHeight w:val="324"/>
        </w:trPr>
        <w:tc>
          <w:tcPr>
            <w:tcW w:w="1040" w:type="dxa"/>
            <w:vAlign w:val="bottom"/>
          </w:tcPr>
          <w:p>
            <w:pPr>
              <w:jc w:val="right"/>
              <w:ind w:right="554"/>
              <w:spacing w:after="0"/>
              <w:rPr>
                <w:sz w:val="20"/>
                <w:szCs w:val="20"/>
                <w:color w:val="auto"/>
              </w:rPr>
            </w:pPr>
            <w:r>
              <w:rPr>
                <w:rFonts w:ascii="Arial" w:cs="Arial" w:eastAsia="Arial" w:hAnsi="Arial"/>
                <w:sz w:val="18"/>
                <w:szCs w:val="18"/>
                <w:color w:val="auto"/>
              </w:rPr>
              <w:t>5.1*</w:t>
            </w:r>
          </w:p>
        </w:tc>
        <w:tc>
          <w:tcPr>
            <w:tcW w:w="912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Opinion of NautaDutilh N.V., Dutch counsel of Pharvaris N.V., as to the validity of the ordinary shares</w:t>
              </w:r>
            </w:hyperlink>
          </w:p>
        </w:tc>
      </w:tr>
      <w:tr>
        <w:trPr>
          <w:trHeight w:val="324"/>
        </w:trPr>
        <w:tc>
          <w:tcPr>
            <w:tcW w:w="1040" w:type="dxa"/>
            <w:vAlign w:val="bottom"/>
          </w:tcPr>
          <w:p>
            <w:pPr>
              <w:jc w:val="right"/>
              <w:ind w:right="554"/>
              <w:spacing w:after="0"/>
              <w:rPr>
                <w:sz w:val="20"/>
                <w:szCs w:val="20"/>
                <w:color w:val="auto"/>
              </w:rPr>
            </w:pPr>
            <w:r>
              <w:rPr>
                <w:rFonts w:ascii="Arial" w:cs="Arial" w:eastAsia="Arial" w:hAnsi="Arial"/>
                <w:sz w:val="18"/>
                <w:szCs w:val="18"/>
                <w:color w:val="auto"/>
                <w:w w:val="90"/>
              </w:rPr>
              <w:t>23.1*</w:t>
            </w:r>
          </w:p>
        </w:tc>
        <w:tc>
          <w:tcPr>
            <w:tcW w:w="912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NautaDutilh N.V., Dutch counsel of Pharvaris N.V. (included in Exhibit 5.1)</w:t>
              </w:r>
            </w:hyperlink>
          </w:p>
        </w:tc>
      </w:tr>
      <w:tr>
        <w:trPr>
          <w:trHeight w:val="324"/>
        </w:trPr>
        <w:tc>
          <w:tcPr>
            <w:tcW w:w="1040" w:type="dxa"/>
            <w:vAlign w:val="bottom"/>
          </w:tcPr>
          <w:p>
            <w:pPr>
              <w:jc w:val="right"/>
              <w:ind w:right="554"/>
              <w:spacing w:after="0"/>
              <w:rPr>
                <w:sz w:val="20"/>
                <w:szCs w:val="20"/>
                <w:color w:val="auto"/>
              </w:rPr>
            </w:pPr>
            <w:r>
              <w:rPr>
                <w:rFonts w:ascii="Arial" w:cs="Arial" w:eastAsia="Arial" w:hAnsi="Arial"/>
                <w:sz w:val="18"/>
                <w:szCs w:val="18"/>
                <w:color w:val="auto"/>
                <w:w w:val="90"/>
              </w:rPr>
              <w:t>23.2*</w:t>
            </w:r>
          </w:p>
        </w:tc>
        <w:tc>
          <w:tcPr>
            <w:tcW w:w="912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Consent of PricewaterhouseCoopers Accountants N.V</w:t>
              </w:r>
              <w:r>
                <w:rPr>
                  <w:rFonts w:ascii="Arial" w:cs="Arial" w:eastAsia="Arial" w:hAnsi="Arial"/>
                  <w:sz w:val="18"/>
                  <w:szCs w:val="18"/>
                  <w:color w:val="0000EE"/>
                </w:rPr>
                <w:t>.</w:t>
              </w:r>
            </w:hyperlink>
          </w:p>
        </w:tc>
      </w:tr>
      <w:tr>
        <w:trPr>
          <w:trHeight w:val="324"/>
        </w:trPr>
        <w:tc>
          <w:tcPr>
            <w:tcW w:w="1040" w:type="dxa"/>
            <w:vAlign w:val="bottom"/>
          </w:tcPr>
          <w:p>
            <w:pPr>
              <w:jc w:val="right"/>
              <w:ind w:right="554"/>
              <w:spacing w:after="0"/>
              <w:rPr>
                <w:sz w:val="20"/>
                <w:szCs w:val="20"/>
                <w:color w:val="auto"/>
              </w:rPr>
            </w:pPr>
            <w:r>
              <w:rPr>
                <w:rFonts w:ascii="Arial" w:cs="Arial" w:eastAsia="Arial" w:hAnsi="Arial"/>
                <w:sz w:val="18"/>
                <w:szCs w:val="18"/>
                <w:color w:val="auto"/>
                <w:w w:val="90"/>
              </w:rPr>
              <w:t>24.1*</w:t>
            </w:r>
          </w:p>
        </w:tc>
        <w:tc>
          <w:tcPr>
            <w:tcW w:w="91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(included on signature page to the registration statement)</w:t>
              </w:r>
            </w:hyperlink>
          </w:p>
        </w:tc>
      </w:tr>
      <w:tr>
        <w:trPr>
          <w:trHeight w:val="324"/>
        </w:trPr>
        <w:tc>
          <w:tcPr>
            <w:tcW w:w="1040" w:type="dxa"/>
            <w:vAlign w:val="bottom"/>
          </w:tcPr>
          <w:p>
            <w:pPr>
              <w:jc w:val="right"/>
              <w:ind w:right="554"/>
              <w:spacing w:after="0"/>
              <w:rPr>
                <w:sz w:val="20"/>
                <w:szCs w:val="20"/>
                <w:color w:val="auto"/>
              </w:rPr>
            </w:pPr>
            <w:r>
              <w:rPr>
                <w:rFonts w:ascii="Arial" w:cs="Arial" w:eastAsia="Arial" w:hAnsi="Arial"/>
                <w:sz w:val="18"/>
                <w:szCs w:val="18"/>
                <w:color w:val="auto"/>
                <w:w w:val="90"/>
              </w:rPr>
              <w:t>10.1*</w:t>
            </w:r>
          </w:p>
        </w:tc>
        <w:tc>
          <w:tcPr>
            <w:tcW w:w="912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Pharvaris N.V. 2021 Equity Incentive Plan</w:t>
              </w:r>
            </w:hyperlink>
          </w:p>
        </w:tc>
      </w:tr>
      <w:tr>
        <w:trPr>
          <w:trHeight w:val="283"/>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10.2</w:t>
            </w:r>
          </w:p>
        </w:tc>
        <w:tc>
          <w:tcPr>
            <w:tcW w:w="9120" w:type="dxa"/>
            <w:vAlign w:val="bottom"/>
            <w:tcBorders>
              <w:bottom w:val="single" w:sz="8" w:color="0000EE"/>
            </w:tcBorders>
            <w:gridSpan w:val="4"/>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Pharvaris B.V. 2016 Equity Incentive Plan (incorporated by reference to Exhibit 10.8 to the registrant’s</w:t>
              </w:r>
            </w:hyperlink>
          </w:p>
        </w:tc>
      </w:tr>
      <w:tr>
        <w:trPr>
          <w:trHeight w:val="196"/>
        </w:trPr>
        <w:tc>
          <w:tcPr>
            <w:tcW w:w="1040" w:type="dxa"/>
            <w:vAlign w:val="bottom"/>
          </w:tcPr>
          <w:p>
            <w:pPr>
              <w:spacing w:after="0"/>
              <w:rPr>
                <w:sz w:val="17"/>
                <w:szCs w:val="17"/>
                <w:color w:val="auto"/>
              </w:rPr>
            </w:pPr>
          </w:p>
        </w:tc>
        <w:tc>
          <w:tcPr>
            <w:tcW w:w="70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Registration Statement on Form F-1/A (Registration No. 333-252157), filed on February 1, 2021).</w:t>
              </w:r>
            </w:hyperlink>
          </w:p>
        </w:tc>
        <w:tc>
          <w:tcPr>
            <w:tcW w:w="2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160"/>
          </w:cols>
          <w:pgMar w:left="440" w:top="257" w:right="1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Amsterdam, The Netherlands on February 9,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Berndt Modig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Berndt Modig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w w:val="96"/>
              </w:rPr>
              <w:t>Chief Executive Officer and Member of the Board</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Berndt Modig as his or her true and lawful attorney-in fact and agent, with full powers to him to sign for us, in our names and in the capacities indicated below, the Registration Statement on Form S-8 and to file the same, with all exhibits thereto, and other documents in connection therewith, with the Securities and Exchange Commission, and any and all amendments to said Registration Statement (including post-effective amendments), granting unto said attorney, full power and authority to do and perform each and every act and thing requisite and necessary to be done in connection therewith, as fully to all intents and purposes as he might or could do in person, and hereby ratifying and confirming all that said attorney, or his substitute or substitutes, may lawfully do or cause to be done by virtue of this Power of Attorney. This power of attorney may be executed in counterparts and all capacities to sign any and all amendments.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February 9, 2021, in the capacities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9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840" w:type="dxa"/>
            <w:vAlign w:val="bottom"/>
          </w:tcPr>
          <w:p>
            <w:pPr>
              <w:spacing w:after="0"/>
              <w:rPr>
                <w:sz w:val="14"/>
                <w:szCs w:val="14"/>
                <w:color w:val="auto"/>
              </w:rPr>
            </w:pPr>
          </w:p>
        </w:tc>
      </w:tr>
      <w:tr>
        <w:trPr>
          <w:trHeight w:val="425"/>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Berndt Modig</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Chief Executive Officer and Member of the Board (Principal Executive</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5"/>
              </w:rPr>
              <w:t>Berndt Modig</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8"/>
              </w:rPr>
              <w:t>Officer)</w:t>
            </w: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Anna Nijdam</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Finance Director and Principal Accounting Officer (Principal Financial Officer and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5"/>
              </w:rPr>
              <w:t>Anna Nijdam</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Rémi Droller</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3"/>
              </w:rPr>
              <w:t>Rémi Droller</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Richard Gaster, M.D., Ph.D.</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1"/>
              </w:rPr>
              <w:t>Richard Gaster, M.D., Ph.D.</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Martijn Kleijwegt</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9"/>
              </w:rPr>
              <w:t>Martijn Kleijwegt</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Hans Schikan, Pharm.D.</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0"/>
              </w:rPr>
              <w:t>Hans Schikan, Pharm.D.</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David Meeker, M.D.</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4"/>
              </w:rPr>
              <w:t>David Meeker, M.D.</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Robert Glassman, M.D.</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0"/>
              </w:rPr>
              <w:t>Robert Glassman, M.D.</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4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Morgan Conn</w:t>
            </w:r>
          </w:p>
        </w:tc>
        <w:tc>
          <w:tcPr>
            <w:tcW w:w="64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Authorized Representative in the United States</w:t>
            </w:r>
          </w:p>
        </w:tc>
      </w:tr>
      <w:tr>
        <w:trPr>
          <w:trHeight w:val="224"/>
        </w:trPr>
        <w:tc>
          <w:tcPr>
            <w:tcW w:w="42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Morgan Conn</w:t>
            </w: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3131185</wp:posOffset>
            </wp:positionH>
            <wp:positionV relativeFrom="page">
              <wp:posOffset>88900</wp:posOffset>
            </wp:positionV>
            <wp:extent cx="128587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t>1</w:t>
      </w:r>
    </w:p>
    <w:p>
      <w:pPr>
        <w:spacing w:after="0" w:line="154" w:lineRule="exact"/>
        <w:rPr>
          <w:sz w:val="20"/>
          <w:szCs w:val="20"/>
          <w:color w:val="auto"/>
        </w:rPr>
      </w:pPr>
    </w:p>
    <w:p>
      <w:pPr>
        <w:ind w:left="10180"/>
        <w:spacing w:after="0"/>
        <w:rPr>
          <w:sz w:val="20"/>
          <w:szCs w:val="20"/>
          <w:color w:val="auto"/>
        </w:rPr>
      </w:pPr>
      <w:r>
        <w:rPr>
          <w:rFonts w:ascii="Arial" w:cs="Arial" w:eastAsia="Arial" w:hAnsi="Arial"/>
          <w:sz w:val="16"/>
          <w:szCs w:val="16"/>
          <w:b w:val="1"/>
          <w:bCs w:val="1"/>
          <w:color w:val="auto"/>
        </w:rPr>
        <w:t>Exhibit 3.1</w:t>
      </w:r>
    </w:p>
    <w:p>
      <w:pPr>
        <w:spacing w:after="0" w:line="25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This is a translation into English of the official Dutch version of the articles of association of a public company with limited liability under Dutch law. Definitions included in Article 1 below appear in the English alphabetical order, but will appear in the Dutch alphabetical order in the official Dutch version. In the event of a conflict between the English and Dutch texts, the Dutch text shall prevail.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these articles of association the following definitions shall apply:</w:t>
      </w:r>
    </w:p>
    <w:p>
      <w:pPr>
        <w:sectPr>
          <w:pgSz w:w="11900" w:h="16838" w:orient="portrait"/>
          <w:cols w:equalWidth="0" w:num="1">
            <w:col w:w="11020"/>
          </w:cols>
          <w:pgMar w:left="440" w:top="895" w:right="439" w:bottom="1440" w:gutter="0" w:footer="0" w:header="0"/>
        </w:sect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Article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 article of these articles of association.</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board of directors.</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Board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rules applicable to the Board, as drawn up by the Board.</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chief executive officer.</w:t>
      </w:r>
    </w:p>
    <w:p>
      <w:pPr>
        <w:spacing w:after="0" w:line="135"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chairman of the Board.</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Class Meeting</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6"/>
          <w:szCs w:val="16"/>
          <w:color w:val="auto"/>
        </w:rPr>
        <w:t>The meeting formed by the Persons with Meeting Rights with respect to shares of a certain class.</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to which these articles of association pertain.</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DCC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w:t>
      </w:r>
    </w:p>
    <w:p>
      <w:pPr>
        <w:spacing w:after="0" w:line="135"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the Board.</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Euribor</w:t>
      </w:r>
    </w:p>
    <w:p>
      <w:pPr>
        <w:spacing w:after="0" w:line="20" w:lineRule="exact"/>
        <w:rPr>
          <w:sz w:val="20"/>
          <w:szCs w:val="20"/>
          <w:color w:val="auto"/>
        </w:rPr>
      </w:pPr>
      <w:r>
        <w:rPr>
          <w:sz w:val="20"/>
          <w:szCs w:val="20"/>
          <w:color w:val="auto"/>
        </w:rPr>
        <w:br w:type="column"/>
      </w:r>
    </w:p>
    <w:p>
      <w:pPr>
        <w:ind w:right="680"/>
        <w:spacing w:after="0" w:line="301" w:lineRule="auto"/>
        <w:rPr>
          <w:sz w:val="20"/>
          <w:szCs w:val="20"/>
          <w:color w:val="auto"/>
        </w:rPr>
      </w:pPr>
      <w:r>
        <w:rPr>
          <w:rFonts w:ascii="Arial" w:cs="Arial" w:eastAsia="Arial" w:hAnsi="Arial"/>
          <w:sz w:val="16"/>
          <w:szCs w:val="16"/>
          <w:color w:val="auto"/>
        </w:rPr>
        <w:t>The Euribor rate (or a European reference rate that has replaced the Euribor rate) published by Thomson Reuters or another institution chosen by the Board, for loans with a maturity of three, six, nine or twelve months, whichever had the highest mathematical average over the financial year (or the relevant part thereof) in respect of which the relevant distribution is made, but in any event no less than zero percent.</w:t>
      </w:r>
    </w:p>
    <w:p>
      <w:pPr>
        <w:spacing w:after="0" w:line="45"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Executive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executive Director.</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general meeting.</w:t>
      </w:r>
    </w:p>
    <w:p>
      <w:pPr>
        <w:spacing w:after="0" w:line="136" w:lineRule="exact"/>
        <w:rPr>
          <w:sz w:val="20"/>
          <w:szCs w:val="20"/>
          <w:color w:val="auto"/>
        </w:rPr>
      </w:pPr>
    </w:p>
    <w:p>
      <w:pPr>
        <w:sectPr>
          <w:pgSz w:w="11900" w:h="16838" w:orient="portrait"/>
          <w:cols w:equalWidth="0" w:num="2">
            <w:col w:w="2120" w:space="720"/>
            <w:col w:w="8180"/>
          </w:cols>
          <w:pgMar w:left="440" w:top="895"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Group Company</w:t>
      </w:r>
    </w:p>
    <w:p>
      <w:pPr>
        <w:spacing w:after="0" w:line="20" w:lineRule="exact"/>
        <w:rPr>
          <w:sz w:val="20"/>
          <w:szCs w:val="20"/>
          <w:color w:val="auto"/>
        </w:rPr>
      </w:pPr>
      <w:r>
        <w:rPr>
          <w:sz w:val="20"/>
          <w:szCs w:val="20"/>
          <w:color w:val="auto"/>
        </w:rPr>
        <w:br w:type="column"/>
      </w:r>
    </w:p>
    <w:p>
      <w:pPr>
        <w:ind w:right="1000"/>
        <w:spacing w:after="0" w:line="277" w:lineRule="auto"/>
        <w:rPr>
          <w:sz w:val="20"/>
          <w:szCs w:val="20"/>
          <w:color w:val="auto"/>
        </w:rPr>
      </w:pPr>
      <w:r>
        <w:rPr>
          <w:rFonts w:ascii="Arial" w:cs="Arial" w:eastAsia="Arial" w:hAnsi="Arial"/>
          <w:sz w:val="18"/>
          <w:szCs w:val="18"/>
          <w:color w:val="auto"/>
        </w:rPr>
        <w:t>An entity or partnership which is organisationally connected with the Company in an economic unit within the meaning of Section 2:24b DCC.</w:t>
      </w:r>
    </w:p>
    <w:p>
      <w:pPr>
        <w:sectPr>
          <w:pgSz w:w="11900" w:h="16838" w:orient="portrait"/>
          <w:cols w:equalWidth="0" w:num="2">
            <w:col w:w="2120" w:space="720"/>
            <w:col w:w="8180"/>
          </w:cols>
          <w:pgMar w:left="440" w:top="895"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40" w:type="dxa"/>
            <w:vAlign w:val="bottom"/>
          </w:tcPr>
          <w:p>
            <w:pPr>
              <w:ind w:left="2380"/>
              <w:spacing w:after="0"/>
              <w:rPr>
                <w:sz w:val="20"/>
                <w:szCs w:val="20"/>
                <w:color w:val="auto"/>
              </w:rPr>
            </w:pPr>
            <w:r>
              <w:rPr>
                <w:rFonts w:ascii="Arial" w:cs="Arial" w:eastAsia="Arial" w:hAnsi="Arial"/>
                <w:sz w:val="18"/>
                <w:szCs w:val="18"/>
                <w:color w:val="auto"/>
              </w:rPr>
              <w:t>2</w:t>
            </w:r>
          </w:p>
        </w:tc>
      </w:tr>
      <w:tr>
        <w:trPr>
          <w:trHeight w:val="458"/>
        </w:trPr>
        <w:tc>
          <w:tcPr>
            <w:tcW w:w="2220" w:type="dxa"/>
            <w:vAlign w:val="bottom"/>
          </w:tcPr>
          <w:p>
            <w:pPr>
              <w:spacing w:after="0"/>
              <w:rPr>
                <w:sz w:val="20"/>
                <w:szCs w:val="20"/>
                <w:color w:val="auto"/>
              </w:rPr>
            </w:pPr>
            <w:r>
              <w:rPr>
                <w:rFonts w:ascii="Arial" w:cs="Arial" w:eastAsia="Arial" w:hAnsi="Arial"/>
                <w:sz w:val="18"/>
                <w:szCs w:val="18"/>
                <w:b w:val="1"/>
                <w:bCs w:val="1"/>
                <w:color w:val="auto"/>
              </w:rPr>
              <w:t>Indemnified Officer</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2"/>
              </w:rPr>
              <w:t>A current or former Director or such other current or former officer or employee of the Company or its</w:t>
            </w:r>
          </w:p>
        </w:tc>
      </w:tr>
      <w:tr>
        <w:trPr>
          <w:trHeight w:val="230"/>
        </w:trPr>
        <w:tc>
          <w:tcPr>
            <w:tcW w:w="2220" w:type="dxa"/>
            <w:vAlign w:val="bottom"/>
          </w:tcPr>
          <w:p>
            <w:pPr>
              <w:spacing w:after="0"/>
              <w:rPr>
                <w:sz w:val="20"/>
                <w:szCs w:val="20"/>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Group Companies as designated by the Board.</w:t>
            </w:r>
          </w:p>
        </w:tc>
      </w:tr>
      <w:tr>
        <w:trPr>
          <w:trHeight w:val="310"/>
        </w:trPr>
        <w:tc>
          <w:tcPr>
            <w:tcW w:w="2220" w:type="dxa"/>
            <w:vAlign w:val="bottom"/>
          </w:tcPr>
          <w:p>
            <w:pPr>
              <w:spacing w:after="0"/>
              <w:rPr>
                <w:sz w:val="20"/>
                <w:szCs w:val="20"/>
                <w:color w:val="auto"/>
              </w:rPr>
            </w:pPr>
            <w:r>
              <w:rPr>
                <w:rFonts w:ascii="Arial" w:cs="Arial" w:eastAsia="Arial" w:hAnsi="Arial"/>
                <w:sz w:val="18"/>
                <w:szCs w:val="18"/>
                <w:b w:val="1"/>
                <w:bCs w:val="1"/>
                <w:color w:val="auto"/>
              </w:rPr>
              <w:t>Meeting Rights</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0"/>
              </w:rPr>
              <w:t>With respect to the Company, the rights attributed by law to the holders of depository receipts issued for</w:t>
            </w:r>
          </w:p>
        </w:tc>
      </w:tr>
      <w:tr>
        <w:trPr>
          <w:trHeight w:val="230"/>
        </w:trPr>
        <w:tc>
          <w:tcPr>
            <w:tcW w:w="2220" w:type="dxa"/>
            <w:vAlign w:val="bottom"/>
          </w:tcPr>
          <w:p>
            <w:pPr>
              <w:spacing w:after="0"/>
              <w:rPr>
                <w:sz w:val="20"/>
                <w:szCs w:val="20"/>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5"/>
              </w:rPr>
              <w:t>shares with a company’s cooperation, including the right to attend and address a General Meeting.</w:t>
            </w:r>
          </w:p>
        </w:tc>
      </w:tr>
      <w:tr>
        <w:trPr>
          <w:trHeight w:val="324"/>
        </w:trPr>
        <w:tc>
          <w:tcPr>
            <w:tcW w:w="2220" w:type="dxa"/>
            <w:vAlign w:val="bottom"/>
          </w:tcPr>
          <w:p>
            <w:pPr>
              <w:spacing w:after="0"/>
              <w:rPr>
                <w:sz w:val="20"/>
                <w:szCs w:val="20"/>
                <w:color w:val="auto"/>
              </w:rPr>
            </w:pPr>
            <w:r>
              <w:rPr>
                <w:rFonts w:ascii="Arial" w:cs="Arial" w:eastAsia="Arial" w:hAnsi="Arial"/>
                <w:sz w:val="18"/>
                <w:szCs w:val="18"/>
                <w:b w:val="1"/>
                <w:bCs w:val="1"/>
                <w:color w:val="auto"/>
              </w:rPr>
              <w:t>Non-Executive Director</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A non-executive Director.</w:t>
            </w:r>
          </w:p>
        </w:tc>
      </w:tr>
      <w:tr>
        <w:trPr>
          <w:trHeight w:val="310"/>
        </w:trPr>
        <w:tc>
          <w:tcPr>
            <w:tcW w:w="2220" w:type="dxa"/>
            <w:vAlign w:val="bottom"/>
          </w:tcPr>
          <w:p>
            <w:pPr>
              <w:spacing w:after="0"/>
              <w:rPr>
                <w:sz w:val="20"/>
                <w:szCs w:val="20"/>
                <w:color w:val="auto"/>
              </w:rPr>
            </w:pPr>
            <w:r>
              <w:rPr>
                <w:rFonts w:ascii="Arial" w:cs="Arial" w:eastAsia="Arial" w:hAnsi="Arial"/>
                <w:sz w:val="18"/>
                <w:szCs w:val="18"/>
                <w:b w:val="1"/>
                <w:bCs w:val="1"/>
                <w:color w:val="auto"/>
                <w:w w:val="93"/>
              </w:rPr>
              <w:t>Person with Meeting Rights</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1"/>
              </w:rPr>
              <w:t>A shareholder, a usufructuary or pledgee with voting rights or a holder of depository receipts for shares</w:t>
            </w:r>
          </w:p>
        </w:tc>
      </w:tr>
      <w:tr>
        <w:trPr>
          <w:trHeight w:val="230"/>
        </w:trPr>
        <w:tc>
          <w:tcPr>
            <w:tcW w:w="2220" w:type="dxa"/>
            <w:vAlign w:val="bottom"/>
          </w:tcPr>
          <w:p>
            <w:pPr>
              <w:spacing w:after="0"/>
              <w:rPr>
                <w:sz w:val="20"/>
                <w:szCs w:val="20"/>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issued with the Company’s cooperation.</w:t>
            </w:r>
          </w:p>
        </w:tc>
      </w:tr>
      <w:tr>
        <w:trPr>
          <w:trHeight w:val="310"/>
        </w:trPr>
        <w:tc>
          <w:tcPr>
            <w:tcW w:w="2220" w:type="dxa"/>
            <w:vAlign w:val="bottom"/>
          </w:tcPr>
          <w:p>
            <w:pPr>
              <w:spacing w:after="0"/>
              <w:rPr>
                <w:sz w:val="20"/>
                <w:szCs w:val="20"/>
                <w:color w:val="auto"/>
              </w:rPr>
            </w:pPr>
            <w:r>
              <w:rPr>
                <w:rFonts w:ascii="Arial" w:cs="Arial" w:eastAsia="Arial" w:hAnsi="Arial"/>
                <w:sz w:val="18"/>
                <w:szCs w:val="18"/>
                <w:b w:val="1"/>
                <w:bCs w:val="1"/>
                <w:color w:val="auto"/>
              </w:rPr>
              <w:t>Preferred Distribution</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0"/>
              </w:rPr>
              <w:t>A distribution on the preferred shares for an amount equal to the Preferred Interest Rate calculated over</w:t>
            </w:r>
          </w:p>
        </w:tc>
      </w:tr>
      <w:tr>
        <w:trPr>
          <w:trHeight w:val="230"/>
        </w:trPr>
        <w:tc>
          <w:tcPr>
            <w:tcW w:w="2220" w:type="dxa"/>
            <w:vAlign w:val="bottom"/>
          </w:tcPr>
          <w:p>
            <w:pPr>
              <w:spacing w:after="0"/>
              <w:rPr>
                <w:sz w:val="20"/>
                <w:szCs w:val="20"/>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the aggregate amount paid up on those preferred shares, whereby:</w:t>
            </w:r>
          </w:p>
        </w:tc>
      </w:tr>
      <w:tr>
        <w:trPr>
          <w:trHeight w:val="310"/>
        </w:trPr>
        <w:tc>
          <w:tcPr>
            <w:tcW w:w="22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7240" w:type="dxa"/>
            <w:vAlign w:val="bottom"/>
          </w:tcPr>
          <w:p>
            <w:pPr>
              <w:ind w:left="100"/>
              <w:spacing w:after="0"/>
              <w:rPr>
                <w:sz w:val="20"/>
                <w:szCs w:val="20"/>
                <w:color w:val="auto"/>
              </w:rPr>
            </w:pPr>
            <w:r>
              <w:rPr>
                <w:rFonts w:ascii="Arial" w:cs="Arial" w:eastAsia="Arial" w:hAnsi="Arial"/>
                <w:sz w:val="18"/>
                <w:szCs w:val="18"/>
                <w:color w:val="auto"/>
                <w:w w:val="89"/>
              </w:rPr>
              <w:t>any amount paid up on those preferred shares (including as a result of an issue of preferred shares)</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2"/>
              </w:rPr>
              <w:t>during the financial year (or the relevant part thereof) in respect of which the distribution is made</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6"/>
              </w:rPr>
              <w:t>shall only be taken into account proportionate to the number of days that elapsed during that</w:t>
            </w:r>
          </w:p>
        </w:tc>
      </w:tr>
      <w:tr>
        <w:trPr>
          <w:trHeight w:val="230"/>
        </w:trPr>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0"/>
              </w:rPr>
              <w:t>financial year (or the relevant part thereof) after the payment was made on those preferred shares;</w:t>
            </w:r>
          </w:p>
        </w:tc>
      </w:tr>
      <w:tr>
        <w:trPr>
          <w:trHeight w:val="310"/>
        </w:trPr>
        <w:tc>
          <w:tcPr>
            <w:tcW w:w="2220" w:type="dxa"/>
            <w:vAlign w:val="bottom"/>
          </w:tcPr>
          <w:p>
            <w:pPr>
              <w:spacing w:after="0"/>
              <w:rPr>
                <w:sz w:val="24"/>
                <w:szCs w:val="24"/>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 xml:space="preserve">b.  </w:t>
            </w:r>
            <w:r>
              <w:rPr>
                <w:rFonts w:ascii="Arial" w:cs="Arial" w:eastAsia="Arial" w:hAnsi="Arial"/>
                <w:sz w:val="18"/>
                <w:szCs w:val="18"/>
                <w:color w:val="auto"/>
                <w:w w:val="91"/>
              </w:rPr>
              <w:t>any reduction of the aggregate amount paid up on preferred shares during the financial year (or the</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7"/>
              </w:rPr>
              <w:t>relevant part thereof) in respect of which the distribution is made shall be taken into account</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4"/>
              </w:rPr>
              <w:t>proportionate to the number of days that elapsed during that financial year (or the relevant part</w:t>
            </w:r>
          </w:p>
        </w:tc>
      </w:tr>
      <w:tr>
        <w:trPr>
          <w:trHeight w:val="230"/>
        </w:trPr>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thereof) until such reduction was effected; and</w:t>
            </w:r>
          </w:p>
        </w:tc>
      </w:tr>
      <w:tr>
        <w:trPr>
          <w:trHeight w:val="310"/>
        </w:trPr>
        <w:tc>
          <w:tcPr>
            <w:tcW w:w="22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7240" w:type="dxa"/>
            <w:vAlign w:val="bottom"/>
          </w:tcPr>
          <w:p>
            <w:pPr>
              <w:ind w:left="100"/>
              <w:spacing w:after="0"/>
              <w:rPr>
                <w:sz w:val="20"/>
                <w:szCs w:val="20"/>
                <w:color w:val="auto"/>
              </w:rPr>
            </w:pPr>
            <w:r>
              <w:rPr>
                <w:rFonts w:ascii="Arial" w:cs="Arial" w:eastAsia="Arial" w:hAnsi="Arial"/>
                <w:sz w:val="18"/>
                <w:szCs w:val="18"/>
                <w:color w:val="auto"/>
                <w:w w:val="92"/>
              </w:rPr>
              <w:t>if the distribution is made in respect of part of a financial year, the amount of the distribution shall</w:t>
            </w:r>
          </w:p>
        </w:tc>
      </w:tr>
      <w:tr>
        <w:trPr>
          <w:trHeight w:val="230"/>
        </w:trPr>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be proportionate to the number of days that elapsed during that part of the financial year.</w:t>
            </w:r>
          </w:p>
        </w:tc>
      </w:tr>
      <w:tr>
        <w:trPr>
          <w:trHeight w:val="310"/>
        </w:trPr>
        <w:tc>
          <w:tcPr>
            <w:tcW w:w="2220" w:type="dxa"/>
            <w:vAlign w:val="bottom"/>
          </w:tcPr>
          <w:p>
            <w:pPr>
              <w:spacing w:after="0"/>
              <w:rPr>
                <w:sz w:val="20"/>
                <w:szCs w:val="20"/>
                <w:color w:val="auto"/>
              </w:rPr>
            </w:pPr>
            <w:r>
              <w:rPr>
                <w:rFonts w:ascii="Arial" w:cs="Arial" w:eastAsia="Arial" w:hAnsi="Arial"/>
                <w:sz w:val="18"/>
                <w:szCs w:val="18"/>
                <w:b w:val="1"/>
                <w:bCs w:val="1"/>
                <w:color w:val="auto"/>
              </w:rPr>
              <w:t>Preferred Interest Rate</w:t>
            </w: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1"/>
              </w:rPr>
              <w:t>The mathematical average, calculated over the financial year (or the relevant part thereof) in respect of</w:t>
            </w:r>
          </w:p>
        </w:tc>
      </w:tr>
      <w:tr>
        <w:trPr>
          <w:trHeight w:val="216"/>
        </w:trPr>
        <w:tc>
          <w:tcPr>
            <w:tcW w:w="2220" w:type="dxa"/>
            <w:vAlign w:val="bottom"/>
          </w:tcPr>
          <w:p>
            <w:pPr>
              <w:spacing w:after="0"/>
              <w:rPr>
                <w:sz w:val="18"/>
                <w:szCs w:val="18"/>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w w:val="91"/>
              </w:rPr>
              <w:t>which a distribution is made on preferred shares, of the relevant Euribor interest rate, plus a margin not</w:t>
            </w:r>
          </w:p>
        </w:tc>
      </w:tr>
      <w:tr>
        <w:trPr>
          <w:trHeight w:val="230"/>
        </w:trPr>
        <w:tc>
          <w:tcPr>
            <w:tcW w:w="2220" w:type="dxa"/>
            <w:vAlign w:val="bottom"/>
          </w:tcPr>
          <w:p>
            <w:pPr>
              <w:spacing w:after="0"/>
              <w:rPr>
                <w:sz w:val="20"/>
                <w:szCs w:val="20"/>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exceeding five</w:t>
            </w:r>
          </w:p>
        </w:tc>
      </w:tr>
    </w:tbl>
    <w:p>
      <w:pPr>
        <w:ind w:left="80"/>
        <w:spacing w:after="0"/>
        <w:rPr>
          <w:sz w:val="20"/>
          <w:szCs w:val="20"/>
          <w:color w:val="auto"/>
        </w:rPr>
        <w:sectPr>
          <w:pgSz w:w="11900" w:h="16838" w:orient="portrait"/>
          <w:cols w:equalWidth="0" w:num="1">
            <w:col w:w="9780"/>
          </w:cols>
          <w:pgMar w:left="980" w:top="1043" w:right="11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r>
    </w:p>
    <w:bookmarkStart w:id="9" w:name="page10"/>
    <w:bookmarkEnd w:id="9"/>
    <w:p>
      <w:pPr>
        <w:jc w:val="center"/>
        <w:ind w:right="-40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t>3</w:t>
      </w:r>
    </w:p>
    <w:p>
      <w:pPr>
        <w:spacing w:after="0" w:line="266" w:lineRule="exact"/>
        <w:rPr>
          <w:sz w:val="20"/>
          <w:szCs w:val="20"/>
          <w:color w:val="auto"/>
        </w:rPr>
      </w:pPr>
    </w:p>
    <w:p>
      <w:pPr>
        <w:ind w:left="2844" w:right="240"/>
        <w:spacing w:after="0" w:line="342" w:lineRule="auto"/>
        <w:rPr>
          <w:sz w:val="20"/>
          <w:szCs w:val="20"/>
          <w:color w:val="auto"/>
        </w:rPr>
      </w:pPr>
      <w:r>
        <w:rPr>
          <w:rFonts w:ascii="Arial" w:cs="Arial" w:eastAsia="Arial" w:hAnsi="Arial"/>
          <w:sz w:val="16"/>
          <w:szCs w:val="16"/>
          <w:color w:val="auto"/>
        </w:rPr>
        <w:t>hundred basis points (500bps) to be determined by the Board each time when, or before, preferred shares are issued without preferred shares already forming part of the Company’s issued share capital.</w:t>
      </w:r>
    </w:p>
    <w:p>
      <w:pPr>
        <w:sectPr>
          <w:pgSz w:w="11900" w:h="16838" w:orient="portrait"/>
          <w:cols w:equalWidth="0" w:num="1">
            <w:col w:w="10624"/>
          </w:cols>
          <w:pgMar w:left="436" w:top="1043" w:right="839" w:bottom="1440" w:gutter="0" w:footer="0" w:header="0"/>
        </w:sectPr>
      </w:pPr>
    </w:p>
    <w:p>
      <w:pPr>
        <w:spacing w:after="0" w:line="12"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of registration for a General Meeting as provided by law.</w:t>
      </w:r>
    </w:p>
    <w:p>
      <w:pPr>
        <w:spacing w:after="0" w:line="136" w:lineRule="exact"/>
        <w:rPr>
          <w:sz w:val="20"/>
          <w:szCs w:val="20"/>
          <w:color w:val="auto"/>
        </w:rPr>
      </w:pPr>
    </w:p>
    <w:p>
      <w:pPr>
        <w:sectPr>
          <w:pgSz w:w="11900" w:h="16838" w:orient="portrait"/>
          <w:cols w:equalWidth="0" w:num="2">
            <w:col w:w="2124" w:space="720"/>
            <w:col w:w="7780"/>
          </w:cols>
          <w:pgMar w:left="436" w:top="1043" w:right="839" w:bottom="1440" w:gutter="0" w:footer="0" w:header="0"/>
          <w:type w:val="continuous"/>
        </w:sectPr>
      </w:pPr>
    </w:p>
    <w:p>
      <w:pPr>
        <w:ind w:left="544"/>
        <w:spacing w:after="0"/>
        <w:rPr>
          <w:sz w:val="20"/>
          <w:szCs w:val="20"/>
          <w:color w:val="auto"/>
        </w:rPr>
      </w:pPr>
      <w:r>
        <w:rPr>
          <w:rFonts w:ascii="Arial" w:cs="Arial" w:eastAsia="Arial" w:hAnsi="Arial"/>
          <w:sz w:val="17"/>
          <w:szCs w:val="17"/>
          <w:b w:val="1"/>
          <w:bCs w:val="1"/>
          <w:color w:val="auto"/>
        </w:rPr>
        <w:t>Simple Majority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More than half of the votes cast.</w:t>
      </w:r>
    </w:p>
    <w:p>
      <w:pPr>
        <w:spacing w:after="0" w:line="136" w:lineRule="exact"/>
        <w:rPr>
          <w:sz w:val="20"/>
          <w:szCs w:val="20"/>
          <w:color w:val="auto"/>
        </w:rPr>
      </w:pPr>
    </w:p>
    <w:p>
      <w:pPr>
        <w:sectPr>
          <w:pgSz w:w="11900" w:h="16838" w:orient="portrait"/>
          <w:cols w:equalWidth="0" w:num="2">
            <w:col w:w="2124" w:space="720"/>
            <w:col w:w="7780"/>
          </w:cols>
          <w:pgMar w:left="436" w:top="1043" w:right="83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subsidiary of the Company within the meaning of Section 2:24a DCC.</w:t>
      </w:r>
    </w:p>
    <w:p>
      <w:pPr>
        <w:spacing w:after="0" w:line="150" w:lineRule="exact"/>
        <w:rPr>
          <w:sz w:val="20"/>
          <w:szCs w:val="20"/>
          <w:color w:val="auto"/>
        </w:rPr>
      </w:pPr>
    </w:p>
    <w:p>
      <w:pPr>
        <w:sectPr>
          <w:pgSz w:w="11900" w:h="16838" w:orient="portrait"/>
          <w:cols w:equalWidth="0" w:num="2">
            <w:col w:w="2124" w:space="720"/>
            <w:col w:w="7780"/>
          </w:cols>
          <w:pgMar w:left="436" w:top="1043" w:right="839" w:bottom="1440" w:gutter="0" w:footer="0" w:header="0"/>
          <w:type w:val="continuous"/>
        </w:sect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Unless the context requires otherwise, references to “shares” or “shareholders” without further specification are to shares in the Company’s capital, irrespective of their class, or to the holders thereof, respectively.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color w:val="auto"/>
        </w:rPr>
        <w:t>Words denoting a gender include each other gender.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Except as otherwise required by law, the terms “written” and “in writing” include the use of electronic means of communication.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NAME AND SEAT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 xml:space="preserve">The Company’s name is </w:t>
      </w:r>
      <w:r>
        <w:rPr>
          <w:rFonts w:ascii="Arial" w:cs="Arial" w:eastAsia="Arial" w:hAnsi="Arial"/>
          <w:sz w:val="16"/>
          <w:szCs w:val="16"/>
          <w:b w:val="1"/>
          <w:bCs w:val="1"/>
          <w:color w:val="auto"/>
        </w:rPr>
        <w:t>Pharvaris N.V.</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Company has its corporate seat in Leiden.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OBJECTS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Company’s objects are:</w:t>
      </w:r>
    </w:p>
    <w:p>
      <w:pPr>
        <w:spacing w:after="0" w:line="131" w:lineRule="exact"/>
        <w:rPr>
          <w:sz w:val="20"/>
          <w:szCs w:val="20"/>
          <w:color w:val="auto"/>
        </w:rPr>
      </w:pPr>
    </w:p>
    <w:p>
      <w:pPr>
        <w:ind w:left="544" w:hanging="544"/>
        <w:spacing w:after="0"/>
        <w:tabs>
          <w:tab w:leader="none" w:pos="54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discover, develop and commercialize treatments, including for hereditary angioedema;</w:t>
      </w:r>
    </w:p>
    <w:p>
      <w:pPr>
        <w:spacing w:after="0" w:line="130" w:lineRule="exact"/>
        <w:rPr>
          <w:rFonts w:ascii="Arial" w:cs="Arial" w:eastAsia="Arial" w:hAnsi="Arial"/>
          <w:sz w:val="18"/>
          <w:szCs w:val="18"/>
          <w:b w:val="1"/>
          <w:bCs w:val="1"/>
          <w:color w:val="auto"/>
        </w:rPr>
      </w:pPr>
    </w:p>
    <w:p>
      <w:pPr>
        <w:ind w:left="544" w:hanging="544"/>
        <w:spacing w:after="0" w:line="263" w:lineRule="auto"/>
        <w:tabs>
          <w:tab w:leader="none" w:pos="54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9" w:lineRule="exact"/>
        <w:rPr>
          <w:rFonts w:ascii="Arial" w:cs="Arial" w:eastAsia="Arial" w:hAnsi="Arial"/>
          <w:sz w:val="18"/>
          <w:szCs w:val="18"/>
          <w:b w:val="1"/>
          <w:bCs w:val="1"/>
          <w:color w:val="auto"/>
        </w:rPr>
      </w:pPr>
    </w:p>
    <w:p>
      <w:pPr>
        <w:ind w:left="544" w:right="360" w:hanging="544"/>
        <w:spacing w:after="0" w:line="277" w:lineRule="auto"/>
        <w:tabs>
          <w:tab w:leader="none" w:pos="54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incorporate, to participate in, to finance, to hold any other interest in and to conduct the management or supervision of other entities, companies, partnerships and businesses;</w:t>
      </w:r>
    </w:p>
    <w:p>
      <w:pPr>
        <w:sectPr>
          <w:pgSz w:w="11900" w:h="16838" w:orient="portrait"/>
          <w:cols w:equalWidth="0" w:num="1">
            <w:col w:w="10624"/>
          </w:cols>
          <w:pgMar w:left="436" w:top="1043" w:right="839" w:bottom="1440" w:gutter="0" w:footer="0" w:header="0"/>
          <w:type w:val="continuous"/>
        </w:sectPr>
      </w:pPr>
    </w:p>
    <w:bookmarkStart w:id="10" w:name="page11"/>
    <w:bookmarkEnd w:id="1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4</w:t>
      </w:r>
    </w:p>
    <w:p>
      <w:pPr>
        <w:spacing w:after="0" w:line="158"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acquire, to manage, to invest, to exploit, to encumber and to dispose of assets and liabilities;</w:t>
      </w:r>
    </w:p>
    <w:p>
      <w:pPr>
        <w:spacing w:after="0" w:line="130" w:lineRule="exact"/>
        <w:rPr>
          <w:rFonts w:ascii="Arial" w:cs="Arial" w:eastAsia="Arial" w:hAnsi="Arial"/>
          <w:sz w:val="18"/>
          <w:szCs w:val="18"/>
          <w:b w:val="1"/>
          <w:bCs w:val="1"/>
          <w:color w:val="auto"/>
        </w:rPr>
      </w:pPr>
    </w:p>
    <w:p>
      <w:pPr>
        <w:ind w:left="544" w:right="460" w:hanging="544"/>
        <w:spacing w:after="0" w:line="277" w:lineRule="auto"/>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329" w:lineRule="exact"/>
        <w:rPr>
          <w:sz w:val="20"/>
          <w:szCs w:val="20"/>
          <w:color w:val="auto"/>
        </w:rPr>
      </w:pPr>
    </w:p>
    <w:p>
      <w:pPr>
        <w:ind w:left="4" w:right="4820"/>
        <w:spacing w:after="0" w:line="383" w:lineRule="auto"/>
        <w:rPr>
          <w:sz w:val="20"/>
          <w:szCs w:val="20"/>
          <w:color w:val="auto"/>
        </w:rPr>
      </w:pPr>
      <w:r>
        <w:rPr>
          <w:rFonts w:ascii="Arial" w:cs="Arial" w:eastAsia="Arial" w:hAnsi="Arial"/>
          <w:sz w:val="18"/>
          <w:szCs w:val="18"/>
          <w:b w:val="1"/>
          <w:bCs w:val="1"/>
          <w:color w:val="auto"/>
        </w:rPr>
        <w:t>SHARES - AUTHORISED SHARE CAPITAL AND DEPOSITORY RECEIPTS Article 4</w:t>
      </w:r>
    </w:p>
    <w:p>
      <w:pPr>
        <w:spacing w:after="0" w:line="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The Company’s authorised share capital amounts to fourteen million one hundred thousand euros (EUR 14,100,000).</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The authorised share capital is divided into:</w:t>
      </w:r>
    </w:p>
    <w:p>
      <w:pPr>
        <w:spacing w:after="0" w:line="135" w:lineRule="exact"/>
        <w:rPr>
          <w:sz w:val="20"/>
          <w:szCs w:val="20"/>
          <w:color w:val="auto"/>
        </w:rPr>
      </w:pPr>
    </w:p>
    <w:p>
      <w:pPr>
        <w:ind w:left="1184" w:hanging="644"/>
        <w:spacing w:after="0"/>
        <w:tabs>
          <w:tab w:leader="none" w:pos="118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fifty-eight million seven hundred and fifty thousand (58,750,000) ordinary shares; and</w:t>
      </w:r>
    </w:p>
    <w:p>
      <w:pPr>
        <w:spacing w:after="0" w:line="130" w:lineRule="exact"/>
        <w:rPr>
          <w:rFonts w:ascii="Arial" w:cs="Arial" w:eastAsia="Arial" w:hAnsi="Arial"/>
          <w:sz w:val="18"/>
          <w:szCs w:val="18"/>
          <w:b w:val="1"/>
          <w:bCs w:val="1"/>
          <w:color w:val="auto"/>
        </w:rPr>
      </w:pPr>
    </w:p>
    <w:p>
      <w:pPr>
        <w:ind w:left="544" w:right="3860" w:hanging="4"/>
        <w:spacing w:after="0" w:line="381" w:lineRule="auto"/>
        <w:tabs>
          <w:tab w:leader="none" w:pos="1181"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fifty-eight million seven hundred and fifty thousand (58,750,000) preferred shares, each having a nominal value of twelve eurocents (EUR 0.12).</w:t>
      </w:r>
    </w:p>
    <w:p>
      <w:pPr>
        <w:ind w:left="544" w:right="32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The Board may resolve that one or more shares are divided into such number of fractional shares as may be determined by the Board. Unless specified differently, the provisions of these articles of association concerning shares and shareholders apply mutatis mutandis to fractional shares and the holders thereof, respectively.</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The Company may cooperate with the issue of depository receipts for shares in its capital.</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 FORM AND SHARE REGISTER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5</w:t>
      </w:r>
    </w:p>
    <w:p>
      <w:pPr>
        <w:spacing w:after="0" w:line="131"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All shares are in registered form. The Company may issue share certificates for shares in registered form as may be approved by the Board. Each Director is authorised to sign any such share certificate on behalf of the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Shares shall be numbered consecutively per class of shares, starting from 1.</w:t>
      </w:r>
    </w:p>
    <w:p>
      <w:pPr>
        <w:spacing w:after="0" w:line="131" w:lineRule="exact"/>
        <w:rPr>
          <w:sz w:val="20"/>
          <w:szCs w:val="20"/>
          <w:color w:val="auto"/>
        </w:rPr>
      </w:pPr>
    </w:p>
    <w:p>
      <w:pPr>
        <w:ind w:left="544" w:right="320"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color w:val="auto"/>
        </w:rPr>
        <w:t>The Board shall keep a register setting out the names and addresses of all shareholders and all holders of a usufruct or pledge in respect of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7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Shareholders, usufructuaries and pledgees shall provide the Board with the necessary particulars in a timely fashion. Any consequences of not, or incorrectly, notifying such particulars shall be borne by the party concerned.</w:t>
      </w:r>
    </w:p>
    <w:p>
      <w:pPr>
        <w:sectPr>
          <w:pgSz w:w="11900" w:h="16838" w:orient="portrait"/>
          <w:cols w:equalWidth="0" w:num="1">
            <w:col w:w="11004"/>
          </w:cols>
          <w:pgMar w:left="436" w:top="1043" w:right="459" w:bottom="1440" w:gutter="0" w:footer="0" w:header="0"/>
        </w:sectPr>
      </w:pPr>
    </w:p>
    <w:bookmarkStart w:id="11" w:name="page12"/>
    <w:bookmarkEnd w:id="11"/>
    <w:p>
      <w:pPr>
        <w:ind w:left="5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5</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color w:val="auto"/>
        </w:rPr>
        <w:t>All notifications may be sent to shareholders, usufructuaries and pledgees at their respective addresses as set out in the register.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131" w:lineRule="exact"/>
        <w:rPr>
          <w:sz w:val="20"/>
          <w:szCs w:val="20"/>
          <w:color w:val="auto"/>
        </w:rPr>
      </w:pPr>
    </w:p>
    <w:p>
      <w:pPr>
        <w:ind w:left="540" w:right="80" w:hanging="539"/>
        <w:spacing w:after="0" w:line="257" w:lineRule="auto"/>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93"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In order for a resolution of the General Meeting on an issuance or an authorisation as referred to in Article 6.1 to be valid, a prior or simultaneous approval shall be required from each Class Meeting of shares whose rights are prejudiced by the issuance.</w:t>
      </w:r>
    </w:p>
    <w:p>
      <w:pPr>
        <w:spacing w:after="0" w:line="76"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The preceding provisions of this Article 6 apply mutatis mutandis to the granting of rights to subscribe for shares, but do not apply in respect of issuing shares to a party exercising a previously acquired right to subscribe for shares.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The Company may not subscribe for shares in its own capital.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PRE-EMPTION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131" w:lineRule="exact"/>
        <w:rPr>
          <w:sz w:val="20"/>
          <w:szCs w:val="20"/>
          <w:color w:val="auto"/>
        </w:rPr>
      </w:pPr>
    </w:p>
    <w:p>
      <w:pPr>
        <w:ind w:left="540" w:right="2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Upon an issue of ordinary shares, each shareholder shall have a pre-emption right in proportion to the aggregate nominal value of his ordinary shares. No pre-emption rights are attached to preferred shares.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In deviation of Article 7.1, shareholders do not have pre-emption rights in respect of:</w:t>
      </w:r>
    </w:p>
    <w:p>
      <w:pPr>
        <w:spacing w:after="0" w:line="135" w:lineRule="exact"/>
        <w:rPr>
          <w:sz w:val="20"/>
          <w:szCs w:val="20"/>
          <w:color w:val="auto"/>
        </w:rPr>
      </w:pPr>
    </w:p>
    <w:p>
      <w:pPr>
        <w:ind w:left="1180" w:hanging="644"/>
        <w:spacing w:after="0"/>
        <w:tabs>
          <w:tab w:leader="none" w:pos="11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preferred shares;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shares issued against non-cash contribution; or</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shares issued to employees of the Company or of a Group Company.</w:t>
      </w:r>
    </w:p>
    <w:p>
      <w:pPr>
        <w:spacing w:after="0" w:line="127" w:lineRule="exact"/>
        <w:rPr>
          <w:sz w:val="20"/>
          <w:szCs w:val="20"/>
          <w:color w:val="auto"/>
        </w:rPr>
      </w:pPr>
    </w:p>
    <w:p>
      <w:pPr>
        <w:jc w:val="right"/>
        <w:spacing w:after="0" w:line="347"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color w:val="auto"/>
        </w:rPr>
        <w:t>The Company shall announce an issue with pre-emption rights and the period during which those rights can be exercised in the State Gazette and</w:t>
      </w:r>
      <w:r>
        <w:rPr>
          <w:rFonts w:ascii="Arial" w:cs="Arial" w:eastAsia="Arial" w:hAnsi="Arial"/>
          <w:sz w:val="16"/>
          <w:szCs w:val="16"/>
          <w:b w:val="1"/>
          <w:bCs w:val="1"/>
          <w:color w:val="auto"/>
        </w:rPr>
        <w:t xml:space="preserve"> </w:t>
      </w:r>
      <w:r>
        <w:rPr>
          <w:rFonts w:ascii="Arial" w:cs="Arial" w:eastAsia="Arial" w:hAnsi="Arial"/>
          <w:sz w:val="16"/>
          <w:szCs w:val="16"/>
          <w:color w:val="auto"/>
        </w:rPr>
        <w:t>in a daily newspaper with national distribution, unless the announcement is sent in writing to all shareholders at the addresses submitted by them.</w:t>
      </w:r>
    </w:p>
    <w:p>
      <w:pPr>
        <w:sectPr>
          <w:pgSz w:w="11900" w:h="16838" w:orient="portrait"/>
          <w:cols w:equalWidth="0" w:num="1">
            <w:col w:w="11000"/>
          </w:cols>
          <w:pgMar w:left="440" w:top="1043" w:right="4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6</w:t>
      </w:r>
    </w:p>
    <w:p>
      <w:pPr>
        <w:spacing w:after="0" w:line="154" w:lineRule="exact"/>
        <w:rPr>
          <w:sz w:val="20"/>
          <w:szCs w:val="20"/>
          <w:color w:val="auto"/>
        </w:rPr>
      </w:pPr>
    </w:p>
    <w:p>
      <w:pPr>
        <w:ind w:left="540" w:right="8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Pre-emption rights may be exercised for a period of at least two weeks after the date of announcement in the State Gazette or after the announcement was sent to the shareholders.</w:t>
      </w:r>
    </w:p>
    <w:p>
      <w:pPr>
        <w:spacing w:after="0" w:line="76" w:lineRule="exact"/>
        <w:rPr>
          <w:sz w:val="20"/>
          <w:szCs w:val="20"/>
          <w:color w:val="auto"/>
        </w:rPr>
      </w:pPr>
    </w:p>
    <w:p>
      <w:pPr>
        <w:ind w:left="540" w:right="180" w:hanging="539"/>
        <w:spacing w:after="0" w:line="257" w:lineRule="auto"/>
        <w:tabs>
          <w:tab w:leader="none" w:pos="5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Pre-emption rights may be limited or excluded by a resolution of the General Meeting or of the body authorised as referred to in Article 6.1,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93" w:lineRule="exact"/>
        <w:rPr>
          <w:sz w:val="20"/>
          <w:szCs w:val="20"/>
          <w:color w:val="auto"/>
        </w:rPr>
      </w:pPr>
    </w:p>
    <w:p>
      <w:pPr>
        <w:ind w:left="540" w:right="4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color w:val="auto"/>
        </w:rPr>
        <w:t>A resolution of the General Meeting to limit or exclude pre-emption rights, or to grant an authorisation as referred to in Article 7.5, shall require a majority of at least two thirds of the votes cast if less than half of the issued share capital is represented at the General Meeting.</w:t>
      </w:r>
    </w:p>
    <w:p>
      <w:pPr>
        <w:spacing w:after="0" w:line="52" w:lineRule="exact"/>
        <w:rPr>
          <w:sz w:val="20"/>
          <w:szCs w:val="20"/>
          <w:color w:val="auto"/>
        </w:rPr>
      </w:pPr>
    </w:p>
    <w:p>
      <w:pPr>
        <w:ind w:left="540" w:right="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color w:val="auto"/>
        </w:rPr>
        <w:t>The preceding provisions of this Article 7 apply mutatis mutandis to the granting of rights to subscribe for shares, but do not apply in respect of issuing shares to a party exercising a previously acquired right to subscribe for shares.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13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Without prejudice to Section 2:80(2) DCC, the nominal value of a share and, if the share is subscribed for at a higher price, the difference between these amounts must be paid up upon subscription for that share. However, it may be stipulated that part of the nominal value of a preferred share, not exceeding three quarters thereof, need not be paid up until the Company has called for payment. The Company shall observe a reasonable notice period of at least one month with respect to any such call for payment.</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Shares must be paid up in cash, except to the extent that payment by means of a contribution in another form has been agreed.</w:t>
      </w:r>
    </w:p>
    <w:p>
      <w:pPr>
        <w:spacing w:after="0" w:line="131" w:lineRule="exact"/>
        <w:rPr>
          <w:sz w:val="20"/>
          <w:szCs w:val="20"/>
          <w:color w:val="auto"/>
        </w:rPr>
      </w:pPr>
    </w:p>
    <w:p>
      <w:pPr>
        <w:ind w:left="540" w:right="50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Payment in a currency other than the euro can only be made with the Company’s consent. Where such a payment is made, the payment obligation is satisfied for the amount in euro for which the paid amount can be freely exchanged. Without prejudice to the last sentence of Section 2:80a(3) DCC, the date of the payment determines the exchange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FINANCIAL ASSISTANCE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131" w:lineRule="exact"/>
        <w:rPr>
          <w:sz w:val="20"/>
          <w:szCs w:val="20"/>
          <w:color w:val="auto"/>
        </w:rPr>
      </w:pPr>
    </w:p>
    <w:p>
      <w:pPr>
        <w:jc w:val="both"/>
        <w:ind w:left="540" w:right="1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ectPr>
          <w:pgSz w:w="11900" w:h="16838" w:orient="portrait"/>
          <w:cols w:equalWidth="0" w:num="1">
            <w:col w:w="10960"/>
          </w:cols>
          <w:pgMar w:left="440" w:top="1043" w:right="4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7</w:t>
      </w:r>
    </w:p>
    <w:p>
      <w:pPr>
        <w:spacing w:after="0" w:line="154" w:lineRule="exact"/>
        <w:rPr>
          <w:sz w:val="20"/>
          <w:szCs w:val="20"/>
          <w:color w:val="auto"/>
        </w:rPr>
      </w:pPr>
    </w:p>
    <w:p>
      <w:pPr>
        <w:ind w:left="540" w:right="26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color w:val="auto"/>
        </w:rPr>
        <w:t>The Company and its Subsidiaries may not provide loans with a view to the subscription for or acquisition of shares or depository receipts for shares in the Company’s capital by others, unless the Board resolves to do so and Section 2:98c DCC is observed.</w:t>
      </w:r>
    </w:p>
    <w:p>
      <w:pPr>
        <w:spacing w:after="0" w:line="52" w:lineRule="exact"/>
        <w:rPr>
          <w:sz w:val="20"/>
          <w:szCs w:val="20"/>
          <w:color w:val="auto"/>
        </w:rPr>
      </w:pPr>
    </w:p>
    <w:p>
      <w:pPr>
        <w:ind w:left="540" w:right="6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The preceding provisions of this Article 9 do not apply if shares or depository receipts for shares are subscribed for or acquired by or for employees of the Company or of a Group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ACQUISITION OF OWN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The acquisition by the Company of shares in its own capital which have not been fully paid up shall be null and void.</w:t>
      </w:r>
    </w:p>
    <w:p>
      <w:pPr>
        <w:spacing w:after="0" w:line="131" w:lineRule="exact"/>
        <w:rPr>
          <w:sz w:val="20"/>
          <w:szCs w:val="20"/>
          <w:color w:val="auto"/>
        </w:rPr>
      </w:pPr>
    </w:p>
    <w:p>
      <w:pPr>
        <w:ind w:left="540" w:right="20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color w:val="auto"/>
        </w:rPr>
        <w:t>The Company may only acquire fully paid up shares in its own capital for no consideration or if and to the extent that the General Meeting has authorised the Board for this purpose and all other relevant statutory requirements of Section 2:98 DCC are observed.</w:t>
      </w:r>
    </w:p>
    <w:p>
      <w:pPr>
        <w:spacing w:after="0" w:line="52"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An authorisation as referred to in Article 10.2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93" w:lineRule="exact"/>
        <w:rPr>
          <w:sz w:val="20"/>
          <w:szCs w:val="20"/>
          <w:color w:val="auto"/>
        </w:rPr>
      </w:pPr>
    </w:p>
    <w:p>
      <w:pPr>
        <w:jc w:val="both"/>
        <w:ind w:left="540" w:right="1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Without prejudice to Articles 10.1 through 10.3, the Company may acquire shares in its own capital for cash consideration or for consideration satisfied in the form of assets. In the case of a consideration being satisfied in the form of assets, the value thereof, as determined by the Board, must be within the range stipulated by the General Meeting as referred to in Article 10.3.</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color w:val="auto"/>
        </w:rPr>
        <w:t>The previous provisions of this Article 10 do not apply to shares acquired by the Company under universal title of succession.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color w:val="auto"/>
        </w:rPr>
        <w:t>In this Article 10, references to shares include depository receipts for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REDUCTION OF ISSUED SHARE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131" w:lineRule="exact"/>
        <w:rPr>
          <w:sz w:val="20"/>
          <w:szCs w:val="20"/>
          <w:color w:val="auto"/>
        </w:rPr>
      </w:pPr>
    </w:p>
    <w:p>
      <w:pPr>
        <w:ind w:left="540" w:right="1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ectPr>
          <w:pgSz w:w="11900" w:h="16838" w:orient="portrait"/>
          <w:cols w:equalWidth="0" w:num="1">
            <w:col w:w="11000"/>
          </w:cols>
          <w:pgMar w:left="440" w:top="1043" w:right="4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8</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A resolution to cancel shares can only relate to:</w:t>
      </w:r>
    </w:p>
    <w:p>
      <w:pPr>
        <w:spacing w:after="0" w:line="135" w:lineRule="exact"/>
        <w:rPr>
          <w:sz w:val="20"/>
          <w:szCs w:val="20"/>
          <w:color w:val="auto"/>
        </w:rPr>
      </w:pPr>
    </w:p>
    <w:p>
      <w:pPr>
        <w:ind w:left="1180" w:hanging="644"/>
        <w:spacing w:after="0"/>
        <w:tabs>
          <w:tab w:leader="none" w:pos="11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shares held by the Company itself or in respect of which the Company holds the depository receipts; and</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all preferred shares, with repayment of the amounts paid up in respect thereof and provided that, to the extent allowed under</w:t>
      </w:r>
    </w:p>
    <w:p>
      <w:pPr>
        <w:spacing w:after="0" w:line="34" w:lineRule="exact"/>
        <w:rPr>
          <w:rFonts w:ascii="Arial" w:cs="Arial" w:eastAsia="Arial" w:hAnsi="Arial"/>
          <w:sz w:val="17"/>
          <w:szCs w:val="17"/>
          <w:b w:val="1"/>
          <w:bCs w:val="1"/>
          <w:color w:val="auto"/>
        </w:rPr>
      </w:pPr>
    </w:p>
    <w:p>
      <w:pPr>
        <w:ind w:left="1180" w:right="12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Articles 30.1 and 30.2, a distribution is made on those preferred shares, in proportion to the amounts paid up on those preferred shares, immediately prior to such cancellation becoming effective, for an aggregate amount of:</w:t>
      </w:r>
    </w:p>
    <w:p>
      <w:pPr>
        <w:spacing w:after="0" w:line="90" w:lineRule="exact"/>
        <w:rPr>
          <w:rFonts w:ascii="Arial" w:cs="Arial" w:eastAsia="Arial" w:hAnsi="Arial"/>
          <w:sz w:val="17"/>
          <w:szCs w:val="17"/>
          <w:b w:val="1"/>
          <w:bCs w:val="1"/>
          <w:color w:val="auto"/>
        </w:rPr>
      </w:pPr>
    </w:p>
    <w:p>
      <w:pPr>
        <w:ind w:left="1740" w:right="420" w:hanging="543"/>
        <w:spacing w:after="0" w:line="263" w:lineRule="auto"/>
        <w:tabs>
          <w:tab w:leader="none" w:pos="174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total of all Preferred Distributions (or parts thereof) in relation to financial years prior to the financial year in which the cancellation occurs, to the extent that these should have been distributed but have not yet been distributed as described in Article 32.1; and</w:t>
      </w:r>
    </w:p>
    <w:p>
      <w:pPr>
        <w:spacing w:after="0" w:line="89" w:lineRule="exact"/>
        <w:rPr>
          <w:rFonts w:ascii="Arial" w:cs="Arial" w:eastAsia="Arial" w:hAnsi="Arial"/>
          <w:sz w:val="18"/>
          <w:szCs w:val="18"/>
          <w:b w:val="1"/>
          <w:bCs w:val="1"/>
          <w:color w:val="auto"/>
        </w:rPr>
      </w:pPr>
    </w:p>
    <w:p>
      <w:pPr>
        <w:ind w:left="1740" w:right="100" w:hanging="543"/>
        <w:spacing w:after="0" w:line="277" w:lineRule="auto"/>
        <w:tabs>
          <w:tab w:leader="none" w:pos="174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Preferred Distribution calculated in respect of the part of the financial year in which the cancellation occurs, for the number of days that have elapsed during such part of the financial year.</w:t>
      </w:r>
    </w:p>
    <w:p>
      <w:pPr>
        <w:spacing w:after="0" w:line="72" w:lineRule="exact"/>
        <w:rPr>
          <w:sz w:val="20"/>
          <w:szCs w:val="20"/>
          <w:color w:val="auto"/>
        </w:rPr>
      </w:pPr>
    </w:p>
    <w:p>
      <w:pPr>
        <w:ind w:left="540" w:right="38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A resolution to reduce the Company’s issued share capital, shall require a prior or simultaneous approval from each Class Meeting of shares whose rights are prejudiced. However, if such a resolution relates to preferred shares, such resolution shall always require the prior or simultaneous approval of the Class Meeting concerned.</w:t>
      </w:r>
    </w:p>
    <w:p>
      <w:pPr>
        <w:spacing w:after="0" w:line="89" w:lineRule="exact"/>
        <w:rPr>
          <w:sz w:val="20"/>
          <w:szCs w:val="20"/>
          <w:color w:val="auto"/>
        </w:rPr>
      </w:pPr>
    </w:p>
    <w:p>
      <w:pPr>
        <w:jc w:val="both"/>
        <w:ind w:left="540" w:right="12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 AND TRANSFER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131" w:lineRule="exact"/>
        <w:rPr>
          <w:sz w:val="20"/>
          <w:szCs w:val="20"/>
          <w:color w:val="auto"/>
        </w:rPr>
      </w:pPr>
    </w:p>
    <w:p>
      <w:pPr>
        <w:ind w:left="540" w:right="40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Except as otherwise provided or allowed by Dutch law, the issue or transfer of a share shall require a deed to that effect and, in the case of a transfer and unless the Company itself is a party to the transaction, acknowledgement of the transfer by the Company.</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The acknowledgement shall be set out in the deed or shall be made in such other manner as prescribed by law.</w:t>
      </w:r>
    </w:p>
    <w:p>
      <w:pPr>
        <w:spacing w:after="0" w:line="13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ectPr>
          <w:pgSz w:w="11900" w:h="16838" w:orient="portrait"/>
          <w:cols w:equalWidth="0" w:num="1">
            <w:col w:w="11000"/>
          </w:cols>
          <w:pgMar w:left="440" w:top="1043" w:right="4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USUFRUCT AND PLEDGE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Shares can be encumbered with a usufruct or pledge. The creation of a pledge on preferred shares shall require the prior approval of the Board.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voting rights attached to a share which is subject to a usufruct or pledge vest in the shareholder concerned.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In deviation of Article 13.2:</w:t>
      </w:r>
    </w:p>
    <w:p>
      <w:pPr>
        <w:spacing w:after="0" w:line="135" w:lineRule="exact"/>
        <w:rPr>
          <w:sz w:val="20"/>
          <w:szCs w:val="20"/>
          <w:color w:val="auto"/>
        </w:rPr>
      </w:pPr>
    </w:p>
    <w:p>
      <w:pPr>
        <w:ind w:left="1180" w:right="60" w:hanging="644"/>
        <w:spacing w:after="0" w:line="277" w:lineRule="auto"/>
        <w:tabs>
          <w:tab w:leader="none" w:pos="11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ordinary shares shall have the voting rights attached thereto if this was provided when the usufruct or pledge was created; and</w:t>
      </w:r>
    </w:p>
    <w:p>
      <w:pPr>
        <w:spacing w:after="0" w:line="75" w:lineRule="exact"/>
        <w:rPr>
          <w:rFonts w:ascii="Arial" w:cs="Arial" w:eastAsia="Arial" w:hAnsi="Arial"/>
          <w:sz w:val="18"/>
          <w:szCs w:val="18"/>
          <w:b w:val="1"/>
          <w:bCs w:val="1"/>
          <w:color w:val="auto"/>
        </w:rPr>
      </w:pPr>
    </w:p>
    <w:p>
      <w:pPr>
        <w:ind w:left="1180" w:hanging="644"/>
        <w:spacing w:after="0" w:line="277" w:lineRule="auto"/>
        <w:tabs>
          <w:tab w:leader="none" w:pos="11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preferred shares shall have the voting rights attached thereto if this was provided when the usufruct or pledge was created and this was approved by the Board.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Usufructuaries and pledgees without voting rights shall not have Meeting Rights.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TRANSFER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131" w:lineRule="exact"/>
        <w:rPr>
          <w:sz w:val="20"/>
          <w:szCs w:val="20"/>
          <w:color w:val="auto"/>
        </w:rPr>
      </w:pPr>
    </w:p>
    <w:p>
      <w:pPr>
        <w:ind w:left="540" w:right="14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A transfer of preferred shares shall require the prior approval of the Board. A shareholder wishing to transfer preferred shares must first request the Board to grant such approval. A transfer of ordinary shares is not subject to transfer restrictions under these articles of association.</w:t>
      </w:r>
    </w:p>
    <w:p>
      <w:pPr>
        <w:spacing w:after="0" w:line="29" w:lineRule="exact"/>
        <w:rPr>
          <w:sz w:val="20"/>
          <w:szCs w:val="20"/>
          <w:color w:val="auto"/>
        </w:rPr>
      </w:pPr>
    </w:p>
    <w:p>
      <w:pPr>
        <w:ind w:left="540" w:right="2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A transfer of the preferred shares to which the request for approval relates must take place within three months after the approval of the Board has been granted or is deemed to have been granted pursuant to Article 14.3.</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color w:val="auto"/>
        </w:rPr>
        <w:t>The approval of the Board shall be deemed to have been granted:</w:t>
      </w:r>
    </w:p>
    <w:p>
      <w:pPr>
        <w:spacing w:after="0" w:line="135" w:lineRule="exact"/>
        <w:rPr>
          <w:sz w:val="20"/>
          <w:szCs w:val="20"/>
          <w:color w:val="auto"/>
        </w:rPr>
      </w:pPr>
    </w:p>
    <w:p>
      <w:pPr>
        <w:ind w:left="1180" w:right="80" w:hanging="644"/>
        <w:spacing w:after="0" w:line="277" w:lineRule="auto"/>
        <w:tabs>
          <w:tab w:leader="none" w:pos="11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no resolution granting or denying the approval has been passed by the Board within three months after the Company has received the request for approval; or</w:t>
      </w:r>
    </w:p>
    <w:p>
      <w:pPr>
        <w:spacing w:after="0" w:line="75" w:lineRule="exact"/>
        <w:rPr>
          <w:rFonts w:ascii="Arial" w:cs="Arial" w:eastAsia="Arial" w:hAnsi="Arial"/>
          <w:sz w:val="18"/>
          <w:szCs w:val="18"/>
          <w:b w:val="1"/>
          <w:bCs w:val="1"/>
          <w:color w:val="auto"/>
        </w:rPr>
      </w:pPr>
    </w:p>
    <w:p>
      <w:pPr>
        <w:ind w:left="1180" w:right="360" w:hanging="644"/>
        <w:spacing w:after="0" w:line="277" w:lineRule="auto"/>
        <w:tabs>
          <w:tab w:leader="none" w:pos="11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the Board, when denying the approval, does not notify the requesting shareholder of the identity of one or more interested parties willing to purchase the relevant preferred shares.</w:t>
      </w:r>
    </w:p>
    <w:p>
      <w:pPr>
        <w:spacing w:after="0" w:line="72" w:lineRule="exact"/>
        <w:rPr>
          <w:sz w:val="20"/>
          <w:szCs w:val="20"/>
          <w:color w:val="auto"/>
        </w:rPr>
      </w:pPr>
    </w:p>
    <w:p>
      <w:pPr>
        <w:ind w:left="540" w:right="7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If the Board denies the approval and notifies the requesting shareholder of the identity of one or more interested parties, the requesting shareholder shall notify the Board within two weeks after having received such notice whether:</w:t>
      </w:r>
    </w:p>
    <w:p>
      <w:pPr>
        <w:spacing w:after="0" w:line="80" w:lineRule="exact"/>
        <w:rPr>
          <w:sz w:val="20"/>
          <w:szCs w:val="20"/>
          <w:color w:val="auto"/>
        </w:rPr>
      </w:pPr>
    </w:p>
    <w:p>
      <w:pPr>
        <w:ind w:left="1180" w:hanging="644"/>
        <w:spacing w:after="0"/>
        <w:tabs>
          <w:tab w:leader="none" w:pos="118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he withdraws his request for approval, in which case the requesting shareholder cannot transfer the relevant preferred shares; or</w:t>
      </w:r>
    </w:p>
    <w:p>
      <w:pPr>
        <w:sectPr>
          <w:pgSz w:w="11900" w:h="16838" w:orient="portrait"/>
          <w:cols w:equalWidth="0" w:num="1">
            <w:col w:w="11000"/>
          </w:cols>
          <w:pgMar w:left="440" w:top="1043" w:right="4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10</w:t>
      </w:r>
    </w:p>
    <w:p>
      <w:pPr>
        <w:spacing w:after="0" w:line="158" w:lineRule="exact"/>
        <w:rPr>
          <w:sz w:val="20"/>
          <w:szCs w:val="20"/>
          <w:color w:val="auto"/>
        </w:rPr>
      </w:pPr>
    </w:p>
    <w:p>
      <w:pPr>
        <w:ind w:left="1180" w:right="200" w:hanging="644"/>
        <w:spacing w:after="0" w:line="277" w:lineRule="auto"/>
        <w:tabs>
          <w:tab w:leader="none" w:pos="11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he accepts the interested party(ies), in which case the requesting shareholder shall promptly enter into negotiations with the interested party(ies) regarding the price to be paid for the relevant preferred shares.</w:t>
      </w:r>
    </w:p>
    <w:p>
      <w:pPr>
        <w:spacing w:after="0" w:line="62"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If the requesting shareholder does not notify the Board of his choice in a timely fashion, he shall be deemed to have withdrawn his request for approval, in which case he cannot transfer the relevant preferred shares.</w:t>
      </w:r>
    </w:p>
    <w:p>
      <w:pPr>
        <w:spacing w:after="0" w:line="7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8"/>
          <w:szCs w:val="18"/>
          <w:color w:val="auto"/>
        </w:rPr>
        <w:t>If an agreement is reached in the negotiations referred to in Article 14.4 paragraph b. within two weeks after the end of the period referred to in Article 14.4, the relevant preferred shares shall be transferred for the agreed price within three months after such agreement having been reached. If no agreement is reached in these negotiations in a timely fashion:</w:t>
      </w:r>
    </w:p>
    <w:p>
      <w:pPr>
        <w:spacing w:after="0" w:line="93" w:lineRule="exact"/>
        <w:rPr>
          <w:sz w:val="20"/>
          <w:szCs w:val="20"/>
          <w:color w:val="auto"/>
        </w:rPr>
      </w:pPr>
    </w:p>
    <w:p>
      <w:pPr>
        <w:ind w:left="1180" w:hanging="644"/>
        <w:spacing w:after="0"/>
        <w:tabs>
          <w:tab w:leader="none" w:pos="11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notify the Board thereof; and</w:t>
      </w:r>
    </w:p>
    <w:p>
      <w:pPr>
        <w:spacing w:after="0" w:line="130" w:lineRule="exact"/>
        <w:rPr>
          <w:rFonts w:ascii="Arial" w:cs="Arial" w:eastAsia="Arial" w:hAnsi="Arial"/>
          <w:sz w:val="18"/>
          <w:szCs w:val="18"/>
          <w:b w:val="1"/>
          <w:bCs w:val="1"/>
          <w:color w:val="auto"/>
        </w:rPr>
      </w:pPr>
    </w:p>
    <w:p>
      <w:pPr>
        <w:ind w:left="1180" w:right="460" w:hanging="644"/>
        <w:spacing w:after="0" w:line="308" w:lineRule="auto"/>
        <w:tabs>
          <w:tab w:leader="none" w:pos="118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price to be paid for the relevant preferred shares shall be equal to the value thereof, as determined by one or more independent experts to be appointed by the requesting shareholder and the interested party(ies) by mutual agreement.</w:t>
      </w:r>
    </w:p>
    <w:p>
      <w:pPr>
        <w:spacing w:after="0" w:line="48" w:lineRule="exact"/>
        <w:rPr>
          <w:sz w:val="20"/>
          <w:szCs w:val="20"/>
          <w:color w:val="auto"/>
        </w:rPr>
      </w:pPr>
    </w:p>
    <w:p>
      <w:pPr>
        <w:ind w:left="540" w:right="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8"/>
          <w:szCs w:val="18"/>
          <w:color w:val="auto"/>
        </w:rPr>
        <w:t>If no agreement is reached on the appointment of the independent expert(s) as referred to in Article 14.5 paragraph b. within two weeks after the end of the period referred to in Article 14.5:</w:t>
      </w:r>
    </w:p>
    <w:p>
      <w:pPr>
        <w:spacing w:after="0" w:line="80" w:lineRule="exact"/>
        <w:rPr>
          <w:sz w:val="20"/>
          <w:szCs w:val="20"/>
          <w:color w:val="auto"/>
        </w:rPr>
      </w:pPr>
    </w:p>
    <w:p>
      <w:pPr>
        <w:ind w:left="1180" w:hanging="644"/>
        <w:spacing w:after="0"/>
        <w:tabs>
          <w:tab w:leader="none" w:pos="11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notify the Board thereof; and</w:t>
      </w:r>
    </w:p>
    <w:p>
      <w:pPr>
        <w:spacing w:after="0" w:line="130" w:lineRule="exact"/>
        <w:rPr>
          <w:rFonts w:ascii="Arial" w:cs="Arial" w:eastAsia="Arial" w:hAnsi="Arial"/>
          <w:sz w:val="18"/>
          <w:szCs w:val="18"/>
          <w:b w:val="1"/>
          <w:bCs w:val="1"/>
          <w:color w:val="auto"/>
        </w:rPr>
      </w:pPr>
    </w:p>
    <w:p>
      <w:pPr>
        <w:ind w:left="1180" w:right="80" w:hanging="644"/>
        <w:spacing w:after="0" w:line="277" w:lineRule="auto"/>
        <w:tabs>
          <w:tab w:leader="none" w:pos="11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request the president of the district court in whose district the Company has its corporate seat to appoint three independent experts to determine the value of the relevant preferred shares.</w:t>
      </w:r>
    </w:p>
    <w:p>
      <w:pPr>
        <w:spacing w:after="0" w:line="72" w:lineRule="exact"/>
        <w:rPr>
          <w:sz w:val="20"/>
          <w:szCs w:val="20"/>
          <w:color w:val="auto"/>
        </w:rPr>
      </w:pPr>
    </w:p>
    <w:p>
      <w:pPr>
        <w:ind w:left="540" w:right="220" w:hanging="539"/>
        <w:spacing w:after="0" w:line="279" w:lineRule="auto"/>
        <w:tabs>
          <w:tab w:leader="none" w:pos="5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color w:val="auto"/>
        </w:rPr>
        <w:t>If and when the value of the relevant preferred shares has been determined by the independent expert(s), irrespective of whether he/they was/were appointed by mutual agreement or by the president of the relevant district court, the requesting shareholder shall promptly notify the Board of the value so determined. The Board shall then promptly inform the interested party(ies) of such value, following which the/each interested party may withdraw from the sale procedure by giving notice thereof to the Board within two weeks.</w:t>
      </w:r>
    </w:p>
    <w:p>
      <w:pPr>
        <w:spacing w:after="0" w:line="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color w:val="auto"/>
        </w:rPr>
        <w:t>If any interested party withdraws from the sale procedure in accordance with Article 14.7, the Board:</w:t>
      </w:r>
    </w:p>
    <w:p>
      <w:pPr>
        <w:spacing w:after="0" w:line="135" w:lineRule="exact"/>
        <w:rPr>
          <w:sz w:val="20"/>
          <w:szCs w:val="20"/>
          <w:color w:val="auto"/>
        </w:rPr>
      </w:pPr>
    </w:p>
    <w:p>
      <w:pPr>
        <w:ind w:left="1180" w:hanging="644"/>
        <w:spacing w:after="0"/>
        <w:tabs>
          <w:tab w:leader="none" w:pos="11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shall promptly inform the requesting shareholder and the other interested party(ies), if any, thereof; and</w:t>
      </w:r>
    </w:p>
    <w:p>
      <w:pPr>
        <w:spacing w:after="0" w:line="130" w:lineRule="exact"/>
        <w:rPr>
          <w:rFonts w:ascii="Arial" w:cs="Arial" w:eastAsia="Arial" w:hAnsi="Arial"/>
          <w:sz w:val="18"/>
          <w:szCs w:val="18"/>
          <w:b w:val="1"/>
          <w:bCs w:val="1"/>
          <w:color w:val="auto"/>
        </w:rPr>
      </w:pPr>
    </w:p>
    <w:p>
      <w:pPr>
        <w:ind w:left="1180" w:right="20" w:hanging="644"/>
        <w:spacing w:after="0" w:line="259" w:lineRule="auto"/>
        <w:tabs>
          <w:tab w:leader="none" w:pos="11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shall give the opportunity to the/each other interested party, if any, to declare to the Board and the requesting shareholder, within two weeks, his willingness to acquire the preferred shares having become available as a result of the withdrawal, for the price determined by the independent expert(s) (with the Board being entitled to determine the allocation of such preferred shares among any such willing interested party(ies) at its absolute discretion).</w:t>
      </w:r>
    </w:p>
    <w:p>
      <w:pPr>
        <w:sectPr>
          <w:pgSz w:w="11900" w:h="16838" w:orient="portrait"/>
          <w:cols w:equalWidth="0" w:num="1">
            <w:col w:w="11000"/>
          </w:cols>
          <w:pgMar w:left="440" w:top="1043" w:right="45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11</w:t>
      </w:r>
    </w:p>
    <w:p>
      <w:pPr>
        <w:spacing w:after="0" w:line="154"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If it becomes apparent to the Board that all relevant preferred shares can be transferred to one or more interested parties for the price determined by the independent expert(s), the Board shall promptly notify the requesting shareholder and such interested party(ies) thereof. Within three months after sending such notice the relevant preferred shares shall be transferred.</w:t>
      </w:r>
    </w:p>
    <w:p>
      <w:pPr>
        <w:spacing w:after="0" w:line="89" w:lineRule="exact"/>
        <w:rPr>
          <w:sz w:val="20"/>
          <w:szCs w:val="20"/>
          <w:color w:val="auto"/>
        </w:rPr>
      </w:pPr>
    </w:p>
    <w:p>
      <w:pPr>
        <w:ind w:left="540" w:right="580" w:hanging="539"/>
        <w:spacing w:after="0" w:line="282" w:lineRule="auto"/>
        <w:rPr>
          <w:sz w:val="20"/>
          <w:szCs w:val="20"/>
          <w:color w:val="auto"/>
        </w:rPr>
      </w:pPr>
      <w:r>
        <w:rPr>
          <w:rFonts w:ascii="Arial" w:cs="Arial" w:eastAsia="Arial" w:hAnsi="Arial"/>
          <w:sz w:val="18"/>
          <w:szCs w:val="18"/>
          <w:b w:val="1"/>
          <w:bCs w:val="1"/>
          <w:color w:val="auto"/>
        </w:rPr>
        <w:t xml:space="preserve">14.10 </w:t>
      </w:r>
      <w:r>
        <w:rPr>
          <w:rFonts w:ascii="Arial" w:cs="Arial" w:eastAsia="Arial" w:hAnsi="Arial"/>
          <w:sz w:val="18"/>
          <w:szCs w:val="18"/>
          <w:color w:val="auto"/>
        </w:rPr>
        <w:t>If it becomes apparent to the Board that not all relevant preferred shares can be transferred to one or more interested parties for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independent expert(s):</w:t>
      </w:r>
    </w:p>
    <w:p>
      <w:pPr>
        <w:spacing w:after="0" w:line="71" w:lineRule="exact"/>
        <w:rPr>
          <w:sz w:val="20"/>
          <w:szCs w:val="20"/>
          <w:color w:val="auto"/>
        </w:rPr>
      </w:pPr>
    </w:p>
    <w:p>
      <w:pPr>
        <w:ind w:left="1180" w:hanging="644"/>
        <w:spacing w:after="0"/>
        <w:tabs>
          <w:tab w:leader="none" w:pos="11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Board shall promptly notify the requesting shareholder thereof; and</w:t>
      </w:r>
    </w:p>
    <w:p>
      <w:pPr>
        <w:spacing w:after="0" w:line="130" w:lineRule="exact"/>
        <w:rPr>
          <w:rFonts w:ascii="Arial" w:cs="Arial" w:eastAsia="Arial" w:hAnsi="Arial"/>
          <w:sz w:val="18"/>
          <w:szCs w:val="18"/>
          <w:b w:val="1"/>
          <w:bCs w:val="1"/>
          <w:color w:val="auto"/>
        </w:rPr>
      </w:pPr>
    </w:p>
    <w:p>
      <w:pPr>
        <w:ind w:left="1180" w:right="440" w:hanging="644"/>
        <w:spacing w:after="0" w:line="277" w:lineRule="auto"/>
        <w:tabs>
          <w:tab w:leader="none" w:pos="11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be free to transfer all relevant preferred shares, provided that the transfer takes place within three months after having received the notice referred to in paragraph 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color w:val="auto"/>
        </w:rPr>
        <w:t>The Company may only be an interested party under this Article 14 with the consent of the requesting shareholder.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color w:val="auto"/>
        </w:rPr>
        <w:t>All notices given pursuant to this Article 14 shall be provided in writing.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14.13  </w:t>
      </w:r>
      <w:r>
        <w:rPr>
          <w:rFonts w:ascii="Arial" w:cs="Arial" w:eastAsia="Arial" w:hAnsi="Arial"/>
          <w:sz w:val="18"/>
          <w:szCs w:val="18"/>
          <w:color w:val="auto"/>
        </w:rPr>
        <w:t>The preceding provisions of this Article 14 do not apply:</w:t>
      </w:r>
    </w:p>
    <w:p>
      <w:pPr>
        <w:spacing w:after="0" w:line="135" w:lineRule="exact"/>
        <w:rPr>
          <w:sz w:val="20"/>
          <w:szCs w:val="20"/>
          <w:color w:val="auto"/>
        </w:rPr>
      </w:pPr>
    </w:p>
    <w:p>
      <w:pPr>
        <w:ind w:left="1180" w:hanging="644"/>
        <w:spacing w:after="0"/>
        <w:tabs>
          <w:tab w:leader="none" w:pos="11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the extent that a shareholder is under a statutory obligation to transfer preferred shares to a previous holder thereof;</w:t>
      </w:r>
    </w:p>
    <w:p>
      <w:pPr>
        <w:spacing w:after="0" w:line="130" w:lineRule="exact"/>
        <w:rPr>
          <w:rFonts w:ascii="Arial" w:cs="Arial" w:eastAsia="Arial" w:hAnsi="Arial"/>
          <w:sz w:val="18"/>
          <w:szCs w:val="18"/>
          <w:b w:val="1"/>
          <w:bCs w:val="1"/>
          <w:color w:val="auto"/>
        </w:rPr>
      </w:pPr>
    </w:p>
    <w:p>
      <w:pPr>
        <w:ind w:left="1180" w:right="940" w:hanging="644"/>
        <w:spacing w:after="0" w:line="277" w:lineRule="auto"/>
        <w:tabs>
          <w:tab w:leader="none" w:pos="11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if it concerns a transfer in connection with an enforcement of a pledge pursuant to Section 3:248 DCC in conjunction with Section 3:250 or 3:251 DCC; or</w:t>
      </w:r>
    </w:p>
    <w:p>
      <w:pPr>
        <w:spacing w:after="0" w:line="75" w:lineRule="exact"/>
        <w:rPr>
          <w:rFonts w:ascii="Arial" w:cs="Arial" w:eastAsia="Arial" w:hAnsi="Arial"/>
          <w:sz w:val="18"/>
          <w:szCs w:val="18"/>
          <w:b w:val="1"/>
          <w:bCs w:val="1"/>
          <w:color w:val="auto"/>
        </w:rPr>
      </w:pPr>
    </w:p>
    <w:p>
      <w:pPr>
        <w:ind w:left="1180" w:hanging="644"/>
        <w:spacing w:after="0"/>
        <w:tabs>
          <w:tab w:leader="none" w:pos="11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if it concerns a transfer to the Company, except in the case that the Company acts as an interested party pursuant to Article 14.11.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color w:val="auto"/>
        </w:rPr>
        <w:t>This Article 14 applies mutatis mutandis in case of a transfer of rights to subscribe for preferred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COMPOSITION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The Company has a Board consisting of:</w:t>
      </w:r>
    </w:p>
    <w:p>
      <w:pPr>
        <w:spacing w:after="0" w:line="135" w:lineRule="exact"/>
        <w:rPr>
          <w:sz w:val="20"/>
          <w:szCs w:val="20"/>
          <w:color w:val="auto"/>
        </w:rPr>
      </w:pPr>
    </w:p>
    <w:p>
      <w:pPr>
        <w:ind w:left="1180" w:hanging="644"/>
        <w:spacing w:after="0"/>
        <w:tabs>
          <w:tab w:leader="none" w:pos="11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one or more Executive Directors, being primarily charged with the Company’s day-to-day operations; and</w:t>
      </w:r>
    </w:p>
    <w:p>
      <w:pPr>
        <w:spacing w:after="0" w:line="130" w:lineRule="exact"/>
        <w:rPr>
          <w:rFonts w:ascii="Arial" w:cs="Arial" w:eastAsia="Arial" w:hAnsi="Arial"/>
          <w:sz w:val="18"/>
          <w:szCs w:val="18"/>
          <w:b w:val="1"/>
          <w:bCs w:val="1"/>
          <w:color w:val="auto"/>
        </w:rPr>
      </w:pPr>
    </w:p>
    <w:p>
      <w:pPr>
        <w:ind w:left="540" w:right="140" w:hanging="4"/>
        <w:spacing w:after="0" w:line="381" w:lineRule="auto"/>
        <w:tabs>
          <w:tab w:leader="none" w:pos="117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one or more Non-Executive Directors, being primarily charged with the supervision of the performance of the duties of the Directors. The Board shall be composed of individuals.</w:t>
      </w:r>
    </w:p>
    <w:p>
      <w:pPr>
        <w:spacing w:after="0"/>
        <w:tabs>
          <w:tab w:leader="none" w:pos="5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The Board shall determine the number of Executive Directors and the number of Non-Executive Directors.</w:t>
      </w:r>
    </w:p>
    <w:p>
      <w:pPr>
        <w:spacing w:after="0" w:line="131" w:lineRule="exact"/>
        <w:rPr>
          <w:sz w:val="20"/>
          <w:szCs w:val="20"/>
          <w:color w:val="auto"/>
        </w:rPr>
      </w:pPr>
    </w:p>
    <w:p>
      <w:pPr>
        <w:ind w:left="540" w:right="6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color w:val="auto"/>
        </w:rPr>
        <w:t>The Board shall elect an Executive Director to be the CEO. The Board may dismiss the CEO, provided that the CEO so dismissed shall subsequently continue his term of office as an Executive Director without having the title of CEO.</w:t>
      </w:r>
    </w:p>
    <w:p>
      <w:pPr>
        <w:sectPr>
          <w:pgSz w:w="11900" w:h="16838" w:orient="portrait"/>
          <w:cols w:equalWidth="0" w:num="1">
            <w:col w:w="10920"/>
          </w:cols>
          <w:pgMar w:left="440" w:top="1043" w:right="5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12</w:t>
      </w:r>
    </w:p>
    <w:p>
      <w:pPr>
        <w:spacing w:after="0" w:line="154" w:lineRule="exact"/>
        <w:rPr>
          <w:sz w:val="20"/>
          <w:szCs w:val="20"/>
          <w:color w:val="auto"/>
        </w:rPr>
      </w:pPr>
    </w:p>
    <w:p>
      <w:pPr>
        <w:ind w:left="540" w:right="52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The Board shall elect a Non-Executive Director to be the Chairman. The Board may dismiss the Chairman, provided that the Chairman so dismissed shall subsequently continue his term of office as a Non-Executive Director without having the title of Chairman.</w:t>
      </w:r>
    </w:p>
    <w:p>
      <w:pPr>
        <w:spacing w:after="0" w:line="29" w:lineRule="exact"/>
        <w:rPr>
          <w:sz w:val="20"/>
          <w:szCs w:val="20"/>
          <w:color w:val="auto"/>
        </w:rPr>
      </w:pPr>
    </w:p>
    <w:p>
      <w:pPr>
        <w:ind w:left="540" w:hanging="539"/>
        <w:spacing w:after="0" w:line="291" w:lineRule="auto"/>
        <w:tabs>
          <w:tab w:leader="none" w:pos="5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If a Director is absent or incapacitated, he may be replaced temporarily by a person whom the Board has designated for that purpose and, until then, the other Director(s) shall be charged with the management of the Company. If all Directors are absent or incapacitated, the management of the Company shall be attributed to the person who most recently ceased to hold office as the Chairman. If such former Chairman is unwilling or unable to accept that position, the management of the Company shall be attributed to the person who most recently ceased to hold office as the CEO. If such former CEO is also unwilling or unable to accept that position, the management of the Company shall be attributed to one or more persons whom the General Meeting has designated for that purpose. The person(s) charged with the management of the Company in this manner, may designate one or more persons to be charged with the management of the Company instead of, or together with, such person(s).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A Director shall be considered to be unable to act within the meaning of Article 15.5:</w:t>
      </w:r>
    </w:p>
    <w:p>
      <w:pPr>
        <w:spacing w:after="0" w:line="135" w:lineRule="exact"/>
        <w:rPr>
          <w:sz w:val="20"/>
          <w:szCs w:val="20"/>
          <w:color w:val="auto"/>
        </w:rPr>
      </w:pPr>
    </w:p>
    <w:p>
      <w:pPr>
        <w:ind w:left="1180" w:hanging="644"/>
        <w:spacing w:after="0"/>
        <w:tabs>
          <w:tab w:leader="none" w:pos="11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the existence of a vacancy on the Board, including as a result of:</w:t>
      </w:r>
    </w:p>
    <w:p>
      <w:pPr>
        <w:spacing w:after="0" w:line="130" w:lineRule="exact"/>
        <w:rPr>
          <w:rFonts w:ascii="Arial" w:cs="Arial" w:eastAsia="Arial" w:hAnsi="Arial"/>
          <w:sz w:val="18"/>
          <w:szCs w:val="18"/>
          <w:b w:val="1"/>
          <w:bCs w:val="1"/>
          <w:color w:val="auto"/>
        </w:rPr>
      </w:pPr>
    </w:p>
    <w:p>
      <w:pPr>
        <w:ind w:left="1740" w:hanging="543"/>
        <w:spacing w:after="0"/>
        <w:tabs>
          <w:tab w:leader="none" w:pos="174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his death;</w:t>
      </w:r>
    </w:p>
    <w:p>
      <w:pPr>
        <w:spacing w:after="0" w:line="130" w:lineRule="exact"/>
        <w:rPr>
          <w:rFonts w:ascii="Arial" w:cs="Arial" w:eastAsia="Arial" w:hAnsi="Arial"/>
          <w:sz w:val="18"/>
          <w:szCs w:val="18"/>
          <w:b w:val="1"/>
          <w:bCs w:val="1"/>
          <w:color w:val="auto"/>
        </w:rPr>
      </w:pPr>
    </w:p>
    <w:p>
      <w:pPr>
        <w:ind w:left="1740" w:hanging="543"/>
        <w:spacing w:after="0"/>
        <w:tabs>
          <w:tab w:leader="none" w:pos="174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his dismissal by the General Meeting, other than at the proposal of the Board; or</w:t>
      </w:r>
    </w:p>
    <w:p>
      <w:pPr>
        <w:spacing w:after="0" w:line="130" w:lineRule="exact"/>
        <w:rPr>
          <w:rFonts w:ascii="Arial" w:cs="Arial" w:eastAsia="Arial" w:hAnsi="Arial"/>
          <w:sz w:val="18"/>
          <w:szCs w:val="18"/>
          <w:b w:val="1"/>
          <w:bCs w:val="1"/>
          <w:color w:val="auto"/>
        </w:rPr>
      </w:pPr>
    </w:p>
    <w:p>
      <w:pPr>
        <w:ind w:left="1740" w:hanging="543"/>
        <w:spacing w:after="0"/>
        <w:tabs>
          <w:tab w:leader="none" w:pos="174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his voluntary resignation before his term of office has expired;</w:t>
      </w:r>
    </w:p>
    <w:p>
      <w:pPr>
        <w:spacing w:after="0" w:line="130" w:lineRule="exact"/>
        <w:rPr>
          <w:rFonts w:ascii="Arial" w:cs="Arial" w:eastAsia="Arial" w:hAnsi="Arial"/>
          <w:sz w:val="18"/>
          <w:szCs w:val="18"/>
          <w:b w:val="1"/>
          <w:bCs w:val="1"/>
          <w:color w:val="auto"/>
        </w:rPr>
      </w:pPr>
    </w:p>
    <w:p>
      <w:pPr>
        <w:ind w:left="1200" w:right="1020" w:hanging="3"/>
        <w:spacing w:after="0" w:line="437" w:lineRule="auto"/>
        <w:tabs>
          <w:tab w:leader="none" w:pos="1740"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not being reappointed by the General Meeting, notwithstanding a (binding) nomination to that effect by the Board, providedthat the Board may always decide to decrease the number of Directors such that a vacancy no longer exists; or</w:t>
      </w:r>
    </w:p>
    <w:p>
      <w:pPr>
        <w:spacing w:after="0" w:line="4" w:lineRule="exact"/>
        <w:rPr>
          <w:rFonts w:ascii="Arial" w:cs="Arial" w:eastAsia="Arial" w:hAnsi="Arial"/>
          <w:sz w:val="16"/>
          <w:szCs w:val="16"/>
          <w:b w:val="1"/>
          <w:bCs w:val="1"/>
          <w:color w:val="auto"/>
        </w:rPr>
      </w:pPr>
    </w:p>
    <w:p>
      <w:pPr>
        <w:ind w:left="1180" w:hanging="644"/>
        <w:spacing w:after="0"/>
        <w:tabs>
          <w:tab w:leader="none" w:pos="11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his suspension;</w:t>
      </w:r>
    </w:p>
    <w:p>
      <w:pPr>
        <w:spacing w:after="0" w:line="130" w:lineRule="exact"/>
        <w:rPr>
          <w:rFonts w:ascii="Arial" w:cs="Arial" w:eastAsia="Arial" w:hAnsi="Arial"/>
          <w:sz w:val="18"/>
          <w:szCs w:val="18"/>
          <w:b w:val="1"/>
          <w:bCs w:val="1"/>
          <w:color w:val="auto"/>
        </w:rPr>
      </w:pPr>
    </w:p>
    <w:p>
      <w:pPr>
        <w:ind w:left="1180" w:right="80" w:hanging="644"/>
        <w:spacing w:after="0" w:line="263" w:lineRule="auto"/>
        <w:tabs>
          <w:tab w:leader="none" w:pos="11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in a period during which the Company has not been able to contact him (including as a result of illness), provided that such period lasted longer than five consecutive days (or such other period as determined by the Board on the basis of the facts and circumstances at hand); or</w:t>
      </w:r>
    </w:p>
    <w:p>
      <w:pPr>
        <w:spacing w:after="0" w:line="89" w:lineRule="exact"/>
        <w:rPr>
          <w:rFonts w:ascii="Arial" w:cs="Arial" w:eastAsia="Arial" w:hAnsi="Arial"/>
          <w:sz w:val="18"/>
          <w:szCs w:val="18"/>
          <w:b w:val="1"/>
          <w:bCs w:val="1"/>
          <w:color w:val="auto"/>
        </w:rPr>
      </w:pPr>
    </w:p>
    <w:p>
      <w:pPr>
        <w:ind w:left="1180" w:right="340" w:hanging="644"/>
        <w:spacing w:after="0" w:line="342" w:lineRule="auto"/>
        <w:tabs>
          <w:tab w:leader="none" w:pos="11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in connection with and during the deliberations and decision-making of the Board on matters in relation to which he has declared to have, or in relation to which the Board has established that he has, a conflict of interests as described in Article 18.7.</w:t>
      </w:r>
    </w:p>
    <w:p>
      <w:pPr>
        <w:sectPr>
          <w:pgSz w:w="11900" w:h="16838" w:orient="portrait"/>
          <w:cols w:equalWidth="0" w:num="1">
            <w:col w:w="11000"/>
          </w:cols>
          <w:pgMar w:left="440" w:top="1043"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APPOINTMENT, SUSPENSION AND DISMISSAL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131"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The General Meeting shall appoint the Directors and may at any time suspend or dismiss any Director. In addition, the Board may at any time suspend an Executive Director.</w:t>
      </w:r>
    </w:p>
    <w:p>
      <w:pPr>
        <w:spacing w:after="0" w:line="76" w:lineRule="exact"/>
        <w:rPr>
          <w:sz w:val="20"/>
          <w:szCs w:val="20"/>
          <w:color w:val="auto"/>
        </w:rPr>
      </w:pPr>
    </w:p>
    <w:p>
      <w:pPr>
        <w:ind w:left="540" w:right="140" w:hanging="539"/>
        <w:spacing w:after="0" w:line="257" w:lineRule="auto"/>
        <w:tabs>
          <w:tab w:leader="none" w:pos="5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The General Meeting can only appoint Directors upon a nomination by the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93"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the explanatory notes thereto.</w:t>
      </w:r>
    </w:p>
    <w:p>
      <w:pPr>
        <w:spacing w:after="0" w:line="76" w:lineRule="exact"/>
        <w:rPr>
          <w:sz w:val="20"/>
          <w:szCs w:val="20"/>
          <w:color w:val="auto"/>
        </w:rPr>
      </w:pPr>
    </w:p>
    <w:p>
      <w:pPr>
        <w:ind w:left="540" w:right="1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color w:val="auto"/>
        </w:rPr>
        <w:t>Upon the appointment of a person as a Director, the General Meeting shall determine whether that person is appointed as Executive Director or as Non-Executive Director.</w:t>
      </w:r>
    </w:p>
    <w:p>
      <w:pPr>
        <w:spacing w:after="0" w:line="76"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color w:val="auto"/>
        </w:rPr>
        <w:t>A resolution of the General Meeting to suspend or dismiss a Director shall require a majority of at least two thirds of the votes cast representing</w:t>
      </w:r>
    </w:p>
    <w:p>
      <w:pPr>
        <w:spacing w:after="0" w:line="27" w:lineRule="exact"/>
        <w:rPr>
          <w:sz w:val="20"/>
          <w:szCs w:val="20"/>
          <w:color w:val="auto"/>
        </w:rPr>
      </w:pPr>
    </w:p>
    <w:p>
      <w:pPr>
        <w:ind w:left="540" w:right="640"/>
        <w:spacing w:after="0" w:line="260" w:lineRule="auto"/>
        <w:rPr>
          <w:sz w:val="20"/>
          <w:szCs w:val="20"/>
          <w:color w:val="auto"/>
        </w:rPr>
      </w:pPr>
      <w:r>
        <w:rPr>
          <w:rFonts w:ascii="Arial" w:cs="Arial" w:eastAsia="Arial" w:hAnsi="Arial"/>
          <w:sz w:val="18"/>
          <w:szCs w:val="18"/>
          <w:color w:val="auto"/>
        </w:rPr>
        <w:t>more than half of the issued share capital, unless the resolution is passed at the proposal of the Board. A second meeting as referred to in Section 2:120(3) DCC cannot be convened.</w:t>
      </w:r>
    </w:p>
    <w:p>
      <w:pPr>
        <w:spacing w:after="0" w:line="87"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8"/>
          <w:szCs w:val="18"/>
          <w:color w:val="auto"/>
        </w:rPr>
        <w:t>If a Director is suspended and the General Meeting does not resolve to dismiss him within three months from the date of such suspension, the suspension shall lapse.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DUTIES AND ORGANISATION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w:t>
      </w:r>
    </w:p>
    <w:p>
      <w:pPr>
        <w:spacing w:after="0" w:line="131" w:lineRule="exact"/>
        <w:rPr>
          <w:sz w:val="20"/>
          <w:szCs w:val="20"/>
          <w:color w:val="auto"/>
        </w:rPr>
      </w:pPr>
    </w:p>
    <w:p>
      <w:pPr>
        <w:ind w:left="540" w:right="2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The Board is charged with the management of the Company, subject to the restrictions contained in these articles of association. In performing their duties, Directors shall be guided by the interests of the Company and of the business connected with it.</w:t>
      </w:r>
    </w:p>
    <w:p>
      <w:pPr>
        <w:spacing w:after="0" w:line="76" w:lineRule="exact"/>
        <w:rPr>
          <w:sz w:val="20"/>
          <w:szCs w:val="20"/>
          <w:color w:val="auto"/>
        </w:rPr>
      </w:pPr>
    </w:p>
    <w:p>
      <w:pPr>
        <w:ind w:left="540" w:right="40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color w:val="auto"/>
        </w:rPr>
        <w:t>The Board shall draw up Board Rules concerning its organisation, decision-making and other internal matters, with due observance of these articles of association. In performing their duties, the Directors shall act in compliance with the Board Rules.</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The Directors may allocate their duties amongst themselves in or pursuant to the Board Rules or otherwise pursuant to resolutions adopted by the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Board, provided that:</w:t>
      </w:r>
    </w:p>
    <w:p>
      <w:pPr>
        <w:spacing w:after="0" w:line="116" w:lineRule="exact"/>
        <w:rPr>
          <w:sz w:val="20"/>
          <w:szCs w:val="20"/>
          <w:color w:val="auto"/>
        </w:rPr>
      </w:pPr>
    </w:p>
    <w:p>
      <w:pPr>
        <w:ind w:left="1180" w:hanging="644"/>
        <w:spacing w:after="0"/>
        <w:tabs>
          <w:tab w:leader="none" w:pos="11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Executive Directors shall be charged with the Company’s day-to-day operations;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 task of supervising the performance of the duties of the Directors cannot be taken away from the Non-Executive Directors;</w:t>
      </w:r>
    </w:p>
    <w:p>
      <w:pPr>
        <w:sectPr>
          <w:pgSz w:w="11900" w:h="16838" w:orient="portrait"/>
          <w:cols w:equalWidth="0" w:num="1">
            <w:col w:w="11000"/>
          </w:cols>
          <w:pgMar w:left="440" w:top="1043" w:right="4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14</w:t>
      </w:r>
    </w:p>
    <w:p>
      <w:pPr>
        <w:spacing w:after="0" w:line="158" w:lineRule="exact"/>
        <w:rPr>
          <w:sz w:val="20"/>
          <w:szCs w:val="20"/>
          <w:color w:val="auto"/>
        </w:rPr>
      </w:pPr>
    </w:p>
    <w:p>
      <w:pPr>
        <w:ind w:left="1180" w:hanging="644"/>
        <w:spacing w:after="0"/>
        <w:tabs>
          <w:tab w:leader="none" w:pos="11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Chairman must be a Non-Executive Director; and</w:t>
      </w:r>
    </w:p>
    <w:p>
      <w:pPr>
        <w:spacing w:after="0" w:line="130" w:lineRule="exact"/>
        <w:rPr>
          <w:rFonts w:ascii="Arial" w:cs="Arial" w:eastAsia="Arial" w:hAnsi="Arial"/>
          <w:sz w:val="18"/>
          <w:szCs w:val="18"/>
          <w:b w:val="1"/>
          <w:bCs w:val="1"/>
          <w:color w:val="auto"/>
        </w:rPr>
      </w:pPr>
    </w:p>
    <w:p>
      <w:pPr>
        <w:ind w:left="1180" w:right="80" w:hanging="644"/>
        <w:spacing w:after="0" w:line="277" w:lineRule="auto"/>
        <w:tabs>
          <w:tab w:leader="none" w:pos="11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making of proposals for the appointment of a Director and the determination of the compensation of the Executive Directors cannot be allocated to an Executive Director.</w:t>
      </w:r>
    </w:p>
    <w:p>
      <w:pPr>
        <w:spacing w:after="0" w:line="72"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The Board may determine in writing, in or pursuant to the Board Rules or otherwise pursuant to resolutions adopted by the Board, that one or more Directors can validly pass resolutions in respect of matters which fall under his/their duties.</w:t>
      </w:r>
    </w:p>
    <w:p>
      <w:pPr>
        <w:spacing w:after="0" w:line="76"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8"/>
          <w:szCs w:val="18"/>
          <w:color w:val="auto"/>
        </w:rPr>
        <w:t>The Board shall establish the committees which the Company is required to have and otherwise such committees as are deemed to be appropriate by the Board. The Board shall draw up (and/or include in the Board Rules) rules concerning the organisation, decision-making and other internal matters of its committees.</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The Board may perform the legal acts referred to in Section 2:94(1) DCC without the prior approval of the General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DECISION-MAKING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color w:val="auto"/>
        </w:rPr>
        <w:t>Without prejudice to Article 18.5, each Director may cast one vote in the decision-making of the Board.</w:t>
      </w:r>
    </w:p>
    <w:p>
      <w:pPr>
        <w:spacing w:after="0" w:line="131"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8"/>
          <w:szCs w:val="18"/>
          <w:color w:val="auto"/>
        </w:rPr>
        <w:t>A Director can be represented by another Director holding a written proxy for the purpose of the deliberations and the decision-making of the Board.</w:t>
      </w:r>
    </w:p>
    <w:p>
      <w:pPr>
        <w:spacing w:after="0" w:line="76" w:lineRule="exact"/>
        <w:rPr>
          <w:sz w:val="20"/>
          <w:szCs w:val="20"/>
          <w:color w:val="auto"/>
        </w:rPr>
      </w:pPr>
    </w:p>
    <w:p>
      <w:pPr>
        <w:ind w:left="540" w:right="3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Resolutions of the Board shall be passed, irrespective of whether this occurs at a meeting or otherwise, by Simple Majority unless the Board Rules provide differently.</w:t>
      </w:r>
    </w:p>
    <w:p>
      <w:pPr>
        <w:spacing w:after="0" w:line="76" w:lineRule="exact"/>
        <w:rPr>
          <w:sz w:val="20"/>
          <w:szCs w:val="20"/>
          <w:color w:val="auto"/>
        </w:rPr>
      </w:pPr>
    </w:p>
    <w:p>
      <w:pPr>
        <w:ind w:left="54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color w:val="auto"/>
        </w:rPr>
        <w:t>Invalid votes, blank votes and abstentions shall not be counted as votes cast. Directors who casted an invalid or blank vote or who abstained from voting shall be taken into account when determining the number of Directors who are present or represented at a meeting of the Board.</w:t>
      </w:r>
    </w:p>
    <w:p>
      <w:pPr>
        <w:spacing w:after="0" w:line="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color w:val="auto"/>
        </w:rPr>
        <w:t>Where there is a tie in any vote of the Board, the Chairman shall have a casting vote, provided that there are at least three Directors in office.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Otherwise, the relevant resolution shall not have been passed.</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color w:val="auto"/>
        </w:rPr>
        <w:t>The Executive Directors shall not participate in the decision-making concerning:</w:t>
      </w:r>
    </w:p>
    <w:p>
      <w:pPr>
        <w:spacing w:after="0" w:line="135" w:lineRule="exact"/>
        <w:rPr>
          <w:sz w:val="20"/>
          <w:szCs w:val="20"/>
          <w:color w:val="auto"/>
        </w:rPr>
      </w:pPr>
    </w:p>
    <w:p>
      <w:pPr>
        <w:ind w:left="1180" w:hanging="644"/>
        <w:spacing w:after="0"/>
        <w:tabs>
          <w:tab w:leader="none" w:pos="11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determination of the compensation of Executive Directors; and</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instruction of an auditor to audit the annual accounts if the General Meeting has not granted such instruction.</w:t>
      </w:r>
    </w:p>
    <w:p>
      <w:pPr>
        <w:spacing w:after="0" w:line="127"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color w:val="auto"/>
        </w:rPr>
        <w:t>A Director shall not participate in the deliberations and decision-making of the Board on a matter in relation to which he has a direct or indirect personal interest which conflicts with the interests of the Company and of the business connected with it. If, as a result thereof, no resolution can be passed by the Board, the resolution may nevertheless be passed by the Board as if none of the Directors has a conflict of interests as described in the previous sentence.</w:t>
      </w:r>
    </w:p>
    <w:p>
      <w:pPr>
        <w:sectPr>
          <w:pgSz w:w="11900" w:h="16838" w:orient="portrait"/>
          <w:cols w:equalWidth="0" w:num="1">
            <w:col w:w="11000"/>
          </w:cols>
          <w:pgMar w:left="440" w:top="1043" w:right="459" w:bottom="1440" w:gutter="0" w:footer="0" w:header="0"/>
        </w:sectPr>
      </w:pPr>
    </w:p>
    <w:bookmarkStart w:id="21" w:name="page22"/>
    <w:bookmarkEnd w:id="21"/>
    <w:p>
      <w:pPr>
        <w:ind w:left="5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15</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Meetings of the Board can be held through audio-communication facilities, unless a Director objects thereto.</w:t>
      </w:r>
    </w:p>
    <w:p>
      <w:pPr>
        <w:spacing w:after="0" w:line="131" w:lineRule="exact"/>
        <w:rPr>
          <w:sz w:val="20"/>
          <w:szCs w:val="20"/>
          <w:color w:val="auto"/>
        </w:rPr>
      </w:pPr>
    </w:p>
    <w:p>
      <w:pPr>
        <w:ind w:left="540" w:right="40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7"/>
          <w:szCs w:val="17"/>
          <w:color w:val="auto"/>
        </w:rPr>
        <w:t>Resolutions of the Board may, instead of at a meeting, be passed in writing, provided that all Directors are familiar with the resolution to be passed and none of them objects to this decision-making process. Articles 18.1 through 18.6 apply mutatis mutandis.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18.10  </w:t>
      </w:r>
      <w:r>
        <w:rPr>
          <w:rFonts w:ascii="Arial" w:cs="Arial" w:eastAsia="Arial" w:hAnsi="Arial"/>
          <w:sz w:val="16"/>
          <w:szCs w:val="16"/>
          <w:color w:val="auto"/>
        </w:rPr>
        <w:t>The approval of the General Meeting is required for resolutions of the Board concerning a material change to the identity or the character of the</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Company or the business, including in any event:</w:t>
      </w:r>
    </w:p>
    <w:p>
      <w:pPr>
        <w:spacing w:after="0" w:line="116" w:lineRule="exact"/>
        <w:rPr>
          <w:sz w:val="20"/>
          <w:szCs w:val="20"/>
          <w:color w:val="auto"/>
        </w:rPr>
      </w:pPr>
    </w:p>
    <w:p>
      <w:pPr>
        <w:ind w:left="1180" w:hanging="644"/>
        <w:spacing w:after="0"/>
        <w:tabs>
          <w:tab w:leader="none" w:pos="11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transferring the business or materially all of the business to a third party;</w:t>
      </w:r>
    </w:p>
    <w:p>
      <w:pPr>
        <w:spacing w:after="0" w:line="130" w:lineRule="exact"/>
        <w:rPr>
          <w:rFonts w:ascii="Arial" w:cs="Arial" w:eastAsia="Arial" w:hAnsi="Arial"/>
          <w:sz w:val="18"/>
          <w:szCs w:val="18"/>
          <w:b w:val="1"/>
          <w:bCs w:val="1"/>
          <w:color w:val="auto"/>
        </w:rPr>
      </w:pPr>
    </w:p>
    <w:p>
      <w:pPr>
        <w:jc w:val="both"/>
        <w:ind w:left="1180" w:right="340" w:hanging="644"/>
        <w:spacing w:after="0" w:line="263" w:lineRule="auto"/>
        <w:tabs>
          <w:tab w:leader="none" w:pos="11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spacing w:after="0" w:line="89" w:lineRule="exact"/>
        <w:rPr>
          <w:rFonts w:ascii="Arial" w:cs="Arial" w:eastAsia="Arial" w:hAnsi="Arial"/>
          <w:sz w:val="18"/>
          <w:szCs w:val="18"/>
          <w:b w:val="1"/>
          <w:bCs w:val="1"/>
          <w:color w:val="auto"/>
        </w:rPr>
      </w:pPr>
    </w:p>
    <w:p>
      <w:pPr>
        <w:jc w:val="both"/>
        <w:ind w:left="1180" w:right="60" w:hanging="644"/>
        <w:spacing w:after="0" w:line="311" w:lineRule="auto"/>
        <w:tabs>
          <w:tab w:leader="none" w:pos="118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50" w:lineRule="exact"/>
        <w:rPr>
          <w:sz w:val="20"/>
          <w:szCs w:val="20"/>
          <w:color w:val="auto"/>
        </w:rPr>
      </w:pPr>
    </w:p>
    <w:p>
      <w:pPr>
        <w:jc w:val="both"/>
        <w:ind w:left="540" w:hanging="539"/>
        <w:spacing w:after="0" w:line="312" w:lineRule="auto"/>
        <w:rPr>
          <w:sz w:val="20"/>
          <w:szCs w:val="20"/>
          <w:color w:val="auto"/>
        </w:rPr>
      </w:pPr>
      <w:r>
        <w:rPr>
          <w:rFonts w:ascii="Arial" w:cs="Arial" w:eastAsia="Arial" w:hAnsi="Arial"/>
          <w:sz w:val="17"/>
          <w:szCs w:val="17"/>
          <w:b w:val="1"/>
          <w:bCs w:val="1"/>
          <w:color w:val="auto"/>
        </w:rPr>
        <w:t xml:space="preserve">18.11 </w:t>
      </w:r>
      <w:r>
        <w:rPr>
          <w:rFonts w:ascii="Arial" w:cs="Arial" w:eastAsia="Arial" w:hAnsi="Arial"/>
          <w:sz w:val="17"/>
          <w:szCs w:val="17"/>
          <w:color w:val="auto"/>
        </w:rPr>
        <w:t>The absence of the approval of the General Meeting of a resolution as referred to in Article 18.10 shall result in the relevant resolution being null</w:t>
      </w:r>
      <w:r>
        <w:rPr>
          <w:rFonts w:ascii="Arial" w:cs="Arial" w:eastAsia="Arial" w:hAnsi="Arial"/>
          <w:sz w:val="17"/>
          <w:szCs w:val="17"/>
          <w:b w:val="1"/>
          <w:bCs w:val="1"/>
          <w:color w:val="auto"/>
        </w:rPr>
        <w:t xml:space="preserve"> </w:t>
      </w:r>
      <w:r>
        <w:rPr>
          <w:rFonts w:ascii="Arial" w:cs="Arial" w:eastAsia="Arial" w:hAnsi="Arial"/>
          <w:sz w:val="17"/>
          <w:szCs w:val="17"/>
          <w:color w:val="auto"/>
        </w:rPr>
        <w:t>and void pursuant to Section 2:14(1) DCC but shall not affect the powers of representation of the Board or of the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w:t>
      </w:r>
    </w:p>
    <w:p>
      <w:pPr>
        <w:spacing w:after="0" w:line="131" w:lineRule="exact"/>
        <w:rPr>
          <w:sz w:val="20"/>
          <w:szCs w:val="20"/>
          <w:color w:val="auto"/>
        </w:rPr>
      </w:pPr>
    </w:p>
    <w:p>
      <w:pPr>
        <w:ind w:left="540" w:right="4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color w:val="auto"/>
        </w:rPr>
        <w:t>The General Meeting shall determine the Company’s policy concerning the compensation of the Board with due observance of the relevant statutory requirements.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The compensation of Directors shall be determined by the Board with due observance of the policy referred to in Article 19.1.</w:t>
      </w:r>
    </w:p>
    <w:p>
      <w:pPr>
        <w:spacing w:after="0" w:line="131" w:lineRule="exact"/>
        <w:rPr>
          <w:sz w:val="20"/>
          <w:szCs w:val="20"/>
          <w:color w:val="auto"/>
        </w:rPr>
      </w:pPr>
    </w:p>
    <w:p>
      <w:pPr>
        <w:jc w:val="both"/>
        <w:ind w:left="54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The Board shall submit proposals concerning compensation arrangements for the Board in the form of shares or rights to subscribe for shares to the General Meeting for approval. This proposal must at least include the number of shares or rights to subscribe for shares that may be awarded to the Board and which criteria apply for such awards or changes thereto. The absence of the approval of the General Meeting shall not affect the powers of representation.</w:t>
      </w:r>
    </w:p>
    <w:p>
      <w:pPr>
        <w:sectPr>
          <w:pgSz w:w="11900" w:h="16838" w:orient="portrait"/>
          <w:cols w:equalWidth="0" w:num="1">
            <w:col w:w="10980"/>
          </w:cols>
          <w:pgMar w:left="440" w:top="1043" w:right="4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color w:val="auto"/>
        </w:rPr>
        <w:t>The Board is entitled to represent the Company.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color w:val="auto"/>
        </w:rPr>
        <w:t>The power to represent the Company also vests in the CEO individually, as well as in any other two Executive Directors acting jointly.</w:t>
      </w:r>
    </w:p>
    <w:p>
      <w:pPr>
        <w:spacing w:after="0" w:line="131" w:lineRule="exact"/>
        <w:rPr>
          <w:sz w:val="20"/>
          <w:szCs w:val="20"/>
          <w:color w:val="auto"/>
        </w:rPr>
      </w:pPr>
    </w:p>
    <w:p>
      <w:pPr>
        <w:ind w:left="540" w:right="5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color w:val="auto"/>
        </w:rPr>
        <w:t>The Company may also be represented by the holder of a power of attorney to that effect. If the Company grants a power of attorney to an individual, the Board may grant an appropriate title to such person.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color w:val="auto"/>
        </w:rPr>
        <w:t>The Company shall indemnify and hold harmless each of its Indemnified Officers against:</w:t>
      </w:r>
    </w:p>
    <w:p>
      <w:pPr>
        <w:spacing w:after="0" w:line="135" w:lineRule="exact"/>
        <w:rPr>
          <w:sz w:val="20"/>
          <w:szCs w:val="20"/>
          <w:color w:val="auto"/>
        </w:rPr>
      </w:pPr>
    </w:p>
    <w:p>
      <w:pPr>
        <w:ind w:left="1180" w:hanging="644"/>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any financial losses or damages incurred by such Indemnified Officer; and</w:t>
      </w:r>
    </w:p>
    <w:p>
      <w:pPr>
        <w:spacing w:after="0" w:line="130" w:lineRule="exact"/>
        <w:rPr>
          <w:rFonts w:ascii="Arial" w:cs="Arial" w:eastAsia="Arial" w:hAnsi="Arial"/>
          <w:sz w:val="18"/>
          <w:szCs w:val="18"/>
          <w:b w:val="1"/>
          <w:bCs w:val="1"/>
          <w:color w:val="auto"/>
        </w:rPr>
      </w:pPr>
    </w:p>
    <w:p>
      <w:pPr>
        <w:ind w:left="1180" w:right="20" w:hanging="644"/>
        <w:spacing w:after="0" w:line="342" w:lineRule="auto"/>
        <w:tabs>
          <w:tab w:leader="none" w:pos="118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spacing w:after="0" w:line="16"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to the extent this relates to his current or former position with the Company and/or a Group Company and in each case to the extent permitted by applicable law.</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No indemnification shall be given to an Indemnified Officer:</w:t>
      </w:r>
    </w:p>
    <w:p>
      <w:pPr>
        <w:spacing w:after="0" w:line="135" w:lineRule="exact"/>
        <w:rPr>
          <w:sz w:val="20"/>
          <w:szCs w:val="20"/>
          <w:color w:val="auto"/>
        </w:rPr>
      </w:pPr>
    </w:p>
    <w:p>
      <w:pPr>
        <w:ind w:left="1180" w:right="140" w:hanging="644"/>
        <w:spacing w:after="0" w:line="279" w:lineRule="auto"/>
        <w:tabs>
          <w:tab w:leader="none" w:pos="118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21.1 are of an unlawful nature (including acts or omissions which are considered to constitute malice, gross negligence, intentional recklessness and/or serious culpability attributable to such Indemnified Officer);</w:t>
      </w:r>
    </w:p>
    <w:p>
      <w:pPr>
        <w:spacing w:after="0" w:line="76" w:lineRule="exact"/>
        <w:rPr>
          <w:rFonts w:ascii="Arial" w:cs="Arial" w:eastAsia="Arial" w:hAnsi="Arial"/>
          <w:sz w:val="17"/>
          <w:szCs w:val="17"/>
          <w:b w:val="1"/>
          <w:bCs w:val="1"/>
          <w:color w:val="auto"/>
        </w:rPr>
      </w:pPr>
    </w:p>
    <w:p>
      <w:pPr>
        <w:ind w:left="1180" w:right="340" w:hanging="644"/>
        <w:spacing w:after="0" w:line="342" w:lineRule="auto"/>
        <w:tabs>
          <w:tab w:leader="none" w:pos="118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29" w:lineRule="exact"/>
        <w:rPr>
          <w:rFonts w:ascii="Arial" w:cs="Arial" w:eastAsia="Arial" w:hAnsi="Arial"/>
          <w:sz w:val="16"/>
          <w:szCs w:val="16"/>
          <w:b w:val="1"/>
          <w:bCs w:val="1"/>
          <w:color w:val="auto"/>
        </w:rPr>
      </w:pPr>
    </w:p>
    <w:p>
      <w:pPr>
        <w:ind w:left="1180" w:right="140" w:hanging="644"/>
        <w:spacing w:after="0" w:line="259" w:lineRule="auto"/>
        <w:tabs>
          <w:tab w:leader="none" w:pos="11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sectPr>
          <w:pgSz w:w="11900" w:h="16838" w:orient="portrait"/>
          <w:cols w:equalWidth="0" w:num="1">
            <w:col w:w="10980"/>
          </w:cols>
          <w:pgMar w:left="440" w:top="1043" w:right="4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17</w:t>
      </w:r>
    </w:p>
    <w:p>
      <w:pPr>
        <w:spacing w:after="0" w:line="158" w:lineRule="exact"/>
        <w:rPr>
          <w:sz w:val="20"/>
          <w:szCs w:val="20"/>
          <w:color w:val="auto"/>
        </w:rPr>
      </w:pPr>
    </w:p>
    <w:p>
      <w:pPr>
        <w:ind w:left="1180" w:right="720" w:hanging="644"/>
        <w:spacing w:after="0" w:line="277" w:lineRule="auto"/>
        <w:tabs>
          <w:tab w:leader="none" w:pos="11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The Board may stipulate additional terms, conditions and restrictions in relation to the indemnification referred to in Article 21.1.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CONVENING AND HOLDING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w:t>
      </w:r>
    </w:p>
    <w:p>
      <w:pPr>
        <w:spacing w:after="0" w:line="131" w:lineRule="exact"/>
        <w:rPr>
          <w:sz w:val="20"/>
          <w:szCs w:val="20"/>
          <w:color w:val="auto"/>
        </w:rPr>
      </w:pPr>
    </w:p>
    <w:p>
      <w:pPr>
        <w:ind w:left="540" w:right="8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Annually, at least one General Meeting shall be held. This annual General Meeting shall be held within six months after the end of the Company’s financial year.</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A General Meeting shall also be held:</w:t>
      </w:r>
    </w:p>
    <w:p>
      <w:pPr>
        <w:spacing w:after="0" w:line="135" w:lineRule="exact"/>
        <w:rPr>
          <w:sz w:val="20"/>
          <w:szCs w:val="20"/>
          <w:color w:val="auto"/>
        </w:rPr>
      </w:pPr>
    </w:p>
    <w:p>
      <w:pPr>
        <w:ind w:left="1180" w:right="360" w:hanging="644"/>
        <w:spacing w:after="0" w:line="308" w:lineRule="auto"/>
        <w:tabs>
          <w:tab w:leader="none" w:pos="118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within three months after the Board has considered it to be likely that the Company’s equity has decreased to an amount equal to or lower than half of its paid up and called up capital, in order to discuss the measures to be taken if so required; and</w:t>
      </w:r>
    </w:p>
    <w:p>
      <w:pPr>
        <w:spacing w:after="0" w:line="51" w:lineRule="exact"/>
        <w:rPr>
          <w:rFonts w:ascii="Arial" w:cs="Arial" w:eastAsia="Arial" w:hAnsi="Arial"/>
          <w:sz w:val="17"/>
          <w:szCs w:val="17"/>
          <w:b w:val="1"/>
          <w:bCs w:val="1"/>
          <w:color w:val="auto"/>
        </w:rPr>
      </w:pPr>
    </w:p>
    <w:p>
      <w:pPr>
        <w:ind w:left="1180" w:hanging="644"/>
        <w:spacing w:after="0"/>
        <w:tabs>
          <w:tab w:leader="none" w:pos="11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whenever the Board so decides.</w:t>
      </w:r>
    </w:p>
    <w:p>
      <w:pPr>
        <w:spacing w:after="0" w:line="127" w:lineRule="exact"/>
        <w:rPr>
          <w:sz w:val="20"/>
          <w:szCs w:val="20"/>
          <w:color w:val="auto"/>
        </w:rPr>
      </w:pPr>
    </w:p>
    <w:p>
      <w:pPr>
        <w:ind w:left="540" w:right="20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General Meetings must be held in the place where the Company has its corporate seat or in Amsterdam, Arnhem, Assen, The Hague, Haarlem, ‘s-Hertogenbosch, Groningen, Leeuwarden, Lelystad, Maastricht, Middelburg, Rotterdam, Schiphol (Haarlemmermeer), Utrecht or Zwolle.</w:t>
      </w:r>
    </w:p>
    <w:p>
      <w:pPr>
        <w:spacing w:after="0" w:line="29" w:lineRule="exact"/>
        <w:rPr>
          <w:sz w:val="20"/>
          <w:szCs w:val="20"/>
          <w:color w:val="auto"/>
        </w:rPr>
      </w:pPr>
    </w:p>
    <w:p>
      <w:pPr>
        <w:ind w:left="540" w:right="3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color w:val="auto"/>
        </w:rPr>
        <w:t>If the Board has failed to ensure that a General Meeting as referred to in Articles 22.1 or 22.2 paragraph a. is held, each Person with Meeting Rights may be authorised by the court in preliminary relief proceedings to do so.</w:t>
      </w:r>
    </w:p>
    <w:p>
      <w:pPr>
        <w:spacing w:after="0" w:line="76"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One or more Persons with Meeting Rights who collectively represent at least the part of the Company’s issued share capital prescribed by law for this purpose may request the Board in writing to convene a General Meeting, setting out in detail the matters to be discussed. If the Board has not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93"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8"/>
          <w:szCs w:val="18"/>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Persons with Meeting Rights who wish to exercise their rights as described in Articles 22.5</w:t>
      </w:r>
    </w:p>
    <w:p>
      <w:pPr>
        <w:sectPr>
          <w:pgSz w:w="11900" w:h="16838" w:orient="portrait"/>
          <w:cols w:equalWidth="0" w:num="1">
            <w:col w:w="11000"/>
          </w:cols>
          <w:pgMar w:left="440" w:top="1043" w:right="4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18</w:t>
      </w:r>
    </w:p>
    <w:p>
      <w:pPr>
        <w:spacing w:after="0" w:line="158" w:lineRule="exact"/>
        <w:rPr>
          <w:sz w:val="20"/>
          <w:szCs w:val="20"/>
          <w:color w:val="auto"/>
        </w:rPr>
      </w:pPr>
    </w:p>
    <w:p>
      <w:pPr>
        <w:ind w:left="540" w:right="40"/>
        <w:spacing w:after="0" w:line="275" w:lineRule="auto"/>
        <w:rPr>
          <w:sz w:val="20"/>
          <w:szCs w:val="20"/>
          <w:color w:val="auto"/>
        </w:rPr>
      </w:pPr>
      <w:r>
        <w:rPr>
          <w:rFonts w:ascii="Arial" w:cs="Arial" w:eastAsia="Arial" w:hAnsi="Arial"/>
          <w:sz w:val="17"/>
          <w:szCs w:val="17"/>
          <w:color w:val="auto"/>
        </w:rPr>
        <w:t>and 22.6 must first consult the Board. If the intended exercise of such rights might result in a change to the Company’s strategy, including by dismissing one or more Directors, the Board must be given the opportunity to invoke a reasonable period to respond to such intention with due observance of the applicable provisions of Dutch law and the Dutch Corporate Governance Code. The Person(s) with Meeting Rights concerned must respect any such response period stipulated by the Board. This Article 22.7 does not prejudice any rights which the Company or the Board may have under Dutch law with regard to invoking a similar period or deliberation time.</w:t>
      </w:r>
    </w:p>
    <w:p>
      <w:pPr>
        <w:spacing w:after="0" w:line="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A General Meeting must be convened with due observance of the relevant statutory minimum convening period.</w:t>
      </w:r>
    </w:p>
    <w:p>
      <w:pPr>
        <w:spacing w:after="0" w:line="131"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color w:val="auto"/>
        </w:rPr>
        <w:t>All Persons with Meeting Rights must be convened for the General Meeting in accordance with applicable law. The shareholders may be convened for the General Meeting by means of convening letters sent to the addresses of those shareholders in accordance with Article 5.5. The previous sentence does not prejudice the possibility of sending a convening notice by electronic means in accordance with Section 2:113(4) DCC.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PROCEDURAL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The General Meeting shall be chaired by one of the following individuals, taking into account the following order of priority:</w:t>
      </w:r>
    </w:p>
    <w:p>
      <w:pPr>
        <w:spacing w:after="0" w:line="135" w:lineRule="exact"/>
        <w:rPr>
          <w:sz w:val="20"/>
          <w:szCs w:val="20"/>
          <w:color w:val="auto"/>
        </w:rPr>
      </w:pPr>
    </w:p>
    <w:p>
      <w:pPr>
        <w:ind w:left="1180" w:hanging="644"/>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by the Chairman, if there is a Chairman and he is present at the General Meeting;</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by the vice-Chairman, if there is a vice-Chairman and he is present at the General Meeting;</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by the CEO, if there is a CEO and he is present at the General Meeting;</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by another Director who is chosen by the Directors present at the General Meeting from their midst; or</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by another person appointed by the General Meeting.</w:t>
      </w:r>
    </w:p>
    <w:p>
      <w:pPr>
        <w:spacing w:after="0" w:line="117"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The person who should chair the General Meeting pursuant to paragraphs a. through d. may appoint another person to chair the General Meeting instead of him.</w:t>
      </w:r>
    </w:p>
    <w:p>
      <w:pPr>
        <w:spacing w:after="0" w:line="72" w:lineRule="exact"/>
        <w:rPr>
          <w:sz w:val="20"/>
          <w:szCs w:val="20"/>
          <w:color w:val="auto"/>
        </w:rPr>
      </w:pPr>
    </w:p>
    <w:p>
      <w:pPr>
        <w:ind w:left="540" w:right="420" w:hanging="539"/>
        <w:spacing w:after="0" w:line="279" w:lineRule="auto"/>
        <w:tabs>
          <w:tab w:leader="none" w:pos="5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color w:val="auto"/>
        </w:rPr>
        <w:t>The chairman of the General Meeting shall appoint another person present at the General Meeting to act as secretary and to minute the proceedings at the General Meeting. The minutes of a General Meeting shall be adopted by the chairman of that General Meeting or by the Board. Where an official report of the proceedings is drawn up by a civil law notary, no minutes need to be prepared. Every Director may instruct a civil law notary to draw up such an official report at the Company’s expense.</w:t>
      </w:r>
    </w:p>
    <w:p>
      <w:pPr>
        <w:spacing w:after="0" w:line="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color w:val="auto"/>
        </w:rPr>
        <w:t>The chairman of the General Meeting shall decide on the admittance to the General Meeting of persons other than:</w:t>
      </w:r>
    </w:p>
    <w:p>
      <w:pPr>
        <w:spacing w:after="0" w:line="135" w:lineRule="exact"/>
        <w:rPr>
          <w:sz w:val="20"/>
          <w:szCs w:val="20"/>
          <w:color w:val="auto"/>
        </w:rPr>
      </w:pPr>
    </w:p>
    <w:p>
      <w:pPr>
        <w:ind w:left="1180" w:hanging="644"/>
        <w:spacing w:after="0"/>
        <w:tabs>
          <w:tab w:leader="none" w:pos="11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persons who have Meeting Rights at that General Meeting, or their proxyholders; and</w:t>
      </w:r>
    </w:p>
    <w:p>
      <w:pPr>
        <w:sectPr>
          <w:pgSz w:w="11900" w:h="16838" w:orient="portrait"/>
          <w:cols w:equalWidth="0" w:num="1">
            <w:col w:w="10960"/>
          </w:cols>
          <w:pgMar w:left="440" w:top="1043" w:right="4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19</w:t>
      </w:r>
    </w:p>
    <w:p>
      <w:pPr>
        <w:spacing w:after="0" w:line="158" w:lineRule="exact"/>
        <w:rPr>
          <w:sz w:val="20"/>
          <w:szCs w:val="20"/>
          <w:color w:val="auto"/>
        </w:rPr>
      </w:pPr>
    </w:p>
    <w:p>
      <w:pPr>
        <w:ind w:left="1180" w:hanging="644"/>
        <w:spacing w:after="0"/>
        <w:tabs>
          <w:tab w:leader="none" w:pos="11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those who have a statutory right to attend that General Meeting on other grounds.</w:t>
      </w:r>
    </w:p>
    <w:p>
      <w:pPr>
        <w:spacing w:after="0" w:line="127" w:lineRule="exact"/>
        <w:rPr>
          <w:sz w:val="20"/>
          <w:szCs w:val="20"/>
          <w:color w:val="auto"/>
        </w:rPr>
      </w:pPr>
    </w:p>
    <w:p>
      <w:pPr>
        <w:ind w:left="540" w:right="4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The holder of a written proxy from a Person with Meeting Rights who is entitled to attend a General Meeting shall only be admitted to that General Meeting if the proxy is determined to be acceptable by the chairman of that General Meeting.</w:t>
      </w:r>
    </w:p>
    <w:p>
      <w:pPr>
        <w:spacing w:after="0" w:line="76" w:lineRule="exact"/>
        <w:rPr>
          <w:sz w:val="20"/>
          <w:szCs w:val="20"/>
          <w:color w:val="auto"/>
        </w:rPr>
      </w:pPr>
    </w:p>
    <w:p>
      <w:pPr>
        <w:ind w:left="540" w:right="20" w:hanging="539"/>
        <w:spacing w:after="0" w:line="286" w:lineRule="auto"/>
        <w:tabs>
          <w:tab w:leader="none" w:pos="5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71"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8"/>
          <w:szCs w:val="18"/>
          <w:color w:val="auto"/>
        </w:rPr>
        <w:t>The chairman of the General Meeting has the right to eject any person from the General Meeting if he considers that person to disrupt the orderly proceedings at the General Meeting.</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The General Meeting may be conducted in a language other than the Dutch language, if so determined by the chairman of the General Meeting.</w:t>
      </w:r>
    </w:p>
    <w:p>
      <w:pPr>
        <w:spacing w:after="0" w:line="131"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8"/>
          <w:szCs w:val="18"/>
          <w:color w:val="auto"/>
        </w:rPr>
        <w:t>The chairman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chairman of the General Meeting may also adjourn the meeting if he considers that this shall safeguard the orderly proceedings at the General Meeting.</w:t>
      </w:r>
    </w:p>
    <w:p>
      <w:pPr>
        <w:spacing w:after="0" w:line="295" w:lineRule="exact"/>
        <w:rPr>
          <w:sz w:val="20"/>
          <w:szCs w:val="20"/>
          <w:color w:val="auto"/>
        </w:rPr>
      </w:pPr>
    </w:p>
    <w:p>
      <w:pPr>
        <w:ind w:right="4980"/>
        <w:spacing w:after="0" w:line="383" w:lineRule="auto"/>
        <w:rPr>
          <w:sz w:val="20"/>
          <w:szCs w:val="20"/>
          <w:color w:val="auto"/>
        </w:rPr>
      </w:pPr>
      <w:r>
        <w:rPr>
          <w:rFonts w:ascii="Arial" w:cs="Arial" w:eastAsia="Arial" w:hAnsi="Arial"/>
          <w:sz w:val="18"/>
          <w:szCs w:val="18"/>
          <w:b w:val="1"/>
          <w:bCs w:val="1"/>
          <w:color w:val="auto"/>
        </w:rPr>
        <w:t>GENERAL MEETING - EXERCISE OF MEETING AND VOTING RIGHTS Article 24</w:t>
      </w:r>
    </w:p>
    <w:p>
      <w:pPr>
        <w:spacing w:after="0" w:line="1"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color w:val="auto"/>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p>
      <w:pPr>
        <w:spacing w:after="0" w:line="89" w:lineRule="exact"/>
        <w:rPr>
          <w:sz w:val="20"/>
          <w:szCs w:val="20"/>
          <w:color w:val="auto"/>
        </w:rPr>
      </w:pPr>
    </w:p>
    <w:p>
      <w:pPr>
        <w:ind w:left="540" w:right="20" w:hanging="539"/>
        <w:spacing w:after="0" w:line="293" w:lineRule="auto"/>
        <w:tabs>
          <w:tab w:leader="none" w:pos="5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The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ectPr>
          <w:pgSz w:w="11900" w:h="16838" w:orient="portrait"/>
          <w:cols w:equalWidth="0" w:num="1">
            <w:col w:w="11000"/>
          </w:cols>
          <w:pgMar w:left="440" w:top="1043" w:right="4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20</w:t>
      </w:r>
    </w:p>
    <w:p>
      <w:pPr>
        <w:spacing w:after="0" w:line="154" w:lineRule="exact"/>
        <w:rPr>
          <w:sz w:val="20"/>
          <w:szCs w:val="20"/>
          <w:color w:val="auto"/>
        </w:rPr>
      </w:pPr>
    </w:p>
    <w:p>
      <w:pPr>
        <w:ind w:left="540" w:right="24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7"/>
          <w:szCs w:val="17"/>
          <w:color w:val="auto"/>
        </w:rPr>
        <w:t>The Board can also decide that votes cast through electronic means of communication or by means of a letter prior to the General Meeting are considered to be votes that are cast during the General Meeting. These votes shall not be cast prior to the Record Date.</w:t>
      </w:r>
    </w:p>
    <w:p>
      <w:pPr>
        <w:spacing w:after="0" w:line="52" w:lineRule="exact"/>
        <w:rPr>
          <w:sz w:val="20"/>
          <w:szCs w:val="20"/>
          <w:color w:val="auto"/>
        </w:rPr>
      </w:pPr>
    </w:p>
    <w:p>
      <w:pPr>
        <w:ind w:left="540" w:right="120" w:hanging="539"/>
        <w:spacing w:after="0" w:line="301" w:lineRule="auto"/>
        <w:tabs>
          <w:tab w:leader="none" w:pos="5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color w:val="auto"/>
        </w:rPr>
        <w:t>For the purpose of Articles 24.1 through 24.3, those who have voting rights and/or Meeting Rights on the Record Date and are recorded as such in a register designated by the Board shall be considered to have those rights, irrespective of whoever is entitled to the shares or depository receipts at the time of the General Meeting. Unless Dutch law requires otherwise, the Board is free to determine, when convening a General Meeting, (i) whether the previous sentence applies and (ii) that the Record Date is applied with respect to shares of a specific class only.</w:t>
      </w:r>
    </w:p>
    <w:p>
      <w:pPr>
        <w:spacing w:after="0" w:line="63" w:lineRule="exact"/>
        <w:rPr>
          <w:sz w:val="20"/>
          <w:szCs w:val="20"/>
          <w:color w:val="auto"/>
        </w:rPr>
      </w:pPr>
    </w:p>
    <w:p>
      <w:pPr>
        <w:ind w:left="540" w:right="40" w:hanging="539"/>
        <w:spacing w:after="0" w:line="275" w:lineRule="auto"/>
        <w:tabs>
          <w:tab w:leader="none" w:pos="5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Board may stipulate not to apply the previous provisions of this Article 24.5 in respect of the exercise of Meeting Rights and/or voting rights attached to preferred shares at such General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DECISION-MAKING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25</w:t>
      </w:r>
    </w:p>
    <w:p>
      <w:pPr>
        <w:spacing w:after="0" w:line="131" w:lineRule="exact"/>
        <w:rPr>
          <w:sz w:val="20"/>
          <w:szCs w:val="20"/>
          <w:color w:val="auto"/>
        </w:rPr>
      </w:pPr>
    </w:p>
    <w:p>
      <w:pPr>
        <w:ind w:left="540" w:right="38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Each share, irrespective of which class it concerns, shall give the right to cast one vote at the General Meeting. Fractional shares of a certain class, if any, collectively constituting the nominal value of a share of that class shall be considered to be equivalent to such share.</w:t>
      </w:r>
    </w:p>
    <w:p>
      <w:pPr>
        <w:spacing w:after="0" w:line="29"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77"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spacing w:after="0" w:line="92"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8"/>
          <w:szCs w:val="18"/>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ectPr>
          <w:pgSz w:w="11900" w:h="16838" w:orient="portrait"/>
          <w:cols w:equalWidth="0" w:num="1">
            <w:col w:w="11000"/>
          </w:cols>
          <w:pgMar w:left="440" w:top="1043" w:right="459" w:bottom="1440" w:gutter="0" w:footer="0" w:header="0"/>
        </w:sectPr>
      </w:pPr>
    </w:p>
    <w:bookmarkStart w:id="27" w:name="page28"/>
    <w:bookmarkEnd w:id="27"/>
    <w:p>
      <w:pPr>
        <w:ind w:left="5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21</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color w:val="auto"/>
        </w:rPr>
        <w:t>Where there is a tie in any vote of the General Meeting, the relevant resolution shall not have been passed.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color w:val="auto"/>
        </w:rPr>
        <w:t>The chairman of the General Meeting shall decide on the method of voting and the voting procedure at the General Meeting.</w:t>
      </w:r>
    </w:p>
    <w:p>
      <w:pPr>
        <w:spacing w:after="0" w:line="131"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7"/>
          <w:szCs w:val="17"/>
          <w:color w:val="auto"/>
        </w:rPr>
        <w:t>The determination during the General Meeting made by the chairman of that General Meeting with regard to the results of a vote shall be decisive. If the accuracy of the chairman’s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77" w:lineRule="exact"/>
        <w:rPr>
          <w:sz w:val="20"/>
          <w:szCs w:val="20"/>
          <w:color w:val="auto"/>
        </w:rPr>
      </w:pPr>
    </w:p>
    <w:p>
      <w:pPr>
        <w:ind w:left="540" w:right="320" w:hanging="539"/>
        <w:spacing w:after="0" w:line="342" w:lineRule="auto"/>
        <w:tabs>
          <w:tab w:leader="none" w:pos="52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color w:val="auto"/>
        </w:rPr>
        <w:t>The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spacing w:after="0" w:line="29"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8"/>
          <w:szCs w:val="18"/>
          <w:color w:val="auto"/>
        </w:rPr>
        <w:t>Shareholders may pass resolutions outside a meeting, unless the Company has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25.10  </w:t>
      </w:r>
      <w:r>
        <w:rPr>
          <w:rFonts w:ascii="Arial" w:cs="Arial" w:eastAsia="Arial" w:hAnsi="Arial"/>
          <w:sz w:val="18"/>
          <w:szCs w:val="18"/>
          <w:color w:val="auto"/>
        </w:rPr>
        <w:t>The Directors shall, in that capacity, have an advisory vote at the General Meetings.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SPECIAL RESOLUTIONS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26</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color w:val="auto"/>
        </w:rPr>
        <w:t>The following resolutions can only be passed by the General Meeting at the proposal of the Board:</w:t>
      </w:r>
    </w:p>
    <w:p>
      <w:pPr>
        <w:spacing w:after="0" w:line="135" w:lineRule="exact"/>
        <w:rPr>
          <w:sz w:val="20"/>
          <w:szCs w:val="20"/>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issue of shares or the granting of rights to subscribe for shares;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limitation or exclusion of pre-emption rights;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designation or granting of an authorisation as referred to in Articles 6.1, 7.5 and 10.2, respectively;</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reduction of the Company’s issued share capital;</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making of a distribution on the ordinary shares from the Company’s profits or reserves;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making of a distribution in the form of shares in the Company’s capital or in the form of assets, instead of in cash;</w:t>
      </w:r>
    </w:p>
    <w:p>
      <w:pPr>
        <w:sectPr>
          <w:pgSz w:w="11900" w:h="16838" w:orient="portrait"/>
          <w:cols w:equalWidth="0" w:num="1">
            <w:col w:w="11000"/>
          </w:cols>
          <w:pgMar w:left="440" w:top="1043" w:right="4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22</w:t>
      </w:r>
    </w:p>
    <w:p>
      <w:pPr>
        <w:spacing w:after="0" w:line="158" w:lineRule="exact"/>
        <w:rPr>
          <w:sz w:val="20"/>
          <w:szCs w:val="20"/>
          <w:color w:val="auto"/>
        </w:rPr>
      </w:pPr>
    </w:p>
    <w:p>
      <w:pPr>
        <w:ind w:left="1180" w:hanging="644"/>
        <w:spacing w:after="0"/>
        <w:tabs>
          <w:tab w:leader="none" w:pos="11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amendment of these articles of association;</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entering into of a merger or demerger;</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instruction of the Board to apply for the Company’s bankruptcy; and</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Company’s dissolution.</w:t>
      </w:r>
    </w:p>
    <w:p>
      <w:pPr>
        <w:spacing w:after="0" w:line="127"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A matter which has been included in the convening notice or announced in the same manner by or at the request of one or more Persons with Meeting Rights pursuant to Articles 22.5 and/or 22.6 shall not be considered to have been proposed by the Board for purposes of Article 26.1, unless the Board has expressly indicated that it supports the discussion of such matter in the agenda of the General Meeting concerned or in the explanatory notes thereto.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27</w:t>
      </w:r>
    </w:p>
    <w:p>
      <w:pPr>
        <w:spacing w:after="0" w:line="131"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8"/>
          <w:szCs w:val="18"/>
          <w:color w:val="auto"/>
        </w:rPr>
        <w:t>A Class Meeting shall be held whenever a resolution of that Class Meeting is required by Dutch law or under these articles of association and otherwise whenever the Board so decides.</w:t>
      </w:r>
    </w:p>
    <w:p>
      <w:pPr>
        <w:spacing w:after="0" w:line="76"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8"/>
          <w:szCs w:val="18"/>
          <w:color w:val="auto"/>
        </w:rPr>
        <w:t>Without prejudice to Article 27.1, for Class Meetings of ordinary shares, the provisions concerning the convening of, drawing up of the agenda for, holding of and decision-making by the General Meeting apply mutatis mutandis.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color w:val="auto"/>
        </w:rPr>
        <w:t>For Class Meetings of preferred shares, the following shall apply:</w:t>
      </w:r>
    </w:p>
    <w:p>
      <w:pPr>
        <w:spacing w:after="0" w:line="135" w:lineRule="exact"/>
        <w:rPr>
          <w:sz w:val="20"/>
          <w:szCs w:val="20"/>
          <w:color w:val="auto"/>
        </w:rPr>
      </w:pPr>
    </w:p>
    <w:p>
      <w:pPr>
        <w:ind w:left="1180" w:hanging="644"/>
        <w:spacing w:after="0"/>
        <w:tabs>
          <w:tab w:leader="none" w:pos="11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Articles 22.3, 22.9, 23.3, 25.1, 25.2 through 25.10 apply mutatis mutandis;</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 Class Meeting must be convened no later than on the eighth day prior to that of the meeting;</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 Class Meeting shall appoint its own chairman; and</w:t>
      </w:r>
    </w:p>
    <w:p>
      <w:pPr>
        <w:spacing w:after="0" w:line="130" w:lineRule="exact"/>
        <w:rPr>
          <w:rFonts w:ascii="Arial" w:cs="Arial" w:eastAsia="Arial" w:hAnsi="Arial"/>
          <w:sz w:val="18"/>
          <w:szCs w:val="18"/>
          <w:b w:val="1"/>
          <w:bCs w:val="1"/>
          <w:color w:val="auto"/>
        </w:rPr>
      </w:pPr>
    </w:p>
    <w:p>
      <w:pPr>
        <w:ind w:left="1180" w:hanging="644"/>
        <w:spacing w:after="0" w:line="263" w:lineRule="auto"/>
        <w:tabs>
          <w:tab w:leader="none" w:pos="11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p>
      <w:pPr>
        <w:spacing w:after="0" w:line="288" w:lineRule="exact"/>
        <w:rPr>
          <w:sz w:val="20"/>
          <w:szCs w:val="20"/>
          <w:color w:val="auto"/>
        </w:rPr>
      </w:pPr>
    </w:p>
    <w:p>
      <w:pPr>
        <w:ind w:right="3560"/>
        <w:spacing w:after="0" w:line="383" w:lineRule="auto"/>
        <w:rPr>
          <w:sz w:val="20"/>
          <w:szCs w:val="20"/>
          <w:color w:val="auto"/>
        </w:rPr>
      </w:pPr>
      <w:r>
        <w:rPr>
          <w:rFonts w:ascii="Arial" w:cs="Arial" w:eastAsia="Arial" w:hAnsi="Arial"/>
          <w:sz w:val="18"/>
          <w:szCs w:val="18"/>
          <w:b w:val="1"/>
          <w:bCs w:val="1"/>
          <w:color w:val="auto"/>
        </w:rPr>
        <w:t>REPORTING - FINANCIAL YEAR, ANNUAL ACCOUNTS AND MANAGEMENT REPORT Article 28</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color w:val="auto"/>
        </w:rPr>
        <w:t>The Company’s financial year shall coincide with the calendar year.</w:t>
      </w:r>
    </w:p>
    <w:p>
      <w:pPr>
        <w:spacing w:after="0" w:line="131" w:lineRule="exact"/>
        <w:rPr>
          <w:sz w:val="20"/>
          <w:szCs w:val="20"/>
          <w:color w:val="auto"/>
        </w:r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8"/>
          <w:szCs w:val="18"/>
          <w:color w:val="auto"/>
        </w:rPr>
        <w:t>Annually, within the relevant statutory period, the Board shall prepare the annual accounts and the management report and deposit them at the Company’s office for inspection by the shareholders.</w:t>
      </w:r>
    </w:p>
    <w:p>
      <w:pPr>
        <w:sectPr>
          <w:pgSz w:w="11900" w:h="16838" w:orient="portrait"/>
          <w:cols w:equalWidth="0" w:num="1">
            <w:col w:w="10900"/>
          </w:cols>
          <w:pgMar w:left="440" w:top="1043" w:right="559" w:bottom="1440" w:gutter="0" w:footer="0" w:header="0"/>
        </w:sectPr>
      </w:pPr>
    </w:p>
    <w:bookmarkStart w:id="29" w:name="page30"/>
    <w:bookmarkEnd w:id="29"/>
    <w:p>
      <w:pPr>
        <w:ind w:left="5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23</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color w:val="auto"/>
        </w:rPr>
        <w:t>The annual accounts shall be signed by the Directors. If any of their signatures is missing, this shall be mentioned, stating the reasons.</w:t>
      </w:r>
    </w:p>
    <w:p>
      <w:pPr>
        <w:spacing w:after="0" w:line="131"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8"/>
          <w:szCs w:val="18"/>
          <w:color w:val="auto"/>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The annual accounts shall be adopted by the General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w:t>
      </w:r>
    </w:p>
    <w:p>
      <w:pPr>
        <w:spacing w:after="0" w:line="131" w:lineRule="exact"/>
        <w:rPr>
          <w:sz w:val="20"/>
          <w:szCs w:val="20"/>
          <w:color w:val="auto"/>
        </w:rPr>
      </w:pPr>
    </w:p>
    <w:p>
      <w:pPr>
        <w:ind w:left="540" w:right="4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8"/>
          <w:szCs w:val="18"/>
          <w:color w:val="auto"/>
        </w:rPr>
        <w:t>The General Meeting shall instruct an external auditor as referred to in Section 2:393 DCC to audit the annual accounts. Where the General Meeting fails to do so, the Board shall be authorised to do so.</w:t>
      </w:r>
    </w:p>
    <w:p>
      <w:pPr>
        <w:spacing w:after="0" w:line="76" w:lineRule="exact"/>
        <w:rPr>
          <w:sz w:val="20"/>
          <w:szCs w:val="20"/>
          <w:color w:val="auto"/>
        </w:rPr>
      </w:pPr>
    </w:p>
    <w:p>
      <w:pPr>
        <w:ind w:left="54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30</w:t>
      </w:r>
    </w:p>
    <w:p>
      <w:pPr>
        <w:spacing w:after="0" w:line="131" w:lineRule="exact"/>
        <w:rPr>
          <w:sz w:val="20"/>
          <w:szCs w:val="20"/>
          <w:color w:val="auto"/>
        </w:r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color w:val="auto"/>
        </w:rPr>
        <w:t>A distribution can only be made to the extent that the Company’s equity exceeds the amount of the paid up and called up part of its capital plus the reserves which must be maintained by law.</w:t>
      </w:r>
    </w:p>
    <w:p>
      <w:pPr>
        <w:spacing w:after="0" w:line="76" w:lineRule="exact"/>
        <w:rPr>
          <w:sz w:val="20"/>
          <w:szCs w:val="20"/>
          <w:color w:val="auto"/>
        </w:rPr>
      </w:pPr>
    </w:p>
    <w:p>
      <w:pPr>
        <w:ind w:left="540" w:right="22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8"/>
          <w:szCs w:val="18"/>
          <w:color w:val="auto"/>
        </w:rPr>
        <w:t>The Board may resolve to make interim distributions, provided that it appears from interim accounts to be prepared in accordance with Section 2:105(4) DCC that the requirement referred to in Article 30.1 has been met and, if it concerns an interim distribution of profits, taking into account the order of priority described in Article 32.1.</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color w:val="auto"/>
        </w:rPr>
        <w:t>No entitlement to distributions is attached to preferred shares, other than as described in Articles 11.2, 32.1 and 33.3.</w:t>
      </w:r>
    </w:p>
    <w:p>
      <w:pPr>
        <w:spacing w:after="0" w:line="131"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8"/>
          <w:szCs w:val="18"/>
          <w:color w:val="auto"/>
        </w:rPr>
        <w:t>Distributions shall be made in proportion to the aggregate nominal value of the shares of the relevant class. In deviation of the previous sentence, distributions on preferred shares (or to the former holders of preferred shares) shall be made in proportion to the amounts paid up (or formerly paid up) on those preferred shares.</w:t>
      </w:r>
    </w:p>
    <w:p>
      <w:pPr>
        <w:spacing w:after="0" w:line="89" w:lineRule="exact"/>
        <w:rPr>
          <w:sz w:val="20"/>
          <w:szCs w:val="20"/>
          <w:color w:val="auto"/>
        </w:rPr>
      </w:pPr>
    </w:p>
    <w:p>
      <w:pPr>
        <w:jc w:val="center"/>
        <w:ind w:right="820"/>
        <w:spacing w:after="0" w:line="347" w:lineRule="auto"/>
        <w:rPr>
          <w:sz w:val="20"/>
          <w:szCs w:val="20"/>
          <w:color w:val="auto"/>
        </w:rPr>
      </w:pPr>
      <w:r>
        <w:rPr>
          <w:rFonts w:ascii="Arial" w:cs="Arial" w:eastAsia="Arial" w:hAnsi="Arial"/>
          <w:sz w:val="16"/>
          <w:szCs w:val="16"/>
          <w:b w:val="1"/>
          <w:bCs w:val="1"/>
          <w:color w:val="auto"/>
        </w:rPr>
        <w:t xml:space="preserve">30.5   </w:t>
      </w:r>
      <w:r>
        <w:rPr>
          <w:rFonts w:ascii="Arial" w:cs="Arial" w:eastAsia="Arial" w:hAnsi="Arial"/>
          <w:sz w:val="16"/>
          <w:szCs w:val="16"/>
          <w:color w:val="auto"/>
        </w:rPr>
        <w:t>The parties entitled to a distribution shall be the relevant shareholders, usufructuaries and pledgees, as the case may be, at a date to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for that purpose. This date shall not be earlier than the date on which the distribution was announced.</w:t>
      </w:r>
    </w:p>
    <w:p>
      <w:pPr>
        <w:sectPr>
          <w:pgSz w:w="11900" w:h="16838" w:orient="portrait"/>
          <w:cols w:equalWidth="0" w:num="1">
            <w:col w:w="10980"/>
          </w:cols>
          <w:pgMar w:left="440" w:top="1043" w:right="4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24</w:t>
      </w:r>
    </w:p>
    <w:p>
      <w:pPr>
        <w:spacing w:after="0" w:line="154"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8"/>
          <w:szCs w:val="18"/>
          <w:color w:val="auto"/>
        </w:rPr>
        <w:t>The General Meeting may resolve, subject to Article 26, that all or part of a distribution, instead of being made in cash, shall be made in the form of shares in the Company’s capital or in the form of the Company’s assets.</w:t>
      </w:r>
    </w:p>
    <w:p>
      <w:pPr>
        <w:spacing w:after="0" w:line="76" w:lineRule="exact"/>
        <w:rPr>
          <w:sz w:val="20"/>
          <w:szCs w:val="20"/>
          <w:color w:val="auto"/>
        </w:rPr>
      </w:pPr>
    </w:p>
    <w:p>
      <w:pPr>
        <w:jc w:val="both"/>
        <w:ind w:left="540" w:right="100" w:hanging="539"/>
        <w:spacing w:after="0" w:line="311" w:lineRule="auto"/>
        <w:tabs>
          <w:tab w:leader="none" w:pos="52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color w:val="auto"/>
        </w:rPr>
        <w:t>A distribution shall be payable on such date and, if it concerns a distribution in cash, in such currency or currencies as determined by the Board. If it concerns a distribution in the form of the Company’s assets, the Board shall determine the value attributed to such distribution for purposes of recording the distribution in the Company’s accounts with due observance of applicable law (including the applicable accounting principles).</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color w:val="auto"/>
        </w:rPr>
        <w:t>A claim for payment of a distribution shall lapse after five years have expired after the distribution became payable.</w:t>
      </w:r>
    </w:p>
    <w:p>
      <w:pPr>
        <w:spacing w:after="0" w:line="131" w:lineRule="exact"/>
        <w:rPr>
          <w:sz w:val="20"/>
          <w:szCs w:val="20"/>
          <w:color w:val="auto"/>
        </w:rPr>
      </w:pPr>
    </w:p>
    <w:p>
      <w:pPr>
        <w:jc w:val="both"/>
        <w:ind w:left="540" w:right="1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8"/>
          <w:szCs w:val="18"/>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31</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All reserves maintained by the Company shall be attached exclusively to the ordinary shares.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Subject to Article 26, the General Meeting is authorised to resolve to make a distribution from the Company’s reserves.</w:t>
      </w:r>
    </w:p>
    <w:p>
      <w:pPr>
        <w:spacing w:after="0" w:line="131"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8"/>
          <w:szCs w:val="18"/>
          <w:color w:val="auto"/>
        </w:rPr>
        <w:t>Without prejudice to Articles 31.4 and 32.2, distributions from a reserve shall be made exclusively on the class of shares to which such reserve is attached, provided that distributions to holders or former holders of preferred shares as contemplated by Articles 11.2 and 32.2 may be charged against reserves attached to the ordinary shares.</w:t>
      </w:r>
    </w:p>
    <w:p>
      <w:pPr>
        <w:spacing w:after="0" w:line="89" w:lineRule="exact"/>
        <w:rPr>
          <w:sz w:val="20"/>
          <w:szCs w:val="20"/>
          <w:color w:val="auto"/>
        </w:rPr>
      </w:pPr>
    </w:p>
    <w:p>
      <w:pPr>
        <w:ind w:left="540" w:right="4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8"/>
          <w:szCs w:val="18"/>
          <w:color w:val="auto"/>
        </w:rPr>
        <w:t>The Board may resolve to charge amounts to be paid up on shares against the Company’s reserves, irrespective of whether those shares are issued to existing shareholders.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PROFITS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32</w:t>
      </w:r>
    </w:p>
    <w:p>
      <w:pPr>
        <w:spacing w:after="0" w:line="131"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Subject to Article 30.1, the profits shown in the Company’s annual accounts in respect of a financial year shall be appropriated as follows, and in the following order of priority:</w:t>
      </w:r>
    </w:p>
    <w:p>
      <w:pPr>
        <w:spacing w:after="0" w:line="80" w:lineRule="exact"/>
        <w:rPr>
          <w:sz w:val="20"/>
          <w:szCs w:val="20"/>
          <w:color w:val="auto"/>
        </w:rPr>
      </w:pPr>
    </w:p>
    <w:p>
      <w:pPr>
        <w:ind w:left="1180" w:right="200" w:hanging="644"/>
        <w:spacing w:after="0" w:line="259" w:lineRule="auto"/>
        <w:tabs>
          <w:tab w:leader="none" w:pos="11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shares have been cancelled without the distribution described in Article 11.2 paragraph b. having been paid in full and without any such deficit subsequently having been paid in full as described in this Article 32.1 or Article 32.2, an amount equal to any such (remaining) deficit shall be distributed to those who held those preferred shares at the moment of such cancellation becoming effective;</w:t>
      </w:r>
    </w:p>
    <w:p>
      <w:pPr>
        <w:sectPr>
          <w:pgSz w:w="11900" w:h="16838" w:orient="portrait"/>
          <w:cols w:equalWidth="0" w:num="1">
            <w:col w:w="11000"/>
          </w:cols>
          <w:pgMar w:left="440" w:top="1043" w:right="4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25</w:t>
      </w:r>
    </w:p>
    <w:p>
      <w:pPr>
        <w:spacing w:after="0" w:line="158" w:lineRule="exact"/>
        <w:rPr>
          <w:sz w:val="20"/>
          <w:szCs w:val="20"/>
          <w:color w:val="auto"/>
        </w:rPr>
      </w:pPr>
    </w:p>
    <w:p>
      <w:pPr>
        <w:jc w:val="both"/>
        <w:ind w:left="1180" w:right="500" w:hanging="644"/>
        <w:spacing w:after="0" w:line="263" w:lineRule="auto"/>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Distribution (or part thereof) in relation to previous financial years has not yet been paid in full as described in this Article 32.1 or Article 32.2, an amount equal to any such (remaining) deficit shall be distributed on the preferred shares;</w:t>
      </w:r>
    </w:p>
    <w:p>
      <w:pPr>
        <w:spacing w:after="0" w:line="89" w:lineRule="exact"/>
        <w:rPr>
          <w:rFonts w:ascii="Arial" w:cs="Arial" w:eastAsia="Arial" w:hAnsi="Arial"/>
          <w:sz w:val="18"/>
          <w:szCs w:val="18"/>
          <w:b w:val="1"/>
          <w:bCs w:val="1"/>
          <w:color w:val="auto"/>
        </w:rPr>
      </w:pPr>
    </w:p>
    <w:p>
      <w:pPr>
        <w:ind w:left="1180" w:right="520" w:hanging="644"/>
        <w:spacing w:after="0" w:line="277" w:lineRule="auto"/>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Preferred Distribution shall be distributed on the preferred shares in respect of the financial year to which the annual accounts pertain;</w:t>
      </w:r>
    </w:p>
    <w:p>
      <w:pPr>
        <w:spacing w:after="0" w:line="75"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Board shall determine which part of the remaining profits shall be added to the Company’s reserves; and</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subject Article 26, the remaining profits shall be at the disposal of the General Meeting for distribution on the ordinary shares.</w:t>
      </w:r>
    </w:p>
    <w:p>
      <w:pPr>
        <w:spacing w:after="0" w:line="138" w:lineRule="exact"/>
        <w:rPr>
          <w:sz w:val="20"/>
          <w:szCs w:val="20"/>
          <w:color w:val="auto"/>
        </w:rPr>
      </w:pPr>
    </w:p>
    <w:p>
      <w:pPr>
        <w:ind w:left="540" w:right="6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color w:val="auto"/>
        </w:rPr>
        <w:t>To the extent that the distributions described in Article 32.1 paragraphs a. through c. (or any part thereof) cannot be paid out of the profits shown in the annual accounts, any such deficit shall be distributed from the Company’s reserves, subject to Articles 30.1 and 30.2.</w:t>
      </w:r>
    </w:p>
    <w:p>
      <w:pPr>
        <w:spacing w:after="0" w:line="52" w:lineRule="exact"/>
        <w:rPr>
          <w:sz w:val="20"/>
          <w:szCs w:val="20"/>
          <w:color w:val="auto"/>
        </w:rPr>
      </w:pPr>
    </w:p>
    <w:p>
      <w:pPr>
        <w:ind w:left="540" w:right="6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8"/>
          <w:szCs w:val="18"/>
          <w:color w:val="auto"/>
        </w:rPr>
        <w:t>Subject to Article 30.1, a distribution of profits shall be made after the adoption of the annual accounts that show that such distribution is allowed.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AND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33</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color w:val="auto"/>
        </w:rPr>
        <w:t>In the event of the Company being dissolved, the liquidation shall be effected by the Board, unless the General Meeting decides otherwise.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color w:val="auto"/>
        </w:rPr>
        <w:t>To the extent possible, these articles of association shall remain in effect during the liquidation.</w:t>
      </w:r>
    </w:p>
    <w:p>
      <w:pPr>
        <w:spacing w:after="0" w:line="131"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8"/>
          <w:szCs w:val="18"/>
          <w:color w:val="auto"/>
        </w:rPr>
        <w:t>To the extent that any assets remain after payment of all of the Company’s debts, those assets shall be distributed as follows, and in the following order of priority:</w:t>
      </w:r>
    </w:p>
    <w:p>
      <w:pPr>
        <w:spacing w:after="0" w:line="80" w:lineRule="exact"/>
        <w:rPr>
          <w:sz w:val="20"/>
          <w:szCs w:val="20"/>
          <w:color w:val="auto"/>
        </w:rPr>
      </w:pPr>
    </w:p>
    <w:p>
      <w:pPr>
        <w:ind w:left="1180" w:hanging="644"/>
        <w:spacing w:after="0"/>
        <w:tabs>
          <w:tab w:leader="none" w:pos="11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amounts paid up on the preferred shares shall be repaid on such preferred shares;</w:t>
      </w:r>
    </w:p>
    <w:p>
      <w:pPr>
        <w:spacing w:after="0" w:line="130" w:lineRule="exact"/>
        <w:rPr>
          <w:rFonts w:ascii="Arial" w:cs="Arial" w:eastAsia="Arial" w:hAnsi="Arial"/>
          <w:sz w:val="18"/>
          <w:szCs w:val="18"/>
          <w:b w:val="1"/>
          <w:bCs w:val="1"/>
          <w:color w:val="auto"/>
        </w:rPr>
      </w:pPr>
    </w:p>
    <w:p>
      <w:pPr>
        <w:ind w:left="1180" w:right="200" w:hanging="644"/>
        <w:spacing w:after="0" w:line="259" w:lineRule="auto"/>
        <w:tabs>
          <w:tab w:leader="none" w:pos="11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shares have been cancelled without the distribution described in Article 11.2 paragraph b. having been paid in full and without any such deficit subsequently having been paid in full as described in Articles 32.1 and 32.2, an amount equal to any such (remaining) deficit shall be distributed to those who held those preferred shares at the moment of such cancellation becoming effective;</w:t>
      </w:r>
    </w:p>
    <w:p>
      <w:pPr>
        <w:spacing w:after="0" w:line="92" w:lineRule="exact"/>
        <w:rPr>
          <w:rFonts w:ascii="Arial" w:cs="Arial" w:eastAsia="Arial" w:hAnsi="Arial"/>
          <w:sz w:val="18"/>
          <w:szCs w:val="18"/>
          <w:b w:val="1"/>
          <w:bCs w:val="1"/>
          <w:color w:val="auto"/>
        </w:rPr>
      </w:pPr>
    </w:p>
    <w:p>
      <w:pPr>
        <w:ind w:left="1180" w:hanging="644"/>
        <w:spacing w:after="0" w:line="263" w:lineRule="auto"/>
        <w:tabs>
          <w:tab w:leader="none" w:pos="11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Distribution (or part thereof) in relation to financial years prior to the financial year in which the distribution referred to in paragraph a. occurs has not yet been paid in full as described in Articles 32.1 and 32.2, an amount equal to any such (remaining) deficit shall be distributed on the preferred shares;</w:t>
      </w:r>
    </w:p>
    <w:p>
      <w:pPr>
        <w:sectPr>
          <w:pgSz w:w="11900" w:h="16838" w:orient="portrait"/>
          <w:cols w:equalWidth="0" w:num="1">
            <w:col w:w="11020"/>
          </w:cols>
          <w:pgMar w:left="440" w:top="1043" w:right="439" w:bottom="1440" w:gutter="0" w:footer="0" w:header="0"/>
        </w:sectPr>
      </w:pPr>
    </w:p>
    <w:bookmarkStart w:id="32" w:name="page33"/>
    <w:bookmarkEnd w:id="32"/>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26</w:t>
      </w:r>
    </w:p>
    <w:p>
      <w:pPr>
        <w:spacing w:after="0" w:line="158" w:lineRule="exact"/>
        <w:rPr>
          <w:sz w:val="20"/>
          <w:szCs w:val="20"/>
          <w:color w:val="auto"/>
        </w:rPr>
      </w:pPr>
    </w:p>
    <w:p>
      <w:pPr>
        <w:ind w:left="1180" w:hanging="644"/>
        <w:spacing w:after="0" w:line="263" w:lineRule="auto"/>
        <w:tabs>
          <w:tab w:leader="none" w:pos="11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Preferred Distribution shall be paid on the preferred shares calculated in respect of the part of the financial year in which the distribution referred to in paragraph a. is made, for the number of days that have already elapsed during such part of the financial year; and</w:t>
      </w:r>
    </w:p>
    <w:p>
      <w:pPr>
        <w:spacing w:after="0" w:line="89" w:lineRule="exact"/>
        <w:rPr>
          <w:rFonts w:ascii="Arial" w:cs="Arial" w:eastAsia="Arial" w:hAnsi="Arial"/>
          <w:sz w:val="18"/>
          <w:szCs w:val="18"/>
          <w:b w:val="1"/>
          <w:bCs w:val="1"/>
          <w:color w:val="auto"/>
        </w:rPr>
      </w:pPr>
    </w:p>
    <w:p>
      <w:pPr>
        <w:ind w:left="1180" w:hanging="644"/>
        <w:spacing w:after="0"/>
        <w:tabs>
          <w:tab w:leader="none" w:pos="11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any remaining assets shall be distributed to the holders of ordinary shares.</w:t>
      </w:r>
    </w:p>
    <w:p>
      <w:pPr>
        <w:spacing w:after="0" w:line="127" w:lineRule="exact"/>
        <w:rPr>
          <w:sz w:val="20"/>
          <w:szCs w:val="20"/>
          <w:color w:val="auto"/>
        </w:rPr>
      </w:pPr>
    </w:p>
    <w:p>
      <w:pPr>
        <w:ind w:left="540" w:right="24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8"/>
          <w:szCs w:val="18"/>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FORUM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34</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sole and exclusive forum for any complaint asserting a cause of action arising under the United States Securities Act of 1933, as amended, to the fullest extent permitted by applicable law, shall be the federal district courts of the United States of America.</w:t>
      </w:r>
    </w:p>
    <w:p>
      <w:pPr>
        <w:sectPr>
          <w:pgSz w:w="11900" w:h="16838" w:orient="portrait"/>
          <w:cols w:equalWidth="0" w:num="1">
            <w:col w:w="10880"/>
          </w:cols>
          <w:pgMar w:left="440" w:top="1043" w:right="5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ATTORNEYS • CIVIL LAW NOTARIES • TAX ADVISERS</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5280" w:type="dxa"/>
            <w:vAlign w:val="bottom"/>
          </w:tcPr>
          <w:p>
            <w:pPr>
              <w:spacing w:after="0"/>
              <w:rPr>
                <w:sz w:val="20"/>
                <w:szCs w:val="20"/>
                <w:color w:val="auto"/>
              </w:rPr>
            </w:pPr>
            <w:r>
              <w:rPr>
                <w:rFonts w:ascii="Arial" w:cs="Arial" w:eastAsia="Arial" w:hAnsi="Arial"/>
                <w:sz w:val="18"/>
                <w:szCs w:val="18"/>
                <w:color w:val="auto"/>
              </w:rPr>
              <w:t>P.O. Box 7113</w:t>
            </w:r>
          </w:p>
        </w:tc>
        <w:tc>
          <w:tcPr>
            <w:tcW w:w="2940" w:type="dxa"/>
            <w:vAlign w:val="bottom"/>
          </w:tcPr>
          <w:p>
            <w:pPr>
              <w:ind w:left="820"/>
              <w:spacing w:after="0"/>
              <w:rPr>
                <w:sz w:val="20"/>
                <w:szCs w:val="20"/>
                <w:color w:val="auto"/>
              </w:rPr>
            </w:pPr>
            <w:r>
              <w:rPr>
                <w:rFonts w:ascii="Arial" w:cs="Arial" w:eastAsia="Arial" w:hAnsi="Arial"/>
                <w:sz w:val="18"/>
                <w:szCs w:val="18"/>
                <w:color w:val="auto"/>
                <w:w w:val="89"/>
              </w:rPr>
              <w:t>Amsterdam, 9 February 2021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1007 JC Amsterdam</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Beethovenstraat 400</w:t>
            </w:r>
          </w:p>
        </w:tc>
        <w:tc>
          <w:tcPr>
            <w:tcW w:w="2940" w:type="dxa"/>
            <w:vAlign w:val="bottom"/>
            <w:vMerge w:val="restart"/>
          </w:tcPr>
          <w:p>
            <w:pPr>
              <w:ind w:left="820"/>
              <w:spacing w:after="0"/>
              <w:rPr>
                <w:sz w:val="20"/>
                <w:szCs w:val="20"/>
                <w:color w:val="auto"/>
              </w:rPr>
            </w:pPr>
            <w:r>
              <w:rPr>
                <w:rFonts w:ascii="Arial" w:cs="Arial" w:eastAsia="Arial" w:hAnsi="Arial"/>
                <w:sz w:val="18"/>
                <w:szCs w:val="18"/>
                <w:color w:val="auto"/>
              </w:rPr>
              <w:t>To the Company</w:t>
            </w:r>
          </w:p>
        </w:tc>
        <w:tc>
          <w:tcPr>
            <w:tcW w:w="0" w:type="dxa"/>
            <w:vAlign w:val="bottom"/>
          </w:tcPr>
          <w:p>
            <w:pPr>
              <w:spacing w:after="0"/>
              <w:rPr>
                <w:sz w:val="1"/>
                <w:szCs w:val="1"/>
                <w:color w:val="auto"/>
              </w:rPr>
            </w:pPr>
          </w:p>
        </w:tc>
      </w:tr>
      <w:tr>
        <w:trPr>
          <w:trHeight w:val="163"/>
        </w:trPr>
        <w:tc>
          <w:tcPr>
            <w:tcW w:w="5280" w:type="dxa"/>
            <w:vAlign w:val="bottom"/>
            <w:vMerge w:val="restart"/>
          </w:tcPr>
          <w:p>
            <w:pPr>
              <w:spacing w:after="0"/>
              <w:rPr>
                <w:sz w:val="20"/>
                <w:szCs w:val="20"/>
                <w:color w:val="auto"/>
              </w:rPr>
            </w:pPr>
            <w:r>
              <w:rPr>
                <w:rFonts w:ascii="Arial" w:cs="Arial" w:eastAsia="Arial" w:hAnsi="Arial"/>
                <w:sz w:val="18"/>
                <w:szCs w:val="18"/>
                <w:color w:val="auto"/>
              </w:rPr>
              <w:t>1082 PR Amsterdam</w:t>
            </w: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28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 +31 20 71 71 000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 +31 20 71 71 111</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-1156335</wp:posOffset>
            </wp:positionV>
            <wp:extent cx="1285875"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5875" cy="1968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acted as legal counsel as to Dutch law to the Company in connection with the Offering. This opinion letter is rendered to you in order to be filed with the SEC as an exhibit to the Registration Statement.</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Capitalised terms used in this opinion letter have the meanings set forth in Exhibit A to this opinion letter. The section headings used in this opinion letter are for convenience of reference only and are not to affect its construction or to be taken </w:t>
      </w:r>
      <w:r>
        <w:rPr>
          <w:rFonts w:ascii="Arial" w:cs="Arial" w:eastAsia="Arial" w:hAnsi="Arial"/>
          <w:sz w:val="17"/>
          <w:szCs w:val="17"/>
          <w:u w:val="single" w:color="auto"/>
          <w:color w:val="auto"/>
        </w:rPr>
        <w:t>into consideration in its interpretation.</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the Plans.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rendering the opinions expressed in this opinion letter, we have reviewed and relied upon a draft of the 2016 Plan, the 2021 Plan and pdf copies or drafts, as the case may be, of the Corporate Documents and we have assumed that Awards made under each Plan shall be made for bona fide commercial reasons. We have not investigated or verified any factual matter disclosed to us in the course of our review.</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Plans or the Corporate Documents subsequent to the date of this opinion letter.</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is confidential and may be subject to professional privilege. 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1">
            <w:col w:w="11020"/>
          </w:cols>
          <w:pgMar w:left="440" w:top="121" w:right="439" w:bottom="1440" w:gutter="0" w:footer="0" w:header="0"/>
        </w:sectPr>
      </w:pPr>
    </w:p>
    <w:bookmarkStart w:id="34" w:name="page35"/>
    <w:bookmarkEnd w:id="34"/>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2</w:t>
      </w:r>
    </w:p>
    <w:p>
      <w:pPr>
        <w:spacing w:after="0" w:line="15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8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131" w:lineRule="exact"/>
        <w:rPr>
          <w:sz w:val="20"/>
          <w:szCs w:val="20"/>
          <w:color w:val="auto"/>
        </w:rPr>
      </w:pPr>
    </w:p>
    <w:p>
      <w:pPr>
        <w:ind w:left="424" w:right="180" w:hanging="424"/>
        <w:spacing w:after="0" w:line="277"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by the SEC in the form reviewed by us;</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no internal regulations (</w:t>
      </w:r>
      <w:r>
        <w:rPr>
          <w:rFonts w:ascii="Arial" w:cs="Arial" w:eastAsia="Arial" w:hAnsi="Arial"/>
          <w:sz w:val="18"/>
          <w:szCs w:val="18"/>
          <w:i w:val="1"/>
          <w:iCs w:val="1"/>
          <w:color w:val="auto"/>
        </w:rPr>
        <w:t>reglementen</w:t>
      </w:r>
      <w:r>
        <w:rPr>
          <w:rFonts w:ascii="Arial" w:cs="Arial" w:eastAsia="Arial" w:hAnsi="Arial"/>
          <w:sz w:val="18"/>
          <w:szCs w:val="18"/>
          <w:color w:val="auto"/>
        </w:rPr>
        <w:t>) have been adopted by any corporate body of the Company which would affect the validity of the resolutions recorded in the Resolutions and (ii) the Articles are the Articles of Association currently in force and as they will be in force at each Relevant Moment;</w:t>
      </w:r>
    </w:p>
    <w:p>
      <w:pPr>
        <w:spacing w:after="0" w:line="89" w:lineRule="exact"/>
        <w:rPr>
          <w:rFonts w:ascii="Arial" w:cs="Arial" w:eastAsia="Arial" w:hAnsi="Arial"/>
          <w:sz w:val="18"/>
          <w:szCs w:val="18"/>
          <w:color w:val="auto"/>
        </w:rPr>
      </w:pPr>
    </w:p>
    <w:p>
      <w:pPr>
        <w:jc w:val="both"/>
        <w:ind w:left="424" w:right="940" w:hanging="424"/>
        <w:spacing w:after="0" w:line="342" w:lineRule="auto"/>
        <w:tabs>
          <w:tab w:leader="none" w:pos="4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each Relevant Moment, the resolutions recorded in the Resolutions are in full force and effect, the factual statements made and the confirmations given in the Resolutions are complete and correct and the Resolutions correctly reflect the resolutions recorded therein;</w:t>
      </w:r>
    </w:p>
    <w:p>
      <w:pPr>
        <w:spacing w:after="0" w:line="29"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each Relevant Moment, the Company will not (i) have been dissolved (</w:t>
      </w:r>
      <w:r>
        <w:rPr>
          <w:rFonts w:ascii="Arial" w:cs="Arial" w:eastAsia="Arial" w:hAnsi="Arial"/>
          <w:sz w:val="18"/>
          <w:szCs w:val="18"/>
          <w:i w:val="1"/>
          <w:iCs w:val="1"/>
          <w:color w:val="auto"/>
        </w:rPr>
        <w:t>ontbonden</w:t>
      </w:r>
      <w:r>
        <w:rPr>
          <w:rFonts w:ascii="Arial" w:cs="Arial" w:eastAsia="Arial" w:hAnsi="Arial"/>
          <w:sz w:val="18"/>
          <w:szCs w:val="18"/>
          <w:color w:val="auto"/>
        </w:rPr>
        <w:t>), (ii) have ceased to exist pursuant to a merger (</w:t>
      </w:r>
      <w:r>
        <w:rPr>
          <w:rFonts w:ascii="Arial" w:cs="Arial" w:eastAsia="Arial" w:hAnsi="Arial"/>
          <w:sz w:val="18"/>
          <w:szCs w:val="18"/>
          <w:i w:val="1"/>
          <w:iCs w:val="1"/>
          <w:color w:val="auto"/>
        </w:rPr>
        <w:t>fusie</w:t>
      </w:r>
      <w:r>
        <w:rPr>
          <w:rFonts w:ascii="Arial" w:cs="Arial" w:eastAsia="Arial" w:hAnsi="Arial"/>
          <w:sz w:val="18"/>
          <w:szCs w:val="18"/>
          <w:color w:val="auto"/>
        </w:rPr>
        <w:t>) or a division (</w:t>
      </w:r>
      <w:r>
        <w:rPr>
          <w:rFonts w:ascii="Arial" w:cs="Arial" w:eastAsia="Arial" w:hAnsi="Arial"/>
          <w:sz w:val="18"/>
          <w:szCs w:val="18"/>
          <w:i w:val="1"/>
          <w:iCs w:val="1"/>
          <w:color w:val="auto"/>
        </w:rPr>
        <w:t>splitsing</w:t>
      </w:r>
      <w:r>
        <w:rPr>
          <w:rFonts w:ascii="Arial" w:cs="Arial" w:eastAsia="Arial" w:hAnsi="Arial"/>
          <w:sz w:val="18"/>
          <w:szCs w:val="18"/>
          <w:color w:val="auto"/>
        </w:rPr>
        <w:t>), (iii) have been converted (</w:t>
      </w:r>
      <w:r>
        <w:rPr>
          <w:rFonts w:ascii="Arial" w:cs="Arial" w:eastAsia="Arial" w:hAnsi="Arial"/>
          <w:sz w:val="18"/>
          <w:szCs w:val="18"/>
          <w:i w:val="1"/>
          <w:iCs w:val="1"/>
          <w:color w:val="auto"/>
        </w:rPr>
        <w:t>omgezet</w:t>
      </w:r>
      <w:r>
        <w:rPr>
          <w:rFonts w:ascii="Arial" w:cs="Arial" w:eastAsia="Arial" w:hAnsi="Arial"/>
          <w:sz w:val="18"/>
          <w:szCs w:val="18"/>
          <w:color w:val="auto"/>
        </w:rPr>
        <w:t>) into another legal form, either national or foreign, other than pursuant to the Deed of Conversion, (iv) have had its assets placed under administration (</w:t>
      </w:r>
      <w:r>
        <w:rPr>
          <w:rFonts w:ascii="Arial" w:cs="Arial" w:eastAsia="Arial" w:hAnsi="Arial"/>
          <w:sz w:val="18"/>
          <w:szCs w:val="18"/>
          <w:i w:val="1"/>
          <w:iCs w:val="1"/>
          <w:color w:val="auto"/>
        </w:rPr>
        <w:t>onder bewind gesteld</w:t>
      </w:r>
      <w:r>
        <w:rPr>
          <w:rFonts w:ascii="Arial" w:cs="Arial" w:eastAsia="Arial" w:hAnsi="Arial"/>
          <w:sz w:val="18"/>
          <w:szCs w:val="18"/>
          <w:color w:val="auto"/>
        </w:rPr>
        <w:t>), (v) have been declared bankrupt (</w:t>
      </w:r>
      <w:r>
        <w:rPr>
          <w:rFonts w:ascii="Arial" w:cs="Arial" w:eastAsia="Arial" w:hAnsi="Arial"/>
          <w:sz w:val="18"/>
          <w:szCs w:val="18"/>
          <w:i w:val="1"/>
          <w:iCs w:val="1"/>
          <w:color w:val="auto"/>
        </w:rPr>
        <w:t>failliet verklaard</w:t>
      </w:r>
      <w:r>
        <w:rPr>
          <w:rFonts w:ascii="Arial" w:cs="Arial" w:eastAsia="Arial" w:hAnsi="Arial"/>
          <w:sz w:val="18"/>
          <w:szCs w:val="18"/>
          <w:color w:val="auto"/>
        </w:rPr>
        <w:t>) and no statutory proceedings for the restructuring of its debts (</w:t>
      </w:r>
      <w:r>
        <w:rPr>
          <w:rFonts w:ascii="Arial" w:cs="Arial" w:eastAsia="Arial" w:hAnsi="Arial"/>
          <w:sz w:val="18"/>
          <w:szCs w:val="18"/>
          <w:i w:val="1"/>
          <w:iCs w:val="1"/>
          <w:color w:val="auto"/>
        </w:rPr>
        <w:t>akkoordprocedure</w:t>
      </w:r>
      <w:r>
        <w:rPr>
          <w:rFonts w:ascii="Arial" w:cs="Arial" w:eastAsia="Arial" w:hAnsi="Arial"/>
          <w:sz w:val="18"/>
          <w:szCs w:val="18"/>
          <w:color w:val="auto"/>
        </w:rPr>
        <w:t>) have been started, (vi) have been granted a suspension of payments (</w:t>
      </w:r>
      <w:r>
        <w:rPr>
          <w:rFonts w:ascii="Arial" w:cs="Arial" w:eastAsia="Arial" w:hAnsi="Arial"/>
          <w:sz w:val="18"/>
          <w:szCs w:val="18"/>
          <w:i w:val="1"/>
          <w:iCs w:val="1"/>
          <w:color w:val="auto"/>
        </w:rPr>
        <w:t>surseance van betaling verleend</w:t>
      </w:r>
      <w:r>
        <w:rPr>
          <w:rFonts w:ascii="Arial" w:cs="Arial" w:eastAsia="Arial" w:hAnsi="Arial"/>
          <w:sz w:val="18"/>
          <w:szCs w:val="18"/>
          <w:color w:val="auto"/>
        </w:rPr>
        <w:t>), or (vii) have been made subject to similar proceedings in any jurisdiction or otherwise been limited in its power to dispose of its assets;</w:t>
      </w:r>
    </w:p>
    <w:p>
      <w:pPr>
        <w:sectPr>
          <w:pgSz w:w="11900" w:h="16838" w:orient="portrait"/>
          <w:cols w:equalWidth="0" w:num="1">
            <w:col w:w="11004"/>
          </w:cols>
          <w:pgMar w:left="436" w:top="814" w:right="459" w:bottom="1440" w:gutter="0" w:footer="0" w:header="0"/>
        </w:sectPr>
      </w:pPr>
    </w:p>
    <w:bookmarkStart w:id="35" w:name="page36"/>
    <w:bookmarkEnd w:id="35"/>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3</w:t>
      </w:r>
    </w:p>
    <w:p>
      <w:pPr>
        <w:spacing w:after="0" w:line="158" w:lineRule="exact"/>
        <w:rPr>
          <w:sz w:val="20"/>
          <w:szCs w:val="20"/>
          <w:color w:val="auto"/>
        </w:rPr>
      </w:pPr>
    </w:p>
    <w:p>
      <w:pPr>
        <w:ind w:left="424" w:right="2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offering of Awards, to the extent made in the Netherlands, has been, is and will be made in conformity with the Prospectus Regulation and the rules promulgated thereunder;</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each Relevant Moment, (i) the relevant Award(s) shall have been validly granted as a right to subscribe for Ordinary Shares (</w:t>
      </w:r>
      <w:r>
        <w:rPr>
          <w:rFonts w:ascii="Arial" w:cs="Arial" w:eastAsia="Arial" w:hAnsi="Arial"/>
          <w:sz w:val="18"/>
          <w:szCs w:val="18"/>
          <w:i w:val="1"/>
          <w:iCs w:val="1"/>
          <w:color w:val="auto"/>
        </w:rPr>
        <w:t>recht tot het nemen</w:t>
      </w:r>
      <w:r>
        <w:rPr>
          <w:rFonts w:ascii="Arial" w:cs="Arial" w:eastAsia="Arial" w:hAnsi="Arial"/>
          <w:sz w:val="18"/>
          <w:szCs w:val="18"/>
          <w:color w:val="auto"/>
        </w:rPr>
        <w:t xml:space="preserve"> </w:t>
      </w:r>
      <w:r>
        <w:rPr>
          <w:rFonts w:ascii="Arial" w:cs="Arial" w:eastAsia="Arial" w:hAnsi="Arial"/>
          <w:sz w:val="18"/>
          <w:szCs w:val="18"/>
          <w:i w:val="1"/>
          <w:iCs w:val="1"/>
          <w:color w:val="auto"/>
        </w:rPr>
        <w:t>van aandelen</w:t>
      </w:r>
      <w:r>
        <w:rPr>
          <w:rFonts w:ascii="Arial" w:cs="Arial" w:eastAsia="Arial" w:hAnsi="Arial"/>
          <w:sz w:val="18"/>
          <w:szCs w:val="18"/>
          <w:color w:val="auto"/>
        </w:rPr>
        <w:t>), (ii) shall be in full force and effect upon being exercised or settled, as applicable, (iii) shall have been validly exercised or settled,</w:t>
      </w:r>
      <w:r>
        <w:rPr>
          <w:rFonts w:ascii="Arial" w:cs="Arial" w:eastAsia="Arial" w:hAnsi="Arial"/>
          <w:sz w:val="18"/>
          <w:szCs w:val="18"/>
          <w:i w:val="1"/>
          <w:iCs w:val="1"/>
          <w:color w:val="auto"/>
        </w:rPr>
        <w:t xml:space="preserve"> </w:t>
      </w:r>
      <w:r>
        <w:rPr>
          <w:rFonts w:ascii="Arial" w:cs="Arial" w:eastAsia="Arial" w:hAnsi="Arial"/>
          <w:sz w:val="18"/>
          <w:szCs w:val="18"/>
          <w:color w:val="auto"/>
        </w:rPr>
        <w:t>as applicable, in accordance with the terms and conditions applicable to such Award(s) and (iv) any pre-emption rights in respect of such Award(s) shall have been validly excluded by the corporate body authorized to do so;</w:t>
      </w:r>
    </w:p>
    <w:p>
      <w:pPr>
        <w:spacing w:after="0" w:line="92" w:lineRule="exact"/>
        <w:rPr>
          <w:rFonts w:ascii="Arial" w:cs="Arial" w:eastAsia="Arial" w:hAnsi="Arial"/>
          <w:sz w:val="18"/>
          <w:szCs w:val="18"/>
          <w:color w:val="auto"/>
        </w:rPr>
      </w:pPr>
    </w:p>
    <w:p>
      <w:pPr>
        <w:jc w:val="both"/>
        <w:ind w:left="424" w:hanging="424"/>
        <w:spacing w:after="0" w:line="259"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each Relevant Moment, each holder of the relevant Award(s) shall be an individual who has not (i) deceased, (ii) had his/her assets placed under administration (</w:t>
      </w:r>
      <w:r>
        <w:rPr>
          <w:rFonts w:ascii="Arial" w:cs="Arial" w:eastAsia="Arial" w:hAnsi="Arial"/>
          <w:sz w:val="18"/>
          <w:szCs w:val="18"/>
          <w:i w:val="1"/>
          <w:iCs w:val="1"/>
          <w:color w:val="auto"/>
        </w:rPr>
        <w:t>onder bewind gesteld</w:t>
      </w:r>
      <w:r>
        <w:rPr>
          <w:rFonts w:ascii="Arial" w:cs="Arial" w:eastAsia="Arial" w:hAnsi="Arial"/>
          <w:sz w:val="18"/>
          <w:szCs w:val="18"/>
          <w:color w:val="auto"/>
        </w:rPr>
        <w:t>), (iii) been declared bankrupt (</w:t>
      </w:r>
      <w:r>
        <w:rPr>
          <w:rFonts w:ascii="Arial" w:cs="Arial" w:eastAsia="Arial" w:hAnsi="Arial"/>
          <w:sz w:val="18"/>
          <w:szCs w:val="18"/>
          <w:i w:val="1"/>
          <w:iCs w:val="1"/>
          <w:color w:val="auto"/>
        </w:rPr>
        <w:t>failliet verklaard</w:t>
      </w:r>
      <w:r>
        <w:rPr>
          <w:rFonts w:ascii="Arial" w:cs="Arial" w:eastAsia="Arial" w:hAnsi="Arial"/>
          <w:sz w:val="18"/>
          <w:szCs w:val="18"/>
          <w:color w:val="auto"/>
        </w:rPr>
        <w:t>), (iv) been granted a suspension of payments (</w:t>
      </w:r>
      <w:r>
        <w:rPr>
          <w:rFonts w:ascii="Arial" w:cs="Arial" w:eastAsia="Arial" w:hAnsi="Arial"/>
          <w:sz w:val="18"/>
          <w:szCs w:val="18"/>
          <w:i w:val="1"/>
          <w:iCs w:val="1"/>
          <w:color w:val="auto"/>
        </w:rPr>
        <w:t>surseance van</w:t>
      </w:r>
      <w:r>
        <w:rPr>
          <w:rFonts w:ascii="Arial" w:cs="Arial" w:eastAsia="Arial" w:hAnsi="Arial"/>
          <w:sz w:val="18"/>
          <w:szCs w:val="18"/>
          <w:color w:val="auto"/>
        </w:rPr>
        <w:t xml:space="preserve"> </w:t>
      </w:r>
      <w:r>
        <w:rPr>
          <w:rFonts w:ascii="Arial" w:cs="Arial" w:eastAsia="Arial" w:hAnsi="Arial"/>
          <w:sz w:val="18"/>
          <w:szCs w:val="18"/>
          <w:i w:val="1"/>
          <w:iCs w:val="1"/>
          <w:color w:val="auto"/>
        </w:rPr>
        <w:t>betaling verleend</w:t>
      </w:r>
      <w:r>
        <w:rPr>
          <w:rFonts w:ascii="Arial" w:cs="Arial" w:eastAsia="Arial" w:hAnsi="Arial"/>
          <w:sz w:val="18"/>
          <w:szCs w:val="18"/>
          <w:color w:val="auto"/>
        </w:rPr>
        <w:t>), or (v) been made subject to similar proceedings in any jurisdiction or otherwise been limited in the power to dispose of his/her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w:t>
      </w:r>
    </w:p>
    <w:p>
      <w:pPr>
        <w:spacing w:after="0" w:line="92"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each Relevant Moment, the authorised share capital (</w:t>
      </w:r>
      <w:r>
        <w:rPr>
          <w:rFonts w:ascii="Arial" w:cs="Arial" w:eastAsia="Arial" w:hAnsi="Arial"/>
          <w:sz w:val="18"/>
          <w:szCs w:val="18"/>
          <w:i w:val="1"/>
          <w:iCs w:val="1"/>
          <w:color w:val="auto"/>
        </w:rPr>
        <w:t>maatschappelijk kapitaal</w:t>
      </w:r>
      <w:r>
        <w:rPr>
          <w:rFonts w:ascii="Arial" w:cs="Arial" w:eastAsia="Arial" w:hAnsi="Arial"/>
          <w:sz w:val="18"/>
          <w:szCs w:val="18"/>
          <w:color w:val="auto"/>
        </w:rPr>
        <w:t>) of the Company shall allow for the grant of Awards and the issuance of Plan Shares pursuant to the exercise and settlement thereof.</w:t>
      </w:r>
    </w:p>
    <w:p>
      <w:pPr>
        <w:spacing w:after="0" w:line="170"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Corporate Status</w:t>
      </w:r>
    </w:p>
    <w:p>
      <w:pPr>
        <w:spacing w:after="0" w:line="135" w:lineRule="exact"/>
        <w:rPr>
          <w:sz w:val="20"/>
          <w:szCs w:val="20"/>
          <w:color w:val="auto"/>
        </w:rPr>
      </w:pPr>
    </w:p>
    <w:p>
      <w:pPr>
        <w:ind w:left="424" w:right="56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Company has been duly incorporated as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and is validly existing as a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w:t>
      </w:r>
    </w:p>
    <w:p>
      <w:pPr>
        <w:spacing w:after="0" w:line="274"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2016 Plan Shares</w:t>
      </w:r>
    </w:p>
    <w:p>
      <w:pPr>
        <w:spacing w:after="0" w:line="134" w:lineRule="exact"/>
        <w:rPr>
          <w:rFonts w:ascii="Arial" w:cs="Arial" w:eastAsia="Arial" w:hAnsi="Arial"/>
          <w:sz w:val="18"/>
          <w:szCs w:val="18"/>
          <w:color w:val="auto"/>
        </w:rPr>
      </w:pPr>
    </w:p>
    <w:p>
      <w:pPr>
        <w:ind w:left="424" w:right="220" w:hanging="424"/>
        <w:spacing w:after="0" w:line="263"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receipt by the Company of payment in full for, or other satisfaction of the issue price of, the 2016 Plan Shares in accordance with the 2016 Plan, and when issued and accepted in accordance with the 2016 Plan, the 2016 Plan Shares shall be validly issued, fully paid and non-assessable.</w:t>
      </w:r>
    </w:p>
    <w:p>
      <w:pPr>
        <w:sectPr>
          <w:pgSz w:w="11900" w:h="16838" w:orient="portrait"/>
          <w:cols w:equalWidth="0" w:num="1">
            <w:col w:w="10984"/>
          </w:cols>
          <w:pgMar w:left="436" w:top="814" w:right="479" w:bottom="1440" w:gutter="0" w:footer="0" w:header="0"/>
        </w:sectPr>
      </w:pPr>
    </w:p>
    <w:bookmarkStart w:id="36" w:name="page37"/>
    <w:bookmarkEnd w:id="3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4</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2021 Plan Shares</w:t>
      </w:r>
    </w:p>
    <w:p>
      <w:pPr>
        <w:spacing w:after="0" w:line="135" w:lineRule="exact"/>
        <w:rPr>
          <w:sz w:val="20"/>
          <w:szCs w:val="20"/>
          <w:color w:val="auto"/>
        </w:rPr>
      </w:pPr>
    </w:p>
    <w:p>
      <w:pPr>
        <w:ind w:left="424" w:right="22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receipt by the Company of payment in full for, or other satisfaction of the issue price of, the 2021 Plan Shares in accordance with the 2021 Plan, and when issued and accepted in accordance with the 2021 Plan, the 2021 Plan Shares shall be validly issued, fully paid and non-assessable.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31" w:lineRule="exact"/>
        <w:rPr>
          <w:sz w:val="20"/>
          <w:szCs w:val="20"/>
          <w:color w:val="auto"/>
        </w:rPr>
      </w:pPr>
    </w:p>
    <w:p>
      <w:pPr>
        <w:ind w:left="424" w:hanging="424"/>
        <w:spacing w:after="0" w:line="259"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Opinion 1 must not be read to imply that the Company cannot be dissolved (</w:t>
      </w:r>
      <w:r>
        <w:rPr>
          <w:rFonts w:ascii="Arial" w:cs="Arial" w:eastAsia="Arial" w:hAnsi="Arial"/>
          <w:sz w:val="18"/>
          <w:szCs w:val="18"/>
          <w:i w:val="1"/>
          <w:iCs w:val="1"/>
          <w:color w:val="auto"/>
        </w:rPr>
        <w:t>ontbonden</w:t>
      </w:r>
      <w:r>
        <w:rPr>
          <w:rFonts w:ascii="Arial" w:cs="Arial" w:eastAsia="Arial" w:hAnsi="Arial"/>
          <w:sz w:val="18"/>
          <w:szCs w:val="18"/>
          <w:color w:val="auto"/>
        </w:rPr>
        <w:t>). A company such as the Company may be dissolved, inter alia by the competent court at the request of the company’s board of directors, any interested party (</w:t>
      </w:r>
      <w:r>
        <w:rPr>
          <w:rFonts w:ascii="Arial" w:cs="Arial" w:eastAsia="Arial" w:hAnsi="Arial"/>
          <w:sz w:val="18"/>
          <w:szCs w:val="18"/>
          <w:i w:val="1"/>
          <w:iCs w:val="1"/>
          <w:color w:val="auto"/>
        </w:rPr>
        <w:t>belanghebbende</w:t>
      </w:r>
      <w:r>
        <w:rPr>
          <w:rFonts w:ascii="Arial" w:cs="Arial" w:eastAsia="Arial" w:hAnsi="Arial"/>
          <w:sz w:val="18"/>
          <w:szCs w:val="18"/>
          <w:color w:val="auto"/>
        </w:rPr>
        <w:t>) or the public prosecution office in certain circumstances, such as when there are certain defects in the incorporation of the company. Any such dissolution will not have retro-active effect.</w:t>
      </w:r>
    </w:p>
    <w:p>
      <w:pPr>
        <w:spacing w:after="0" w:line="92" w:lineRule="exact"/>
        <w:rPr>
          <w:rFonts w:ascii="Arial" w:cs="Arial" w:eastAsia="Arial" w:hAnsi="Arial"/>
          <w:sz w:val="18"/>
          <w:szCs w:val="18"/>
          <w:color w:val="auto"/>
        </w:rPr>
      </w:pPr>
    </w:p>
    <w:p>
      <w:pPr>
        <w:ind w:left="424" w:hanging="424"/>
        <w:spacing w:after="0" w:line="270"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Pursuant to Section 2:7 DCC, any transaction entered into by a legal entity may be nullified by the legal entity itself or its liquidator in bankruptcy proceedings (</w:t>
      </w:r>
      <w:r>
        <w:rPr>
          <w:rFonts w:ascii="Arial" w:cs="Arial" w:eastAsia="Arial" w:hAnsi="Arial"/>
          <w:sz w:val="17"/>
          <w:szCs w:val="17"/>
          <w:i w:val="1"/>
          <w:iCs w:val="1"/>
          <w:color w:val="auto"/>
        </w:rPr>
        <w:t>curator</w:t>
      </w:r>
      <w:r>
        <w:rPr>
          <w:rFonts w:ascii="Arial" w:cs="Arial" w:eastAsia="Arial" w:hAnsi="Arial"/>
          <w:sz w:val="17"/>
          <w:szCs w:val="17"/>
          <w:color w:val="auto"/>
        </w:rPr>
        <w:t>) if the objects of that entity were transgressed by the transaction and the other party to the transaction knew or should have known this without independent investigation (</w:t>
      </w:r>
      <w:r>
        <w:rPr>
          <w:rFonts w:ascii="Arial" w:cs="Arial" w:eastAsia="Arial" w:hAnsi="Arial"/>
          <w:sz w:val="17"/>
          <w:szCs w:val="17"/>
          <w:i w:val="1"/>
          <w:iCs w:val="1"/>
          <w:color w:val="auto"/>
        </w:rPr>
        <w:t>wist of zonder eigen onderzoek moest weten</w:t>
      </w:r>
      <w:r>
        <w:rPr>
          <w:rFonts w:ascii="Arial" w:cs="Arial" w:eastAsia="Arial" w:hAnsi="Arial"/>
          <w:sz w:val="17"/>
          <w:szCs w:val="17"/>
          <w:color w:val="auto"/>
        </w:rPr>
        <w:t>). The Dutch Supreme Court (</w:t>
      </w:r>
      <w:r>
        <w:rPr>
          <w:rFonts w:ascii="Arial" w:cs="Arial" w:eastAsia="Arial" w:hAnsi="Arial"/>
          <w:sz w:val="17"/>
          <w:szCs w:val="17"/>
          <w:i w:val="1"/>
          <w:iCs w:val="1"/>
          <w:color w:val="auto"/>
        </w:rPr>
        <w:t>Hoge Raad der</w:t>
      </w:r>
      <w:r>
        <w:rPr>
          <w:rFonts w:ascii="Arial" w:cs="Arial" w:eastAsia="Arial" w:hAnsi="Arial"/>
          <w:sz w:val="17"/>
          <w:szCs w:val="17"/>
          <w:color w:val="auto"/>
        </w:rPr>
        <w:t xml:space="preserve"> </w:t>
      </w:r>
      <w:r>
        <w:rPr>
          <w:rFonts w:ascii="Arial" w:cs="Arial" w:eastAsia="Arial" w:hAnsi="Arial"/>
          <w:sz w:val="17"/>
          <w:szCs w:val="17"/>
          <w:i w:val="1"/>
          <w:iCs w:val="1"/>
          <w:color w:val="auto"/>
        </w:rPr>
        <w:t>Nederlanden</w:t>
      </w:r>
      <w:r>
        <w:rPr>
          <w:rFonts w:ascii="Arial" w:cs="Arial" w:eastAsia="Arial" w:hAnsi="Arial"/>
          <w:sz w:val="17"/>
          <w:szCs w:val="17"/>
          <w:color w:val="auto"/>
        </w:rPr>
        <w:t>) has ruled that in determining whether the objects of a legal entity are transgressed, not only the description of the objects in that</w:t>
      </w:r>
      <w:r>
        <w:rPr>
          <w:rFonts w:ascii="Arial" w:cs="Arial" w:eastAsia="Arial" w:hAnsi="Arial"/>
          <w:sz w:val="17"/>
          <w:szCs w:val="17"/>
          <w:i w:val="1"/>
          <w:iCs w:val="1"/>
          <w:color w:val="auto"/>
        </w:rPr>
        <w:t xml:space="preserve"> </w:t>
      </w:r>
      <w:r>
        <w:rPr>
          <w:rFonts w:ascii="Arial" w:cs="Arial" w:eastAsia="Arial" w:hAnsi="Arial"/>
          <w:sz w:val="17"/>
          <w:szCs w:val="17"/>
          <w:color w:val="auto"/>
        </w:rPr>
        <w:t>legal entity’s articles of association (</w:t>
      </w:r>
      <w:r>
        <w:rPr>
          <w:rFonts w:ascii="Arial" w:cs="Arial" w:eastAsia="Arial" w:hAnsi="Arial"/>
          <w:sz w:val="17"/>
          <w:szCs w:val="17"/>
          <w:i w:val="1"/>
          <w:iCs w:val="1"/>
          <w:color w:val="auto"/>
        </w:rPr>
        <w:t>statuten</w:t>
      </w:r>
      <w:r>
        <w:rPr>
          <w:rFonts w:ascii="Arial" w:cs="Arial" w:eastAsia="Arial" w:hAnsi="Arial"/>
          <w:sz w:val="17"/>
          <w:szCs w:val="17"/>
          <w:color w:val="auto"/>
        </w:rPr>
        <w:t>) is decisive, but all (relevant) circumstances must be taken into account, in particular whether the interests of the legal entity were served by the transaction. Based on the objects clause contained in the Articles, we have no reason to believe that, by making Awards under the Plans, the Company would transgress the description of the objects contained in its Articles. However, we cannot assess whether there are other relevant circumstances that must be taken into account, in particular whether the interests of the Company are served by making Awards under the Plans since this is a matter of fact.</w:t>
      </w:r>
    </w:p>
    <w:p>
      <w:pPr>
        <w:spacing w:after="0" w:line="86" w:lineRule="exact"/>
        <w:rPr>
          <w:rFonts w:ascii="Arial" w:cs="Arial" w:eastAsia="Arial" w:hAnsi="Arial"/>
          <w:sz w:val="17"/>
          <w:szCs w:val="17"/>
          <w:color w:val="auto"/>
        </w:rPr>
      </w:pPr>
    </w:p>
    <w:p>
      <w:pPr>
        <w:ind w:left="424" w:right="120" w:hanging="424"/>
        <w:spacing w:after="0" w:line="263"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Pursuant to Section 2:98c DCC, a </w:t>
      </w:r>
      <w:r>
        <w:rPr>
          <w:rFonts w:ascii="Arial" w:cs="Arial" w:eastAsia="Arial" w:hAnsi="Arial"/>
          <w:sz w:val="18"/>
          <w:szCs w:val="18"/>
          <w:i w:val="1"/>
          <w:iCs w:val="1"/>
          <w:color w:val="auto"/>
        </w:rPr>
        <w:t>naamloze vennootschap</w:t>
      </w:r>
      <w:r>
        <w:rPr>
          <w:rFonts w:ascii="Arial" w:cs="Arial" w:eastAsia="Arial" w:hAnsi="Arial"/>
          <w:sz w:val="18"/>
          <w:szCs w:val="18"/>
          <w:color w:val="auto"/>
        </w:rPr>
        <w:t xml:space="preserve"> may grant loans (</w:t>
      </w:r>
      <w:r>
        <w:rPr>
          <w:rFonts w:ascii="Arial" w:cs="Arial" w:eastAsia="Arial" w:hAnsi="Arial"/>
          <w:sz w:val="18"/>
          <w:szCs w:val="18"/>
          <w:i w:val="1"/>
          <w:iCs w:val="1"/>
          <w:color w:val="auto"/>
        </w:rPr>
        <w:t>leningen verstrekken</w:t>
      </w:r>
      <w:r>
        <w:rPr>
          <w:rFonts w:ascii="Arial" w:cs="Arial" w:eastAsia="Arial" w:hAnsi="Arial"/>
          <w:sz w:val="18"/>
          <w:szCs w:val="18"/>
          <w:color w:val="auto"/>
        </w:rPr>
        <w:t>) only in accordance with the restrictions set out in Section 2:98c DCC, and may not provide security (</w:t>
      </w:r>
      <w:r>
        <w:rPr>
          <w:rFonts w:ascii="Arial" w:cs="Arial" w:eastAsia="Arial" w:hAnsi="Arial"/>
          <w:sz w:val="18"/>
          <w:szCs w:val="18"/>
          <w:i w:val="1"/>
          <w:iCs w:val="1"/>
          <w:color w:val="auto"/>
        </w:rPr>
        <w:t>zekerheid stellen</w:t>
      </w:r>
      <w:r>
        <w:rPr>
          <w:rFonts w:ascii="Arial" w:cs="Arial" w:eastAsia="Arial" w:hAnsi="Arial"/>
          <w:sz w:val="18"/>
          <w:szCs w:val="18"/>
          <w:color w:val="auto"/>
        </w:rPr>
        <w:t>), give a price guarantee (</w:t>
      </w:r>
      <w:r>
        <w:rPr>
          <w:rFonts w:ascii="Arial" w:cs="Arial" w:eastAsia="Arial" w:hAnsi="Arial"/>
          <w:sz w:val="18"/>
          <w:szCs w:val="18"/>
          <w:i w:val="1"/>
          <w:iCs w:val="1"/>
          <w:color w:val="auto"/>
        </w:rPr>
        <w:t>koersgarantie geven</w:t>
      </w:r>
      <w:r>
        <w:rPr>
          <w:rFonts w:ascii="Arial" w:cs="Arial" w:eastAsia="Arial" w:hAnsi="Arial"/>
          <w:sz w:val="18"/>
          <w:szCs w:val="18"/>
          <w:color w:val="auto"/>
        </w:rPr>
        <w:t>) or otherwise bind itself, whether jointly and severally or otherwise with or for third parties (</w:t>
      </w:r>
      <w:r>
        <w:rPr>
          <w:rFonts w:ascii="Arial" w:cs="Arial" w:eastAsia="Arial" w:hAnsi="Arial"/>
          <w:sz w:val="18"/>
          <w:szCs w:val="18"/>
          <w:i w:val="1"/>
          <w:iCs w:val="1"/>
          <w:color w:val="auto"/>
        </w:rPr>
        <w:t>zich op andere</w:t>
      </w:r>
    </w:p>
    <w:p>
      <w:pPr>
        <w:sectPr>
          <w:pgSz w:w="11900" w:h="16838" w:orient="portrait"/>
          <w:cols w:equalWidth="0" w:num="1">
            <w:col w:w="10984"/>
          </w:cols>
          <w:pgMar w:left="436" w:top="814" w:right="479" w:bottom="1440" w:gutter="0" w:footer="0" w:header="0"/>
        </w:sectPr>
      </w:pPr>
    </w:p>
    <w:bookmarkStart w:id="37" w:name="page38"/>
    <w:bookmarkEnd w:id="37"/>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182880</wp:posOffset>
            </wp:positionV>
            <wp:extent cx="1285875"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7485"/>
                    </a:xfrm>
                    <a:prstGeom prst="rect">
                      <a:avLst/>
                    </a:prstGeom>
                    <a:noFill/>
                  </pic:spPr>
                </pic:pic>
              </a:graphicData>
            </a:graphic>
          </wp:anchor>
        </w:drawing>
        <w:t>5</w:t>
      </w:r>
    </w:p>
    <w:p>
      <w:pPr>
        <w:spacing w:after="0" w:line="158" w:lineRule="exact"/>
        <w:rPr>
          <w:sz w:val="20"/>
          <w:szCs w:val="20"/>
          <w:color w:val="auto"/>
        </w:rPr>
      </w:pPr>
    </w:p>
    <w:p>
      <w:pPr>
        <w:jc w:val="both"/>
        <w:ind w:left="424"/>
        <w:spacing w:after="0" w:line="286" w:lineRule="auto"/>
        <w:rPr>
          <w:sz w:val="20"/>
          <w:szCs w:val="20"/>
          <w:color w:val="auto"/>
        </w:rPr>
      </w:pPr>
      <w:r>
        <w:rPr>
          <w:rFonts w:ascii="Arial" w:cs="Arial" w:eastAsia="Arial" w:hAnsi="Arial"/>
          <w:sz w:val="16"/>
          <w:szCs w:val="16"/>
          <w:i w:val="1"/>
          <w:iCs w:val="1"/>
          <w:color w:val="auto"/>
        </w:rPr>
        <w:t>wijze sterk maken of zich hoofdelijk of anderszins naast of voor anderen verbinden</w:t>
      </w:r>
      <w:r>
        <w:rPr>
          <w:rFonts w:ascii="Arial" w:cs="Arial" w:eastAsia="Arial" w:hAnsi="Arial"/>
          <w:sz w:val="16"/>
          <w:szCs w:val="16"/>
          <w:color w:val="auto"/>
        </w:rPr>
        <w:t>) with a view to (</w:t>
      </w:r>
      <w:r>
        <w:rPr>
          <w:rFonts w:ascii="Arial" w:cs="Arial" w:eastAsia="Arial" w:hAnsi="Arial"/>
          <w:sz w:val="16"/>
          <w:szCs w:val="16"/>
          <w:i w:val="1"/>
          <w:iCs w:val="1"/>
          <w:color w:val="auto"/>
        </w:rPr>
        <w:t>met het oog op</w:t>
      </w:r>
      <w:r>
        <w:rPr>
          <w:rFonts w:ascii="Arial" w:cs="Arial" w:eastAsia="Arial" w:hAnsi="Arial"/>
          <w:sz w:val="16"/>
          <w:szCs w:val="16"/>
          <w:color w:val="auto"/>
        </w:rPr>
        <w:t>) the subscription or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third parties of shares in its share capital or depository receipts. This prohibition also applies to its subsidiaries (</w:t>
      </w:r>
      <w:r>
        <w:rPr>
          <w:rFonts w:ascii="Arial" w:cs="Arial" w:eastAsia="Arial" w:hAnsi="Arial"/>
          <w:sz w:val="16"/>
          <w:szCs w:val="16"/>
          <w:i w:val="1"/>
          <w:iCs w:val="1"/>
          <w:color w:val="auto"/>
        </w:rPr>
        <w:t>dochtervennootschappen</w:t>
      </w:r>
      <w:r>
        <w:rPr>
          <w:rFonts w:ascii="Arial" w:cs="Arial" w:eastAsia="Arial" w:hAnsi="Arial"/>
          <w:sz w:val="16"/>
          <w:szCs w:val="16"/>
          <w:color w:val="auto"/>
        </w:rPr>
        <w:t>). It is generally assumed that a transaction entered into in violation of Section 2:98c DCC is null and void (</w:t>
      </w:r>
      <w:r>
        <w:rPr>
          <w:rFonts w:ascii="Arial" w:cs="Arial" w:eastAsia="Arial" w:hAnsi="Arial"/>
          <w:sz w:val="16"/>
          <w:szCs w:val="16"/>
          <w:i w:val="1"/>
          <w:iCs w:val="1"/>
          <w:color w:val="auto"/>
        </w:rPr>
        <w:t>nietig</w:t>
      </w:r>
      <w:r>
        <w:rPr>
          <w:rFonts w:ascii="Arial" w:cs="Arial" w:eastAsia="Arial" w:hAnsi="Arial"/>
          <w:sz w:val="16"/>
          <w:szCs w:val="16"/>
          <w:color w:val="auto"/>
        </w:rPr>
        <w:t>). Based on the content of the Plans, we have no reason to believe that the Company or its subsidiaries will violate Section 2:98c DCC in connection with the issue of Plan Shares.</w:t>
      </w:r>
    </w:p>
    <w:p>
      <w:pPr>
        <w:spacing w:after="0" w:line="1" w:lineRule="exact"/>
        <w:rPr>
          <w:sz w:val="20"/>
          <w:szCs w:val="20"/>
          <w:color w:val="auto"/>
        </w:rPr>
      </w:pPr>
    </w:p>
    <w:p>
      <w:pPr>
        <w:ind w:left="424" w:right="160"/>
        <w:spacing w:after="0" w:line="255" w:lineRule="auto"/>
        <w:rPr>
          <w:sz w:val="20"/>
          <w:szCs w:val="20"/>
          <w:color w:val="auto"/>
        </w:rPr>
      </w:pPr>
      <w:r>
        <w:rPr>
          <w:rFonts w:ascii="Arial" w:cs="Arial" w:eastAsia="Arial" w:hAnsi="Arial"/>
          <w:sz w:val="18"/>
          <w:szCs w:val="18"/>
          <w:color w:val="auto"/>
        </w:rPr>
        <w:t>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95"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130"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rules relating to Insolvency Proceedings or similar proceedings under a foreign law and other rules affecting creditors’ rights generally including the Temporary Covid-19 Act;</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in other jurisdictions to insolvency practitioners and insolvency office holders in bankruptcy proceedings or creditors;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sanctions and measures, including but not limited to those concerning export control, pursuant to European Union regulations, under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Anti-Boycott Regulation, Anti Money Laundering Laws and related legislation;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rules of force majeure (</w:t>
      </w:r>
      <w:r>
        <w:rPr>
          <w:rFonts w:ascii="Arial" w:cs="Arial" w:eastAsia="Arial" w:hAnsi="Arial"/>
          <w:sz w:val="17"/>
          <w:szCs w:val="17"/>
          <w:i w:val="1"/>
          <w:iCs w:val="1"/>
          <w:color w:val="auto"/>
        </w:rPr>
        <w:t>niet toerekenbare tekortkoming</w:t>
      </w:r>
      <w:r>
        <w:rPr>
          <w:rFonts w:ascii="Arial" w:cs="Arial" w:eastAsia="Arial" w:hAnsi="Arial"/>
          <w:sz w:val="17"/>
          <w:szCs w:val="17"/>
          <w:color w:val="auto"/>
        </w:rPr>
        <w:t>), reasonableness and fairness (</w:t>
      </w:r>
      <w:r>
        <w:rPr>
          <w:rFonts w:ascii="Arial" w:cs="Arial" w:eastAsia="Arial" w:hAnsi="Arial"/>
          <w:sz w:val="17"/>
          <w:szCs w:val="17"/>
          <w:i w:val="1"/>
          <w:iCs w:val="1"/>
          <w:color w:val="auto"/>
        </w:rPr>
        <w:t>redelijkheid en billijkheid</w:t>
      </w:r>
      <w:r>
        <w:rPr>
          <w:rFonts w:ascii="Arial" w:cs="Arial" w:eastAsia="Arial" w:hAnsi="Arial"/>
          <w:sz w:val="17"/>
          <w:szCs w:val="17"/>
          <w:color w:val="auto"/>
        </w:rPr>
        <w:t>), suspension</w:t>
      </w:r>
    </w:p>
    <w:p>
      <w:pPr>
        <w:spacing w:after="0" w:line="34" w:lineRule="exact"/>
        <w:rPr>
          <w:rFonts w:ascii="Arial" w:cs="Arial" w:eastAsia="Arial" w:hAnsi="Arial"/>
          <w:sz w:val="17"/>
          <w:szCs w:val="17"/>
          <w:color w:val="auto"/>
        </w:rPr>
      </w:pPr>
    </w:p>
    <w:p>
      <w:pPr>
        <w:ind w:left="964"/>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opschorting</w:t>
      </w:r>
      <w:r>
        <w:rPr>
          <w:rFonts w:ascii="Arial" w:cs="Arial" w:eastAsia="Arial" w:hAnsi="Arial"/>
          <w:sz w:val="17"/>
          <w:szCs w:val="17"/>
          <w:color w:val="auto"/>
        </w:rPr>
        <w:t>), dissolution (</w:t>
      </w:r>
      <w:r>
        <w:rPr>
          <w:rFonts w:ascii="Arial" w:cs="Arial" w:eastAsia="Arial" w:hAnsi="Arial"/>
          <w:sz w:val="17"/>
          <w:szCs w:val="17"/>
          <w:i w:val="1"/>
          <w:iCs w:val="1"/>
          <w:color w:val="auto"/>
        </w:rPr>
        <w:t>ontbinding</w:t>
      </w:r>
      <w:r>
        <w:rPr>
          <w:rFonts w:ascii="Arial" w:cs="Arial" w:eastAsia="Arial" w:hAnsi="Arial"/>
          <w:sz w:val="17"/>
          <w:szCs w:val="17"/>
          <w:color w:val="auto"/>
        </w:rPr>
        <w:t>), unforeseen circumstances (</w:t>
      </w:r>
      <w:r>
        <w:rPr>
          <w:rFonts w:ascii="Arial" w:cs="Arial" w:eastAsia="Arial" w:hAnsi="Arial"/>
          <w:sz w:val="17"/>
          <w:szCs w:val="17"/>
          <w:i w:val="1"/>
          <w:iCs w:val="1"/>
          <w:color w:val="auto"/>
        </w:rPr>
        <w:t>onvoorziene omstandigheden</w:t>
      </w:r>
      <w:r>
        <w:rPr>
          <w:rFonts w:ascii="Arial" w:cs="Arial" w:eastAsia="Arial" w:hAnsi="Arial"/>
          <w:sz w:val="17"/>
          <w:szCs w:val="17"/>
          <w:color w:val="auto"/>
        </w:rPr>
        <w:t>) and vitiated consent (i.e., duress</w:t>
      </w:r>
    </w:p>
    <w:p>
      <w:pPr>
        <w:spacing w:after="0" w:line="20" w:lineRule="exact"/>
        <w:rPr>
          <w:rFonts w:ascii="Arial" w:cs="Arial" w:eastAsia="Arial" w:hAnsi="Arial"/>
          <w:sz w:val="17"/>
          <w:szCs w:val="17"/>
          <w:color w:val="auto"/>
        </w:rPr>
      </w:pPr>
    </w:p>
    <w:p>
      <w:pPr>
        <w:ind w:left="964" w:right="2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bedreiging</w:t>
      </w:r>
      <w:r>
        <w:rPr>
          <w:rFonts w:ascii="Arial" w:cs="Arial" w:eastAsia="Arial" w:hAnsi="Arial"/>
          <w:sz w:val="18"/>
          <w:szCs w:val="18"/>
          <w:color w:val="auto"/>
        </w:rPr>
        <w:t>), fraud (</w:t>
      </w:r>
      <w:r>
        <w:rPr>
          <w:rFonts w:ascii="Arial" w:cs="Arial" w:eastAsia="Arial" w:hAnsi="Arial"/>
          <w:sz w:val="18"/>
          <w:szCs w:val="18"/>
          <w:i w:val="1"/>
          <w:iCs w:val="1"/>
          <w:color w:val="auto"/>
        </w:rPr>
        <w:t>bedrog</w:t>
      </w:r>
      <w:r>
        <w:rPr>
          <w:rFonts w:ascii="Arial" w:cs="Arial" w:eastAsia="Arial" w:hAnsi="Arial"/>
          <w:sz w:val="18"/>
          <w:szCs w:val="18"/>
          <w:color w:val="auto"/>
        </w:rPr>
        <w:t>), abuse of circumstances (</w:t>
      </w:r>
      <w:r>
        <w:rPr>
          <w:rFonts w:ascii="Arial" w:cs="Arial" w:eastAsia="Arial" w:hAnsi="Arial"/>
          <w:sz w:val="18"/>
          <w:szCs w:val="18"/>
          <w:i w:val="1"/>
          <w:iCs w:val="1"/>
          <w:color w:val="auto"/>
        </w:rPr>
        <w:t>misbruik van omstandigheden</w:t>
      </w:r>
      <w:r>
        <w:rPr>
          <w:rFonts w:ascii="Arial" w:cs="Arial" w:eastAsia="Arial" w:hAnsi="Arial"/>
          <w:sz w:val="18"/>
          <w:szCs w:val="18"/>
          <w:color w:val="auto"/>
        </w:rPr>
        <w:t>) and error (</w:t>
      </w:r>
      <w:r>
        <w:rPr>
          <w:rFonts w:ascii="Arial" w:cs="Arial" w:eastAsia="Arial" w:hAnsi="Arial"/>
          <w:sz w:val="18"/>
          <w:szCs w:val="18"/>
          <w:i w:val="1"/>
          <w:iCs w:val="1"/>
          <w:color w:val="auto"/>
        </w:rPr>
        <w:t>dwaling</w:t>
      </w:r>
      <w:r>
        <w:rPr>
          <w:rFonts w:ascii="Arial" w:cs="Arial" w:eastAsia="Arial" w:hAnsi="Arial"/>
          <w:sz w:val="18"/>
          <w:szCs w:val="18"/>
          <w:color w:val="auto"/>
        </w:rPr>
        <w:t>)) or a difference of intention (</w:t>
      </w:r>
      <w:r>
        <w:rPr>
          <w:rFonts w:ascii="Arial" w:cs="Arial" w:eastAsia="Arial" w:hAnsi="Arial"/>
          <w:sz w:val="18"/>
          <w:szCs w:val="18"/>
          <w:i w:val="1"/>
          <w:iCs w:val="1"/>
          <w:color w:val="auto"/>
        </w:rPr>
        <w:t>wil</w:t>
      </w:r>
      <w:r>
        <w:rPr>
          <w:rFonts w:ascii="Arial" w:cs="Arial" w:eastAsia="Arial" w:hAnsi="Arial"/>
          <w:sz w:val="18"/>
          <w:szCs w:val="18"/>
          <w:color w:val="auto"/>
        </w:rPr>
        <w:t>) and declaration (</w:t>
      </w:r>
      <w:r>
        <w:rPr>
          <w:rFonts w:ascii="Arial" w:cs="Arial" w:eastAsia="Arial" w:hAnsi="Arial"/>
          <w:sz w:val="18"/>
          <w:szCs w:val="18"/>
          <w:i w:val="1"/>
          <w:iCs w:val="1"/>
          <w:color w:val="auto"/>
        </w:rPr>
        <w:t>verklaring</w:t>
      </w:r>
      <w:r>
        <w:rPr>
          <w:rFonts w:ascii="Arial" w:cs="Arial" w:eastAsia="Arial" w:hAnsi="Arial"/>
          <w:sz w:val="18"/>
          <w:szCs w:val="18"/>
          <w:color w:val="auto"/>
        </w:rPr>
        <w:t>).</w:t>
      </w:r>
    </w:p>
    <w:p>
      <w:pPr>
        <w:sectPr>
          <w:pgSz w:w="11900" w:h="16838" w:orient="portrait"/>
          <w:cols w:equalWidth="0" w:num="1">
            <w:col w:w="10964"/>
          </w:cols>
          <w:pgMar w:left="436" w:top="814" w:right="499" w:bottom="1440" w:gutter="0" w:footer="0" w:header="0"/>
        </w:sectPr>
      </w:pPr>
    </w:p>
    <w:bookmarkStart w:id="38" w:name="page39"/>
    <w:bookmarkEnd w:id="38"/>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t>6</w:t>
      </w:r>
    </w:p>
    <w:p>
      <w:pPr>
        <w:spacing w:after="0" w:line="158" w:lineRule="exact"/>
        <w:rPr>
          <w:sz w:val="20"/>
          <w:szCs w:val="20"/>
          <w:color w:val="auto"/>
        </w:rPr>
      </w:pPr>
    </w:p>
    <w:p>
      <w:pPr>
        <w:ind w:left="424" w:hanging="424"/>
        <w:spacing w:after="0" w:line="263"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opinion letter does not purport to express any opinion or view on the operational rules and procedures of any clearing or settlement system or agency.</w:t>
      </w:r>
    </w:p>
    <w:p>
      <w:pPr>
        <w:spacing w:after="0" w:line="170"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We consent to the filing of this opinion letter as an exhibit to the Registration Statement. In giving this consent we do not admit or imply that we are a person whose consent is required under Section 7 of the United States Securities Act of 1933, as amended, or any rules and regulations promulgated thereunder.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NautaDutilh N.V.</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NautaDutilh N.V.</w:t>
      </w:r>
    </w:p>
    <w:p>
      <w:pPr>
        <w:sectPr>
          <w:pgSz w:w="11900" w:h="16838" w:orient="portrait"/>
          <w:cols w:equalWidth="0" w:num="1">
            <w:col w:w="10984"/>
          </w:cols>
          <w:pgMar w:left="436" w:top="814" w:right="47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t>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DEFINITIONS</w:t>
      </w:r>
    </w:p>
    <w:p>
      <w:pPr>
        <w:sectPr>
          <w:pgSz w:w="11900" w:h="16838" w:orient="portrait"/>
          <w:cols w:equalWidth="0" w:num="1">
            <w:col w:w="10900"/>
          </w:cols>
          <w:pgMar w:left="440" w:top="814" w:right="5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 Money Laundering Laws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European Anti-Money Laundering Directives, as implemented in the Netherlands in the Money Laundering and Terrorist Financing Prevention Act (</w:t>
      </w:r>
      <w:r>
        <w:rPr>
          <w:rFonts w:ascii="Arial" w:cs="Arial" w:eastAsia="Arial" w:hAnsi="Arial"/>
          <w:sz w:val="18"/>
          <w:szCs w:val="18"/>
          <w:i w:val="1"/>
          <w:iCs w:val="1"/>
          <w:color w:val="auto"/>
        </w:rPr>
        <w:t>Wet ter voorkoming van witwassen en financieren van</w:t>
      </w:r>
      <w:r>
        <w:rPr>
          <w:rFonts w:ascii="Arial" w:cs="Arial" w:eastAsia="Arial" w:hAnsi="Arial"/>
          <w:sz w:val="18"/>
          <w:szCs w:val="18"/>
          <w:color w:val="auto"/>
        </w:rPr>
        <w:t xml:space="preserve"> </w:t>
      </w:r>
      <w:r>
        <w:rPr>
          <w:rFonts w:ascii="Arial" w:cs="Arial" w:eastAsia="Arial" w:hAnsi="Arial"/>
          <w:sz w:val="18"/>
          <w:szCs w:val="18"/>
          <w:i w:val="1"/>
          <w:iCs w:val="1"/>
          <w:color w:val="auto"/>
        </w:rPr>
        <w:t>terrorisme</w:t>
      </w:r>
      <w:r>
        <w:rPr>
          <w:rFonts w:ascii="Arial" w:cs="Arial" w:eastAsia="Arial" w:hAnsi="Arial"/>
          <w:sz w:val="18"/>
          <w:szCs w:val="18"/>
          <w:color w:val="auto"/>
        </w:rPr>
        <w:t>) and the Dutch Criminal Code (</w:t>
      </w:r>
      <w:r>
        <w:rPr>
          <w:rFonts w:ascii="Arial" w:cs="Arial" w:eastAsia="Arial" w:hAnsi="Arial"/>
          <w:sz w:val="18"/>
          <w:szCs w:val="18"/>
          <w:i w:val="1"/>
          <w:iCs w:val="1"/>
          <w:color w:val="auto"/>
        </w:rPr>
        <w:t>Wetboek van Strafrecht</w:t>
      </w:r>
      <w:r>
        <w:rPr>
          <w:rFonts w:ascii="Arial" w:cs="Arial" w:eastAsia="Arial" w:hAnsi="Arial"/>
          <w:sz w:val="18"/>
          <w:szCs w:val="18"/>
          <w:color w:val="auto"/>
        </w:rPr>
        <w:t>).</w:t>
      </w:r>
    </w:p>
    <w:p>
      <w:pPr>
        <w:spacing w:after="0" w:line="72" w:lineRule="exact"/>
        <w:rPr>
          <w:sz w:val="20"/>
          <w:szCs w:val="20"/>
          <w:color w:val="auto"/>
        </w:rPr>
      </w:pPr>
    </w:p>
    <w:p>
      <w:pPr>
        <w:sectPr>
          <w:pgSz w:w="11900" w:h="16838" w:orient="portrait"/>
          <w:cols w:equalWidth="0" w:num="2">
            <w:col w:w="2480" w:space="50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Anti-Boycott Regulation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The Council Regulation (EC) No 2271/96 of 22 November 1996 on protecting against the effects of the extra-territorial application of legislation adopted by a third country, and actions based thereon or resulting therefrom.</w:t>
      </w:r>
    </w:p>
    <w:p>
      <w:pPr>
        <w:spacing w:after="0" w:line="72"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Articles of Association as they read immediately after the execution of the Deed of Conversion.</w:t>
      </w:r>
    </w:p>
    <w:p>
      <w:pPr>
        <w:spacing w:after="0" w:line="136"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Association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as they read from time to time.</w:t>
      </w:r>
    </w:p>
    <w:p>
      <w:pPr>
        <w:spacing w:after="0" w:line="136"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Rights to subscribe for Ordinary Shares pursuant to the terms and conditions of each of the Plans and, to the extent relevant, the Resolutions.</w:t>
      </w:r>
    </w:p>
    <w:p>
      <w:pPr>
        <w:spacing w:after="0" w:line="58"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board of directors (</w:t>
      </w:r>
      <w:r>
        <w:rPr>
          <w:rFonts w:ascii="Arial" w:cs="Arial" w:eastAsia="Arial" w:hAnsi="Arial"/>
          <w:sz w:val="16"/>
          <w:szCs w:val="16"/>
          <w:i w:val="1"/>
          <w:iCs w:val="1"/>
          <w:color w:val="auto"/>
        </w:rPr>
        <w:t>bestuur</w:t>
      </w:r>
      <w:r>
        <w:rPr>
          <w:rFonts w:ascii="Arial" w:cs="Arial" w:eastAsia="Arial" w:hAnsi="Arial"/>
          <w:sz w:val="16"/>
          <w:szCs w:val="16"/>
          <w:color w:val="auto"/>
        </w:rPr>
        <w:t>).</w:t>
      </w:r>
    </w:p>
    <w:p>
      <w:pPr>
        <w:spacing w:after="0" w:line="135"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Register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Pharvaris B.V., a public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registered with the Commercial Register under number 64239411, in connection with the Offering.</w:t>
      </w:r>
    </w:p>
    <w:p>
      <w:pPr>
        <w:spacing w:after="0" w:line="58"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The Deed of Incorporation, the Deed of Conversion, the Articles, the Resolutions and the Registration Statement.</w:t>
      </w:r>
    </w:p>
    <w:p>
      <w:pPr>
        <w:spacing w:after="0" w:line="58" w:lineRule="exact"/>
        <w:rPr>
          <w:sz w:val="20"/>
          <w:szCs w:val="20"/>
          <w:color w:val="auto"/>
        </w:rPr>
      </w:pPr>
    </w:p>
    <w:p>
      <w:pPr>
        <w:sectPr>
          <w:pgSz w:w="11900" w:h="16838" w:orient="portrait"/>
          <w:cols w:equalWidth="0" w:num="2">
            <w:col w:w="2260" w:space="720"/>
            <w:col w:w="7920"/>
          </w:cols>
          <w:pgMar w:left="440" w:top="814" w:right="5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 (</w:t>
      </w:r>
      <w:r>
        <w:rPr>
          <w:rFonts w:ascii="Arial" w:cs="Arial" w:eastAsia="Arial" w:hAnsi="Arial"/>
          <w:sz w:val="16"/>
          <w:szCs w:val="16"/>
          <w:i w:val="1"/>
          <w:iCs w:val="1"/>
          <w:color w:val="auto"/>
        </w:rPr>
        <w:t>Burgerlijk Wetboek</w:t>
      </w:r>
      <w:r>
        <w:rPr>
          <w:rFonts w:ascii="Arial" w:cs="Arial" w:eastAsia="Arial" w:hAnsi="Arial"/>
          <w:sz w:val="16"/>
          <w:szCs w:val="16"/>
          <w:color w:val="auto"/>
        </w:rPr>
        <w:t>).</w:t>
      </w:r>
    </w:p>
    <w:p>
      <w:pPr>
        <w:sectPr>
          <w:pgSz w:w="11900" w:h="16838" w:orient="portrait"/>
          <w:cols w:equalWidth="0" w:num="2">
            <w:col w:w="2260" w:space="720"/>
            <w:col w:w="7920"/>
          </w:cols>
          <w:pgMar w:left="440" w:top="814" w:right="559" w:bottom="1440" w:gutter="0" w:footer="0" w:header="0"/>
          <w:type w:val="continuous"/>
        </w:sectPr>
      </w:pPr>
    </w:p>
    <w:bookmarkStart w:id="40" w:name="page41"/>
    <w:bookmarkEnd w:id="40"/>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Conversion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Deed of Incorporation</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Shares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Regulation</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left="2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-558800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-464820</wp:posOffset>
            </wp:positionV>
            <wp:extent cx="128587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5875" cy="19685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The draft deed of conversion and amendment to the Articles of Association dated 5 February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deed of incorporation (</w:t>
      </w:r>
      <w:r>
        <w:rPr>
          <w:rFonts w:ascii="Arial" w:cs="Arial" w:eastAsia="Arial" w:hAnsi="Arial"/>
          <w:sz w:val="18"/>
          <w:szCs w:val="18"/>
          <w:i w:val="1"/>
          <w:iCs w:val="1"/>
          <w:color w:val="auto"/>
        </w:rPr>
        <w:t>akte van oprichting</w:t>
      </w:r>
      <w:r>
        <w:rPr>
          <w:rFonts w:ascii="Arial" w:cs="Arial" w:eastAsia="Arial" w:hAnsi="Arial"/>
          <w:sz w:val="18"/>
          <w:szCs w:val="18"/>
          <w:color w:val="auto"/>
        </w:rPr>
        <w:t>) dated dated 30 September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general meeting (</w:t>
      </w:r>
      <w:r>
        <w:rPr>
          <w:rFonts w:ascii="Arial" w:cs="Arial" w:eastAsia="Arial" w:hAnsi="Arial"/>
          <w:sz w:val="18"/>
          <w:szCs w:val="18"/>
          <w:i w:val="1"/>
          <w:iCs w:val="1"/>
          <w:color w:val="auto"/>
        </w:rPr>
        <w:t>algemene vergadering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insolvency proceedings within the meaning</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of Regulation (EU) 2015/848 of the European Parliament and of the Council of 20 May 2015 on insolvency proceedings (recast) listed in Annex A thereto and any statutory proceedings for the restructuring of debts (</w:t>
      </w:r>
      <w:r>
        <w:rPr>
          <w:rFonts w:ascii="Arial" w:cs="Arial" w:eastAsia="Arial" w:hAnsi="Arial"/>
          <w:sz w:val="17"/>
          <w:szCs w:val="17"/>
          <w:i w:val="1"/>
          <w:iCs w:val="1"/>
          <w:color w:val="auto"/>
        </w:rPr>
        <w:t>akkoordprocedure</w:t>
      </w:r>
      <w:r>
        <w:rPr>
          <w:rFonts w:ascii="Arial" w:cs="Arial" w:eastAsia="Arial" w:hAnsi="Arial"/>
          <w:sz w:val="17"/>
          <w:szCs w:val="17"/>
          <w:color w:val="auto"/>
        </w:rPr>
        <w:t>) pursuant to the Dutch Bankruptcy Code (</w:t>
      </w:r>
      <w:r>
        <w:rPr>
          <w:rFonts w:ascii="Arial" w:cs="Arial" w:eastAsia="Arial" w:hAnsi="Arial"/>
          <w:sz w:val="17"/>
          <w:szCs w:val="17"/>
          <w:i w:val="1"/>
          <w:iCs w:val="1"/>
          <w:color w:val="auto"/>
        </w:rPr>
        <w:t>Faillissementswet</w:t>
      </w:r>
      <w:r>
        <w:rPr>
          <w:rFonts w:ascii="Arial" w:cs="Arial" w:eastAsia="Arial" w:hAnsi="Arial"/>
          <w:sz w:val="17"/>
          <w:szCs w:val="17"/>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NautaDutilh 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European territory of the Kingdom of the 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of Ordinary Shares by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in the Company’s capital, with a nominal value of EUR 0.12 each.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2016 Plan and the 2021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2016 Plan Shares and the 2021 Plan Shares.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Regulation (EU) 2017/1129 of the European Parliament and of the Council of 14 June 2017 on the prospectus to be published when securities are offered to the public or admitted to trading on a regulated market, and repealing Directive 2003/71/EC.</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registration statement on Form S-8 filed or to be filed with the SEC in connection with the Offering in the form reviewed by us.</w:t>
      </w:r>
    </w:p>
    <w:p>
      <w:pPr>
        <w:sectPr>
          <w:pgSz w:w="11900" w:h="16838" w:orient="portrait"/>
          <w:cols w:equalWidth="0" w:num="2">
            <w:col w:w="2260" w:space="720"/>
            <w:col w:w="7900"/>
          </w:cols>
          <w:pgMar w:left="440" w:top="814" w:right="5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2940"/>
              <w:spacing w:after="0"/>
              <w:rPr>
                <w:sz w:val="20"/>
                <w:szCs w:val="20"/>
                <w:color w:val="auto"/>
              </w:rPr>
            </w:pPr>
            <w:r>
              <w:rPr>
                <w:rFonts w:ascii="Arial" w:cs="Arial" w:eastAsia="Arial" w:hAnsi="Arial"/>
                <w:sz w:val="18"/>
                <w:szCs w:val="18"/>
                <w:color w:val="auto"/>
              </w:rPr>
              <w:t>9</w:t>
            </w:r>
          </w:p>
        </w:tc>
      </w:tr>
      <w:tr>
        <w:trPr>
          <w:trHeight w:val="458"/>
        </w:trPr>
        <w:tc>
          <w:tcPr>
            <w:tcW w:w="2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Moment</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w w:val="88"/>
              </w:rPr>
              <w:t>Each time when one or more Awards are granted or one or more Plan Shares are issued pursuant to the exercise</w:t>
            </w:r>
          </w:p>
        </w:tc>
      </w:tr>
      <w:tr>
        <w:trPr>
          <w:trHeight w:val="230"/>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or settlement of the relevant Award(s).</w:t>
            </w:r>
          </w:p>
        </w:tc>
      </w:tr>
      <w:tr>
        <w:trPr>
          <w:trHeight w:val="306"/>
        </w:trPr>
        <w:tc>
          <w:tcPr>
            <w:tcW w:w="2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Resolutions</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rPr>
              <w:t>Each of the following:</w:t>
            </w:r>
          </w:p>
        </w:tc>
      </w:tr>
      <w:tr>
        <w:trPr>
          <w:trHeight w:val="220"/>
        </w:trPr>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480" w:type="dxa"/>
            <w:vAlign w:val="bottom"/>
          </w:tcPr>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written resolutions of the Board, dated 10 November 2020 and</w:t>
            </w:r>
          </w:p>
        </w:tc>
      </w:tr>
      <w:tr>
        <w:trPr>
          <w:trHeight w:val="212"/>
        </w:trPr>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1 February, 2021; and</w:t>
            </w:r>
          </w:p>
        </w:tc>
      </w:tr>
      <w:tr>
        <w:trPr>
          <w:trHeight w:val="234"/>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written resolutions of the General Meeting, dated 1 February, 2021.</w:t>
            </w:r>
          </w:p>
        </w:tc>
      </w:tr>
      <w:tr>
        <w:trPr>
          <w:trHeight w:val="338"/>
        </w:trPr>
        <w:tc>
          <w:tcPr>
            <w:tcW w:w="2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rPr>
              <w:t>The United States Securities and Exchange Commission.</w:t>
            </w: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Temporary Covid-19 Act</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w w:val="98"/>
              </w:rPr>
              <w:t>The Temporary COVID-19 Social Affairs and Employment and Justice and Security Act (</w:t>
            </w:r>
            <w:r>
              <w:rPr>
                <w:rFonts w:ascii="Arial" w:cs="Arial" w:eastAsia="Arial" w:hAnsi="Arial"/>
                <w:sz w:val="18"/>
                <w:szCs w:val="18"/>
                <w:i w:val="1"/>
                <w:iCs w:val="1"/>
                <w:color w:val="auto"/>
                <w:w w:val="98"/>
              </w:rPr>
              <w:t>Tijdelijke Wet</w:t>
            </w:r>
          </w:p>
        </w:tc>
      </w:tr>
      <w:tr>
        <w:trPr>
          <w:trHeight w:val="230"/>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i w:val="1"/>
                <w:iCs w:val="1"/>
                <w:color w:val="auto"/>
              </w:rPr>
              <w:t>COVID-19 SZW en JenV</w:t>
            </w:r>
            <w:r>
              <w:rPr>
                <w:rFonts w:ascii="Arial" w:cs="Arial" w:eastAsia="Arial" w:hAnsi="Arial"/>
                <w:sz w:val="18"/>
                <w:szCs w:val="18"/>
                <w:color w:val="auto"/>
              </w:rPr>
              <w:t>).</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2016</w:t>
            </w: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Plan</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w w:val="91"/>
              </w:rPr>
              <w:t>The amended and restated Pharvaris B.V. 2016 equity incentive plan of the Company in the form prepared by</w:t>
            </w:r>
          </w:p>
        </w:tc>
      </w:tr>
      <w:tr>
        <w:trPr>
          <w:trHeight w:val="230"/>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us with reference number 50114218 M 31229086.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2016</w:t>
            </w: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Plan Shares</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rPr>
              <w:t>2,600,240 Ordinary Shares available for issuance under the 2016 Plan.</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2021</w:t>
            </w: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Plan</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w w:val="92"/>
              </w:rPr>
              <w:t>The 2021 equity incentive plan of the Company in the form prepared by us with reference number 82044177</w:t>
            </w:r>
          </w:p>
        </w:tc>
      </w:tr>
      <w:tr>
        <w:trPr>
          <w:trHeight w:val="230"/>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M 30165373.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2021</w:t>
            </w: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Plan Shares</w:t>
            </w:r>
            <w:r>
              <w:rPr>
                <w:rFonts w:ascii="Arial" w:cs="Arial" w:eastAsia="Arial" w:hAnsi="Arial"/>
                <w:sz w:val="18"/>
                <w:szCs w:val="18"/>
                <w:color w:val="auto"/>
              </w:rPr>
              <w:t>”</w:t>
            </w:r>
          </w:p>
        </w:tc>
        <w:tc>
          <w:tcPr>
            <w:tcW w:w="8480" w:type="dxa"/>
            <w:vAlign w:val="bottom"/>
          </w:tcPr>
          <w:p>
            <w:pPr>
              <w:ind w:left="460"/>
              <w:spacing w:after="0"/>
              <w:rPr>
                <w:sz w:val="20"/>
                <w:szCs w:val="20"/>
                <w:color w:val="auto"/>
              </w:rPr>
            </w:pPr>
            <w:r>
              <w:rPr>
                <w:rFonts w:ascii="Arial" w:cs="Arial" w:eastAsia="Arial" w:hAnsi="Arial"/>
                <w:sz w:val="18"/>
                <w:szCs w:val="18"/>
                <w:color w:val="auto"/>
              </w:rPr>
              <w:t>3,870,401 Ordinary Shares available for issuance under the 2021 Plan.</w:t>
            </w:r>
          </w:p>
        </w:tc>
      </w:tr>
    </w:tbl>
    <w:p>
      <w:pPr>
        <w:ind w:left="460"/>
        <w:spacing w:after="0"/>
        <w:rPr>
          <w:sz w:val="20"/>
          <w:szCs w:val="20"/>
          <w:color w:val="auto"/>
        </w:rPr>
        <w:sectPr>
          <w:pgSz w:w="11900" w:h="16838" w:orient="portrait"/>
          <w:cols w:equalWidth="0" w:num="1">
            <w:col w:w="11000"/>
          </w:cols>
          <w:pgMar w:left="440" w:top="81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3131185</wp:posOffset>
            </wp:positionH>
            <wp:positionV relativeFrom="page">
              <wp:posOffset>183515</wp:posOffset>
            </wp:positionV>
            <wp:extent cx="128587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96850"/>
                    </a:xfrm>
                    <a:prstGeom prst="rect">
                      <a:avLst/>
                    </a:prstGeom>
                    <a:noFill/>
                  </pic:spPr>
                </pic:pic>
              </a:graphicData>
            </a:graphic>
          </wp:anchor>
        </w:drawing>
      </w: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HARVARIS</w:t>
      </w:r>
      <w:r>
        <w:rPr>
          <w:rFonts w:ascii="Arial" w:cs="Arial" w:eastAsia="Arial" w:hAnsi="Arial"/>
          <w:sz w:val="18"/>
          <w:szCs w:val="18"/>
          <w:b w:val="1"/>
          <w:bCs w:val="1"/>
          <w:color w:val="auto"/>
        </w:rPr>
        <w:t xml:space="preserve"> N.V.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624" w:hanging="184"/>
        <w:spacing w:after="0"/>
        <w:tabs>
          <w:tab w:leader="none" w:pos="624"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Eligible Award Recipients</w:t>
      </w:r>
      <w:r>
        <w:rPr>
          <w:rFonts w:ascii="Arial" w:cs="Arial" w:eastAsia="Arial" w:hAnsi="Arial"/>
          <w:sz w:val="18"/>
          <w:szCs w:val="18"/>
          <w:color w:val="auto"/>
        </w:rPr>
        <w:t>. Employees, Directors and Consultants are eligible to receive Awards.</w:t>
      </w:r>
    </w:p>
    <w:p>
      <w:pPr>
        <w:spacing w:after="0" w:line="225" w:lineRule="exact"/>
        <w:rPr>
          <w:rFonts w:ascii="Arial" w:cs="Arial" w:eastAsia="Arial" w:hAnsi="Arial"/>
          <w:sz w:val="18"/>
          <w:szCs w:val="18"/>
          <w:b w:val="1"/>
          <w:bCs w:val="1"/>
          <w:color w:val="auto"/>
        </w:rPr>
      </w:pPr>
    </w:p>
    <w:p>
      <w:pPr>
        <w:ind w:left="4" w:right="340" w:firstLine="987"/>
        <w:spacing w:after="0" w:line="293" w:lineRule="auto"/>
        <w:tabs>
          <w:tab w:leader="none" w:pos="1260" w:val="left"/>
        </w:tabs>
        <w:numPr>
          <w:ilvl w:val="2"/>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Awards</w:t>
      </w:r>
      <w:r>
        <w:rPr>
          <w:rFonts w:ascii="Arial" w:cs="Arial" w:eastAsia="Arial" w:hAnsi="Arial"/>
          <w:sz w:val="16"/>
          <w:szCs w:val="16"/>
          <w:color w:val="auto"/>
        </w:rPr>
        <w:t>. The Plan provides for the grant of the following types of Awards: (i) Incentive Stock Options, (ii)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(iii) Stock Appreciation Rights, (iv) Restricted Stock Awards, (v) Restricted Stock Unit Awards, (vi) Performance Stock Awards,</w:t>
      </w:r>
    </w:p>
    <w:p>
      <w:pPr>
        <w:spacing w:after="0" w:line="1" w:lineRule="exact"/>
        <w:rPr>
          <w:rFonts w:ascii="Arial" w:cs="Arial" w:eastAsia="Arial" w:hAnsi="Arial"/>
          <w:sz w:val="16"/>
          <w:szCs w:val="16"/>
          <w:b w:val="1"/>
          <w:bCs w:val="1"/>
          <w:color w:val="auto"/>
        </w:rPr>
      </w:pPr>
    </w:p>
    <w:p>
      <w:pPr>
        <w:ind w:left="4" w:right="60" w:hanging="4"/>
        <w:spacing w:after="0" w:line="253" w:lineRule="auto"/>
        <w:tabs>
          <w:tab w:leader="none" w:pos="3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Cash Awards, and (viii) Other Stock Awards. Awards may be granted alone or in addition or in tandem with any other Award and/or any award under any other plan of the Company or any Affiliate. Awards granted in addition or in tandem with any other Award and/or any award under any other plan of the Company or any Affiliate may be granted simultaneously or at different times. Awards shall be granted for no consideration or for such minimal cash consideration as may be required by Applicable Law.</w:t>
      </w:r>
    </w:p>
    <w:p>
      <w:pPr>
        <w:spacing w:after="0" w:line="188" w:lineRule="exact"/>
        <w:rPr>
          <w:rFonts w:ascii="Arial" w:cs="Arial" w:eastAsia="Arial" w:hAnsi="Arial"/>
          <w:sz w:val="18"/>
          <w:szCs w:val="18"/>
          <w:color w:val="auto"/>
        </w:rPr>
      </w:pPr>
    </w:p>
    <w:p>
      <w:pPr>
        <w:ind w:left="4" w:right="200" w:firstLine="987"/>
        <w:spacing w:after="0" w:line="266" w:lineRule="auto"/>
        <w:tabs>
          <w:tab w:leader="none" w:pos="1240" w:val="left"/>
        </w:tabs>
        <w:numPr>
          <w:ilvl w:val="2"/>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granting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83" w:lineRule="exact"/>
        <w:rPr>
          <w:rFonts w:ascii="Arial" w:cs="Arial" w:eastAsia="Arial" w:hAnsi="Arial"/>
          <w:sz w:val="18"/>
          <w:szCs w:val="18"/>
          <w:b w:val="1"/>
          <w:bCs w:val="1"/>
          <w:color w:val="auto"/>
        </w:rPr>
      </w:pPr>
    </w:p>
    <w:p>
      <w:pPr>
        <w:ind w:left="624" w:hanging="184"/>
        <w:spacing w:after="0"/>
        <w:tabs>
          <w:tab w:leader="none" w:pos="624"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20" w:firstLine="987"/>
        <w:spacing w:after="0" w:line="282" w:lineRule="auto"/>
        <w:tabs>
          <w:tab w:leader="none" w:pos="1250" w:val="left"/>
        </w:tabs>
        <w:numPr>
          <w:ilvl w:val="2"/>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1264" w:hanging="273"/>
        <w:spacing w:after="0"/>
        <w:tabs>
          <w:tab w:leader="none" w:pos="1264" w:val="left"/>
        </w:tabs>
        <w:numPr>
          <w:ilvl w:val="2"/>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Board</w:t>
      </w:r>
      <w:r>
        <w:rPr>
          <w:rFonts w:ascii="Arial" w:cs="Arial" w:eastAsia="Arial" w:hAnsi="Arial"/>
          <w:sz w:val="17"/>
          <w:szCs w:val="17"/>
          <w:color w:val="auto"/>
        </w:rPr>
        <w:t>. The Board will have the power, subject to, and within the limitations of, the express provisions of the Plan:</w:t>
      </w:r>
    </w:p>
    <w:p>
      <w:pPr>
        <w:spacing w:after="0" w:line="132" w:lineRule="exact"/>
        <w:rPr>
          <w:rFonts w:ascii="Arial" w:cs="Arial" w:eastAsia="Arial" w:hAnsi="Arial"/>
          <w:sz w:val="17"/>
          <w:szCs w:val="17"/>
          <w:b w:val="1"/>
          <w:bCs w:val="1"/>
          <w:color w:val="auto"/>
        </w:rPr>
      </w:pPr>
    </w:p>
    <w:p>
      <w:pPr>
        <w:ind w:left="4" w:right="40" w:firstLine="1428"/>
        <w:spacing w:after="0" w:line="254" w:lineRule="auto"/>
        <w:tabs>
          <w:tab w:leader="none" w:pos="1651" w:val="left"/>
        </w:tabs>
        <w:numPr>
          <w:ilvl w:val="3"/>
          <w:numId w:val="49"/>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shares of Common Stock under the Award; (E) the number of shares of Common Stock subject to, or the cash value of, an Award; (F) the Fair Market Value applicable to an Award; (G) whether, to which extent and under which circumstances the holder of an Award may designate an Entity owned or controlled by such holder as recipient or beneficiary of his or her Awards; and (H) determine whether, to what extent and under what circumstances cash, shares of Common Stock or other property and other amounts payable with respect to an Award under the Plan shall be deferred either automatically or at the election of the Participant.</w:t>
      </w:r>
    </w:p>
    <w:p>
      <w:pPr>
        <w:spacing w:after="0" w:line="194" w:lineRule="exact"/>
        <w:rPr>
          <w:rFonts w:ascii="Arial" w:cs="Arial" w:eastAsia="Arial" w:hAnsi="Arial"/>
          <w:sz w:val="18"/>
          <w:szCs w:val="18"/>
          <w:b w:val="1"/>
          <w:bCs w:val="1"/>
          <w:color w:val="auto"/>
        </w:rPr>
      </w:pPr>
    </w:p>
    <w:p>
      <w:pPr>
        <w:ind w:left="4" w:right="220" w:firstLine="1428"/>
        <w:spacing w:after="0" w:line="311" w:lineRule="auto"/>
        <w:tabs>
          <w:tab w:leader="none" w:pos="1701" w:val="left"/>
        </w:tabs>
        <w:numPr>
          <w:ilvl w:val="3"/>
          <w:numId w:val="49"/>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48" w:lineRule="exact"/>
        <w:rPr>
          <w:rFonts w:ascii="Arial" w:cs="Arial" w:eastAsia="Arial" w:hAnsi="Arial"/>
          <w:sz w:val="16"/>
          <w:szCs w:val="16"/>
          <w:b w:val="1"/>
          <w:bCs w:val="1"/>
          <w:color w:val="auto"/>
        </w:rPr>
      </w:pPr>
    </w:p>
    <w:p>
      <w:pPr>
        <w:ind w:left="1744" w:hanging="312"/>
        <w:spacing w:after="0"/>
        <w:tabs>
          <w:tab w:leader="none" w:pos="1744" w:val="left"/>
        </w:tabs>
        <w:numPr>
          <w:ilvl w:val="3"/>
          <w:numId w:val="49"/>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1744" w:hanging="312"/>
        <w:spacing w:after="0"/>
        <w:tabs>
          <w:tab w:leader="none" w:pos="1744" w:val="left"/>
        </w:tabs>
        <w:numPr>
          <w:ilvl w:val="3"/>
          <w:numId w:val="49"/>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Stock may be issued).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3" w:name="page44"/>
    <w:bookmarkEnd w:id="43"/>
    <w:p>
      <w:pPr>
        <w:ind w:left="-60" w:right="180" w:firstLine="1428"/>
        <w:spacing w:after="0" w:line="263" w:lineRule="auto"/>
        <w:tabs>
          <w:tab w:leader="none" w:pos="1627"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spacing w:after="0" w:line="183" w:lineRule="exact"/>
        <w:rPr>
          <w:rFonts w:ascii="Arial" w:cs="Arial" w:eastAsia="Arial" w:hAnsi="Arial"/>
          <w:sz w:val="18"/>
          <w:szCs w:val="18"/>
          <w:b w:val="1"/>
          <w:bCs w:val="1"/>
          <w:color w:val="auto"/>
        </w:rPr>
      </w:pPr>
    </w:p>
    <w:p>
      <w:pPr>
        <w:ind w:left="-60" w:right="20" w:firstLine="1428"/>
        <w:spacing w:after="0" w:line="288" w:lineRule="auto"/>
        <w:tabs>
          <w:tab w:leader="none" w:pos="1677"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(including, if required by Applicable Law, seek approval of the General Meeting)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unless (1) the Company requests the consent of the affected Participant, and (2) such Participant consents in writing.</w:t>
      </w:r>
    </w:p>
    <w:p>
      <w:pPr>
        <w:spacing w:after="0" w:line="168" w:lineRule="exact"/>
        <w:rPr>
          <w:rFonts w:ascii="Arial" w:cs="Arial" w:eastAsia="Arial" w:hAnsi="Arial"/>
          <w:sz w:val="16"/>
          <w:szCs w:val="16"/>
          <w:b w:val="1"/>
          <w:bCs w:val="1"/>
          <w:color w:val="auto"/>
        </w:rPr>
      </w:pPr>
    </w:p>
    <w:p>
      <w:pPr>
        <w:ind w:left="1720" w:hanging="352"/>
        <w:spacing w:after="0"/>
        <w:tabs>
          <w:tab w:leader="none" w:pos="17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approval of the General Meeting when required by Applicable Law.</w:t>
      </w:r>
    </w:p>
    <w:p>
      <w:pPr>
        <w:spacing w:after="0" w:line="225" w:lineRule="exact"/>
        <w:rPr>
          <w:rFonts w:ascii="Arial" w:cs="Arial" w:eastAsia="Arial" w:hAnsi="Arial"/>
          <w:sz w:val="18"/>
          <w:szCs w:val="18"/>
          <w:b w:val="1"/>
          <w:bCs w:val="1"/>
          <w:color w:val="auto"/>
        </w:rPr>
      </w:pPr>
    </w:p>
    <w:p>
      <w:pPr>
        <w:ind w:left="-60" w:right="20" w:firstLine="1428"/>
        <w:spacing w:after="0" w:line="287" w:lineRule="auto"/>
        <w:tabs>
          <w:tab w:leader="none" w:pos="1777"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Award into compliance with, Section 409A of the Code; or (D) to comply with other Applicable Laws, generally accepted accounting principles or listing requirements.</w:t>
      </w:r>
    </w:p>
    <w:p>
      <w:pPr>
        <w:spacing w:after="0" w:line="171" w:lineRule="exact"/>
        <w:rPr>
          <w:rFonts w:ascii="Arial" w:cs="Arial" w:eastAsia="Arial" w:hAnsi="Arial"/>
          <w:sz w:val="16"/>
          <w:szCs w:val="16"/>
          <w:b w:val="1"/>
          <w:bCs w:val="1"/>
          <w:color w:val="auto"/>
        </w:rPr>
      </w:pPr>
    </w:p>
    <w:p>
      <w:pPr>
        <w:ind w:left="-60" w:right="340" w:firstLine="1428"/>
        <w:spacing w:after="0" w:line="277" w:lineRule="auto"/>
        <w:tabs>
          <w:tab w:leader="none" w:pos="1677"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60" w:firstLine="1428"/>
        <w:spacing w:after="0" w:line="257" w:lineRule="auto"/>
        <w:tabs>
          <w:tab w:leader="none" w:pos="1627"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adopt, alter and repeal such administrative rules, guidelines, practices, procedures and sub-plans as are necessary or appropriate to permit or facilitate participation in the Plan by Employees, Directors or Consultants who are foreign nationals or employed outside the United States or to satisfy or accommodate applicable foreign laws or to qualify for preferred tax treatment of any such domestic or foreign jurisdiction. (provided that Board approval will not be necessary for immaterial modifications to the Plan or any Award Agreement that are required for compliance with the laws of the relevant foreign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4" w:right="519" w:bottom="1440" w:gutter="0" w:footer="0" w:header="0"/>
        </w:sectPr>
      </w:pPr>
    </w:p>
    <w:bookmarkStart w:id="44" w:name="page45"/>
    <w:bookmarkEnd w:id="44"/>
    <w:p>
      <w:pPr>
        <w:ind w:left="4" w:right="280" w:firstLine="1428"/>
        <w:spacing w:after="0" w:line="291" w:lineRule="auto"/>
        <w:tabs>
          <w:tab w:leader="none" w:pos="1741" w:val="left"/>
        </w:tabs>
        <w:numPr>
          <w:ilvl w:val="2"/>
          <w:numId w:val="5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effect, with the consent of any adversely affected Participant, (A) the reduction of the exercise, purchase or strike price of any outstanding Award; (B) the cancellation of any outstanding Stock Award and the grant in substitution therefor of a new (1) Option or SAR,</w:t>
      </w:r>
    </w:p>
    <w:p>
      <w:pPr>
        <w:ind w:left="4" w:hanging="4"/>
        <w:spacing w:after="0" w:line="253"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296" w:lineRule="exact"/>
        <w:rPr>
          <w:rFonts w:ascii="Arial" w:cs="Arial" w:eastAsia="Arial" w:hAnsi="Arial"/>
          <w:sz w:val="18"/>
          <w:szCs w:val="18"/>
          <w:color w:val="auto"/>
        </w:rPr>
      </w:pPr>
    </w:p>
    <w:p>
      <w:pPr>
        <w:ind w:left="1244" w:hanging="253"/>
        <w:spacing w:after="0"/>
        <w:tabs>
          <w:tab w:leader="none" w:pos="1244"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20" w:firstLine="1428"/>
        <w:spacing w:after="0" w:line="273" w:lineRule="auto"/>
        <w:tabs>
          <w:tab w:leader="none" w:pos="1651" w:val="left"/>
        </w:tabs>
        <w:numPr>
          <w:ilvl w:val="2"/>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Notwithstanding any delegation of powers to a Committee, the Board retains the authority to concurrently administer the Plan with the Committee.</w:t>
      </w:r>
    </w:p>
    <w:p>
      <w:pPr>
        <w:spacing w:after="0" w:line="171" w:lineRule="exact"/>
        <w:rPr>
          <w:rFonts w:ascii="Arial" w:cs="Arial" w:eastAsia="Arial" w:hAnsi="Arial"/>
          <w:sz w:val="17"/>
          <w:szCs w:val="17"/>
          <w:b w:val="1"/>
          <w:bCs w:val="1"/>
          <w:color w:val="auto"/>
        </w:rPr>
      </w:pPr>
    </w:p>
    <w:p>
      <w:pPr>
        <w:ind w:left="4" w:right="140" w:firstLine="1428"/>
        <w:spacing w:after="0" w:line="282" w:lineRule="auto"/>
        <w:tabs>
          <w:tab w:leader="none" w:pos="1701" w:val="left"/>
        </w:tabs>
        <w:numPr>
          <w:ilvl w:val="2"/>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The Committee may consist solely of two or more Non-Employee Directors, to the extent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Rule 16b-3.</w:t>
      </w:r>
    </w:p>
    <w:p>
      <w:pPr>
        <w:spacing w:after="0" w:line="161" w:lineRule="exact"/>
        <w:rPr>
          <w:rFonts w:ascii="Arial" w:cs="Arial" w:eastAsia="Arial" w:hAnsi="Arial"/>
          <w:sz w:val="18"/>
          <w:szCs w:val="18"/>
          <w:b w:val="1"/>
          <w:bCs w:val="1"/>
          <w:color w:val="auto"/>
        </w:rPr>
      </w:pPr>
    </w:p>
    <w:p>
      <w:pPr>
        <w:ind w:left="1264" w:hanging="273"/>
        <w:spacing w:after="0"/>
        <w:tabs>
          <w:tab w:leader="none" w:pos="1264" w:val="left"/>
        </w:tabs>
        <w:numPr>
          <w:ilvl w:val="1"/>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an Officer</w:t>
      </w:r>
      <w:r>
        <w:rPr>
          <w:rFonts w:ascii="Arial" w:cs="Arial" w:eastAsia="Arial" w:hAnsi="Arial"/>
          <w:sz w:val="17"/>
          <w:szCs w:val="17"/>
          <w:color w:val="auto"/>
        </w:rPr>
        <w:t>. The Board may delegate to one (1) or more Officers the authority to do one or both of the following:</w:t>
      </w:r>
    </w:p>
    <w:p>
      <w:pPr>
        <w:spacing w:after="0" w:line="39" w:lineRule="exact"/>
        <w:rPr>
          <w:sz w:val="20"/>
          <w:szCs w:val="20"/>
          <w:color w:val="auto"/>
        </w:rPr>
      </w:pPr>
    </w:p>
    <w:p>
      <w:pPr>
        <w:ind w:left="4" w:hanging="4"/>
        <w:spacing w:after="0" w:line="269" w:lineRule="auto"/>
        <w:tabs>
          <w:tab w:leader="none" w:pos="2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it does not violate Applicable Law or result in the loss of an exemption under Rule 16b-3(d)(1) for Awards granted to Participants subject to Section 16 of the Exchange Act in respect of the Company.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76" w:lineRule="exact"/>
        <w:rPr>
          <w:rFonts w:ascii="Arial" w:cs="Arial" w:eastAsia="Arial" w:hAnsi="Arial"/>
          <w:sz w:val="17"/>
          <w:szCs w:val="17"/>
          <w:color w:val="auto"/>
        </w:rPr>
      </w:pPr>
    </w:p>
    <w:p>
      <w:pPr>
        <w:ind w:left="4" w:right="160" w:firstLine="987"/>
        <w:spacing w:after="0" w:line="282" w:lineRule="auto"/>
        <w:tabs>
          <w:tab w:leader="none" w:pos="1240" w:val="left"/>
        </w:tabs>
        <w:numPr>
          <w:ilvl w:val="2"/>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by any person and will be final, binding and conclusive on all persons.</w:t>
      </w:r>
    </w:p>
    <w:p>
      <w:pPr>
        <w:spacing w:after="0" w:line="269" w:lineRule="exact"/>
        <w:rPr>
          <w:rFonts w:ascii="Arial" w:cs="Arial" w:eastAsia="Arial" w:hAnsi="Arial"/>
          <w:sz w:val="18"/>
          <w:szCs w:val="18"/>
          <w:b w:val="1"/>
          <w:bCs w:val="1"/>
          <w:color w:val="auto"/>
        </w:rPr>
      </w:pPr>
    </w:p>
    <w:p>
      <w:pPr>
        <w:ind w:left="624" w:hanging="184"/>
        <w:spacing w:after="0"/>
        <w:tabs>
          <w:tab w:leader="none" w:pos="624"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80" w:firstLine="1428"/>
        <w:spacing w:after="0" w:line="279" w:lineRule="auto"/>
        <w:tabs>
          <w:tab w:leader="none" w:pos="1651" w:val="left"/>
        </w:tabs>
        <w:numPr>
          <w:ilvl w:val="3"/>
          <w:numId w:val="54"/>
        </w:numPr>
        <w:rPr>
          <w:rFonts w:ascii="Arial" w:cs="Arial" w:eastAsia="Arial" w:hAnsi="Arial"/>
          <w:sz w:val="17"/>
          <w:szCs w:val="17"/>
          <w:b w:val="1"/>
          <w:bCs w:val="1"/>
          <w:color w:val="auto"/>
        </w:rPr>
      </w:pPr>
      <w:r>
        <w:rPr>
          <w:rFonts w:ascii="Arial" w:cs="Arial" w:eastAsia="Arial" w:hAnsi="Arial"/>
          <w:sz w:val="17"/>
          <w:szCs w:val="17"/>
          <w:color w:val="auto"/>
        </w:rPr>
        <w:t>Subject to Section 9(a) relating to Capitalization Adjustments, the aggregate number of shares of Common Stock that may be issued pursuant to Stock Awards from and after the Effective Date will not exceed 2,977,232 shares of Common Stock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provided that, as of January 1, 2022 and on each anniversary thereof, the Share Reserve Shall increase by 4% of the Company’s issued share capital as of that date, unless the Board decides either not to increase the Share Reserve or to increase the Share Reserve by a lower amount.</w:t>
      </w:r>
    </w:p>
    <w:p>
      <w:pPr>
        <w:spacing w:after="0" w:line="171" w:lineRule="exact"/>
        <w:rPr>
          <w:rFonts w:ascii="Arial" w:cs="Arial" w:eastAsia="Arial" w:hAnsi="Arial"/>
          <w:sz w:val="17"/>
          <w:szCs w:val="17"/>
          <w:b w:val="1"/>
          <w:bCs w:val="1"/>
          <w:color w:val="auto"/>
        </w:rPr>
      </w:pPr>
    </w:p>
    <w:p>
      <w:pPr>
        <w:ind w:left="4" w:right="220" w:firstLine="1428"/>
        <w:spacing w:after="0" w:line="308" w:lineRule="auto"/>
        <w:tabs>
          <w:tab w:leader="none" w:pos="1701" w:val="left"/>
        </w:tabs>
        <w:numPr>
          <w:ilvl w:val="3"/>
          <w:numId w:val="54"/>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5" w:name="page46"/>
    <w:bookmarkEnd w:id="45"/>
    <w:p>
      <w:pPr>
        <w:ind w:right="380" w:firstLine="1428"/>
        <w:spacing w:after="0" w:line="263" w:lineRule="auto"/>
        <w:tabs>
          <w:tab w:leader="none" w:pos="1747"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Common Stock may be issued in connection with a merger or acquisition as permitted by NASDAQ Listing Rule 5635(c) or, if applicable, NYSE Listed Company Manual Section 303A.08, AMEX Company Guide Section 711 or other applicable rule, and such issuance will not reduce the number of shares of Common Stock available for issuance under the Plan.</w:t>
      </w:r>
    </w:p>
    <w:p>
      <w:pPr>
        <w:spacing w:after="0" w:line="179" w:lineRule="exact"/>
        <w:rPr>
          <w:rFonts w:ascii="Arial" w:cs="Arial" w:eastAsia="Arial" w:hAnsi="Arial"/>
          <w:sz w:val="18"/>
          <w:szCs w:val="18"/>
          <w:b w:val="1"/>
          <w:bCs w:val="1"/>
          <w:color w:val="auto"/>
        </w:rPr>
      </w:pPr>
    </w:p>
    <w:p>
      <w:pPr>
        <w:ind w:right="20" w:firstLine="987"/>
        <w:spacing w:after="0" w:line="268" w:lineRule="auto"/>
        <w:tabs>
          <w:tab w:leader="none" w:pos="1256"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Substitute Awards</w:t>
      </w:r>
      <w:r>
        <w:rPr>
          <w:rFonts w:ascii="Arial" w:cs="Arial" w:eastAsia="Arial" w:hAnsi="Arial"/>
          <w:sz w:val="17"/>
          <w:szCs w:val="17"/>
          <w:color w:val="auto"/>
        </w:rPr>
        <w:t>. In connection with an entity’s merger or consolidation with the Company or the Company’s acquisition of an</w:t>
      </w:r>
      <w:r>
        <w:rPr>
          <w:rFonts w:ascii="Arial" w:cs="Arial" w:eastAsia="Arial" w:hAnsi="Arial"/>
          <w:sz w:val="17"/>
          <w:szCs w:val="17"/>
          <w:b w:val="1"/>
          <w:bCs w:val="1"/>
          <w:color w:val="auto"/>
        </w:rPr>
        <w:t xml:space="preserve"> </w:t>
      </w:r>
      <w:r>
        <w:rPr>
          <w:rFonts w:ascii="Arial" w:cs="Arial" w:eastAsia="Arial" w:hAnsi="Arial"/>
          <w:sz w:val="17"/>
          <w:szCs w:val="17"/>
          <w:color w:val="auto"/>
        </w:rPr>
        <w:t>entity’s property or stock, the Board may grant Awards in substitution for any options or other stock or stock-based awards granted before such merger or consolidation by such entity or its affiliate (“</w:t>
      </w:r>
      <w:r>
        <w:rPr>
          <w:rFonts w:ascii="Arial" w:cs="Arial" w:eastAsia="Arial" w:hAnsi="Arial"/>
          <w:sz w:val="17"/>
          <w:szCs w:val="17"/>
          <w:u w:val="single" w:color="auto"/>
          <w:color w:val="auto"/>
        </w:rPr>
        <w:t>Substitute Awards</w:t>
      </w:r>
      <w:r>
        <w:rPr>
          <w:rFonts w:ascii="Arial" w:cs="Arial" w:eastAsia="Arial" w:hAnsi="Arial"/>
          <w:sz w:val="17"/>
          <w:szCs w:val="17"/>
          <w:color w:val="auto"/>
        </w:rPr>
        <w:t>”). Substitute Awards may be granted on such terms as the Board deems appropriate, notwithstanding limitations on Awards in the Plan. Substitute Awards will not count against the overall Share Reserve (nor shall shares of Common Stock subject to a Substitute Award be added to the shares available for Awards under the Plan),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 Reserve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1" w:lineRule="exact"/>
        <w:rPr>
          <w:rFonts w:ascii="Arial" w:cs="Arial" w:eastAsia="Arial" w:hAnsi="Arial"/>
          <w:sz w:val="17"/>
          <w:szCs w:val="17"/>
          <w:b w:val="1"/>
          <w:bCs w:val="1"/>
          <w:color w:val="auto"/>
        </w:rPr>
      </w:pPr>
    </w:p>
    <w:p>
      <w:pPr>
        <w:ind w:firstLine="987"/>
        <w:spacing w:after="0" w:line="292" w:lineRule="auto"/>
        <w:tabs>
          <w:tab w:leader="none" w:pos="123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right="160" w:firstLine="987"/>
        <w:spacing w:after="0" w:line="266" w:lineRule="auto"/>
        <w:tabs>
          <w:tab w:leader="none" w:pos="125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provisions of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out of the Share Reserve pursuant to the exercise of Incentive Stock Options will be 4,407,030 shares of Common Stock.</w:t>
      </w:r>
    </w:p>
    <w:p>
      <w:pPr>
        <w:spacing w:after="0" w:line="175" w:lineRule="exact"/>
        <w:rPr>
          <w:rFonts w:ascii="Arial" w:cs="Arial" w:eastAsia="Arial" w:hAnsi="Arial"/>
          <w:sz w:val="18"/>
          <w:szCs w:val="18"/>
          <w:b w:val="1"/>
          <w:bCs w:val="1"/>
          <w:color w:val="auto"/>
        </w:rPr>
      </w:pPr>
    </w:p>
    <w:p>
      <w:pPr>
        <w:ind w:right="420" w:firstLine="987"/>
        <w:spacing w:after="0" w:line="282" w:lineRule="auto"/>
        <w:tabs>
          <w:tab w:leader="none" w:pos="123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Common Stock, including newly issued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shares of Common Stock repurchased by the Company on the open market or otherwise.</w:t>
      </w:r>
    </w:p>
    <w:p>
      <w:pPr>
        <w:spacing w:after="0" w:line="161" w:lineRule="exact"/>
        <w:rPr>
          <w:rFonts w:ascii="Arial" w:cs="Arial" w:eastAsia="Arial" w:hAnsi="Arial"/>
          <w:sz w:val="18"/>
          <w:szCs w:val="18"/>
          <w:b w:val="1"/>
          <w:bCs w:val="1"/>
          <w:color w:val="auto"/>
        </w:rPr>
      </w:pPr>
    </w:p>
    <w:p>
      <w:pPr>
        <w:ind w:right="20" w:firstLine="987"/>
        <w:spacing w:after="0" w:line="258" w:lineRule="auto"/>
        <w:tabs>
          <w:tab w:leader="none" w:pos="121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settled in Shares. </w:t>
      </w:r>
      <w:r>
        <w:rPr>
          <w:rFonts w:ascii="Arial" w:cs="Arial" w:eastAsia="Arial" w:hAnsi="Arial"/>
          <w:sz w:val="18"/>
          <w:szCs w:val="18"/>
          <w:color w:val="auto"/>
        </w:rPr>
        <w:t>Shares of Common Stock covered by Awards shall be delivered in such form(s) as may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and shall be subject to such stop transfer orders and other restrictions as the Board may deem required or advisable. The Board may determine that certificates for such shares of Common Stock shall bear an appropriate legend referring to the terms, conditions and restrictions applicable thereto. To the extent permitted by Applicable Law, the nominal value of any newly issued Shares pursuant to Stock Awards may be paid up to the charge of the Company’s reserves, at the discretion of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6" w:name="page47"/>
    <w:bookmarkEnd w:id="46"/>
    <w:p>
      <w:pPr>
        <w:ind w:right="80" w:firstLine="436"/>
        <w:spacing w:after="0" w:line="258" w:lineRule="auto"/>
        <w:tabs>
          <w:tab w:leader="none" w:pos="6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LIGIBILITY FOR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PECIFIC</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color w:val="auto"/>
        </w:rPr>
        <w:t>. Incentive Stock Options may be granted only to Employees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“subsidiary corporation” thereof (as such terms are defined in Sections 424(e) and 424(f) of the Code). Stock Awards other than Incentive Stock Options may be granted to Employees, Directors and Consultants. A Ten Percent Shareholder will not be granted an Incentive Stock Option unless the exercise price of such Option is at least one hundred ten percent (110%) of the Fair Market Value on the date of grant and the Option is not exercisable after the expiration of five (5) years from the date of grant.</w:t>
      </w:r>
    </w:p>
    <w:p>
      <w:pPr>
        <w:spacing w:after="0" w:line="291" w:lineRule="exact"/>
        <w:rPr>
          <w:rFonts w:ascii="Arial" w:cs="Arial" w:eastAsia="Arial" w:hAnsi="Arial"/>
          <w:sz w:val="18"/>
          <w:szCs w:val="18"/>
          <w:b w:val="1"/>
          <w:bCs w:val="1"/>
          <w:color w:val="auto"/>
        </w:rPr>
      </w:pPr>
    </w:p>
    <w:p>
      <w:pPr>
        <w:ind w:left="620" w:hanging="184"/>
        <w:spacing w:after="0"/>
        <w:tabs>
          <w:tab w:leader="none" w:pos="6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54" w:lineRule="exact"/>
        <w:rPr>
          <w:sz w:val="20"/>
          <w:szCs w:val="20"/>
          <w:color w:val="auto"/>
        </w:rPr>
      </w:pPr>
    </w:p>
    <w:p>
      <w:pPr>
        <w:ind w:right="440" w:firstLine="987"/>
        <w:spacing w:after="0" w:line="312" w:lineRule="auto"/>
        <w:tabs>
          <w:tab w:leader="none" w:pos="1246"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 regarding Ten Percent Shareholders,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Grant or such shorter period specified in the Stock Award Agreement.</w:t>
      </w:r>
    </w:p>
    <w:p>
      <w:pPr>
        <w:spacing w:after="0" w:line="139" w:lineRule="exact"/>
        <w:rPr>
          <w:rFonts w:ascii="Arial" w:cs="Arial" w:eastAsia="Arial" w:hAnsi="Arial"/>
          <w:sz w:val="17"/>
          <w:szCs w:val="17"/>
          <w:b w:val="1"/>
          <w:bCs w:val="1"/>
          <w:color w:val="auto"/>
        </w:rPr>
      </w:pPr>
    </w:p>
    <w:p>
      <w:pPr>
        <w:ind w:firstLine="987"/>
        <w:spacing w:after="0" w:line="292" w:lineRule="auto"/>
        <w:tabs>
          <w:tab w:leader="none" w:pos="125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Subject to the provisions of Section 4(b) regarding Ten Percent Shareholders, the exercise or strike price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SAR will be not less than one hundred percent (100%) of the Fair Market Value of the Common Stock subject to the Option or SAR on the Date of Grant of the Stock Award. Notwithstanding the foregoing, an Option or SAR may be granted with an exercise or strike price lower than one hundred percent (100%) of the Fair Market Value of the Common Stock subject to the Stock Award (but no lower than the nominal value of the shares of Common Stock covered by the Stock Award) if such Stock Award is granted pursuant to an assumption of or substitution for another option or stock appreciation right pursuant to a Change in Control and in a manner consistent with the provisions of any Applicable Law, including Section 409A of the Code and, if applicable, Section 424(a) of the Code. Each SAR will be denominated in shares of Common Stock equivalents.</w:t>
      </w:r>
    </w:p>
    <w:p>
      <w:pPr>
        <w:spacing w:after="0" w:line="161" w:lineRule="exact"/>
        <w:rPr>
          <w:rFonts w:ascii="Arial" w:cs="Arial" w:eastAsia="Arial" w:hAnsi="Arial"/>
          <w:sz w:val="16"/>
          <w:szCs w:val="16"/>
          <w:b w:val="1"/>
          <w:bCs w:val="1"/>
          <w:color w:val="auto"/>
        </w:rPr>
      </w:pPr>
    </w:p>
    <w:p>
      <w:pPr>
        <w:ind w:right="120" w:firstLine="987"/>
        <w:spacing w:after="0" w:line="303" w:lineRule="auto"/>
        <w:tabs>
          <w:tab w:leader="none" w:pos="123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 for Options</w:t>
      </w:r>
      <w:r>
        <w:rPr>
          <w:rFonts w:ascii="Arial" w:cs="Arial" w:eastAsia="Arial" w:hAnsi="Arial"/>
          <w:sz w:val="16"/>
          <w:szCs w:val="16"/>
          <w:color w:val="auto"/>
        </w:rPr>
        <w:t>. The exercise or strike price of an exercised Option may be paid, to the extent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upon such terms and conditions set forth in the applicable Award Agreement. Without limiting the foregoing, the Board will have the authority to grant Options that do not permit certain methods of payment (or otherwise restrict the ability to use certain methods) and to grant Options that require the consent of the Company to use a particular method of payment. Such permitted methods of payment may include the following:</w:t>
      </w:r>
    </w:p>
    <w:p>
      <w:pPr>
        <w:spacing w:after="0" w:line="46" w:lineRule="exact"/>
        <w:rPr>
          <w:rFonts w:ascii="Arial" w:cs="Arial" w:eastAsia="Arial" w:hAnsi="Arial"/>
          <w:sz w:val="16"/>
          <w:szCs w:val="16"/>
          <w:b w:val="1"/>
          <w:bCs w:val="1"/>
          <w:color w:val="auto"/>
        </w:rPr>
      </w:pPr>
    </w:p>
    <w:p>
      <w:pPr>
        <w:ind w:left="1640" w:hanging="212"/>
        <w:spacing w:after="0"/>
        <w:tabs>
          <w:tab w:leader="none" w:pos="164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by cash, check, bank draft, wire transfer or money order payable to the Company;</w:t>
      </w:r>
    </w:p>
    <w:p>
      <w:pPr>
        <w:spacing w:after="0" w:line="225" w:lineRule="exact"/>
        <w:rPr>
          <w:rFonts w:ascii="Arial" w:cs="Arial" w:eastAsia="Arial" w:hAnsi="Arial"/>
          <w:sz w:val="18"/>
          <w:szCs w:val="18"/>
          <w:b w:val="1"/>
          <w:bCs w:val="1"/>
          <w:color w:val="auto"/>
        </w:rPr>
      </w:pPr>
    </w:p>
    <w:p>
      <w:pPr>
        <w:ind w:right="200" w:firstLine="1428"/>
        <w:spacing w:after="0" w:line="259" w:lineRule="auto"/>
        <w:tabs>
          <w:tab w:leader="none" w:pos="1697"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by means of an immediate sale by or on behalf of the relevant Participant of part of the shares of Common Stock issuable pursuant to the Award, with sale proceeds equal to the Exercise Price being remitted to the Company and any remaining net sale proceeds (less applicable costs, if any) being paid to such Participant, including pursuant to a program developed under Regulation T as promulgated by the Federal Reserve Board;</w:t>
      </w:r>
    </w:p>
    <w:p>
      <w:pPr>
        <w:spacing w:after="0" w:line="186" w:lineRule="exact"/>
        <w:rPr>
          <w:rFonts w:ascii="Arial" w:cs="Arial" w:eastAsia="Arial" w:hAnsi="Arial"/>
          <w:sz w:val="18"/>
          <w:szCs w:val="18"/>
          <w:b w:val="1"/>
          <w:bCs w:val="1"/>
          <w:color w:val="auto"/>
        </w:rPr>
      </w:pPr>
    </w:p>
    <w:p>
      <w:pPr>
        <w:ind w:left="1740" w:hanging="312"/>
        <w:spacing w:after="0"/>
        <w:tabs>
          <w:tab w:leader="none" w:pos="174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by delivery to the Company or its designee (either by actual delivery or attestation) of shares of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47" w:name="page48"/>
    <w:bookmarkEnd w:id="47"/>
    <w:p>
      <w:pPr>
        <w:ind w:right="180" w:firstLine="1428"/>
        <w:spacing w:after="0" w:line="254" w:lineRule="auto"/>
        <w:tabs>
          <w:tab w:leader="none" w:pos="1737"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94" w:lineRule="exact"/>
        <w:rPr>
          <w:rFonts w:ascii="Arial" w:cs="Arial" w:eastAsia="Arial" w:hAnsi="Arial"/>
          <w:sz w:val="18"/>
          <w:szCs w:val="18"/>
          <w:b w:val="1"/>
          <w:bCs w:val="1"/>
          <w:color w:val="auto"/>
        </w:rPr>
      </w:pPr>
    </w:p>
    <w:p>
      <w:pPr>
        <w:ind w:left="1680" w:hanging="252"/>
        <w:spacing w:after="0"/>
        <w:tabs>
          <w:tab w:leader="none" w:pos="1680"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Stock Award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b w:val="1"/>
          <w:bCs w:val="1"/>
          <w:color w:val="auto"/>
        </w:rPr>
      </w:pPr>
    </w:p>
    <w:p>
      <w:pPr>
        <w:ind w:right="20" w:firstLine="987"/>
        <w:spacing w:after="0" w:line="254" w:lineRule="auto"/>
        <w:tabs>
          <w:tab w:leader="none" w:pos="125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91" w:lineRule="exact"/>
        <w:rPr>
          <w:rFonts w:ascii="Arial" w:cs="Arial" w:eastAsia="Arial" w:hAnsi="Arial"/>
          <w:sz w:val="18"/>
          <w:szCs w:val="18"/>
          <w:b w:val="1"/>
          <w:bCs w:val="1"/>
          <w:color w:val="auto"/>
        </w:rPr>
      </w:pPr>
    </w:p>
    <w:p>
      <w:pPr>
        <w:ind w:right="60" w:firstLine="987"/>
        <w:spacing w:after="0" w:line="266" w:lineRule="auto"/>
        <w:tabs>
          <w:tab w:leader="none" w:pos="123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Board may, in its sole discretion, impose such limitations on the transferability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SARs as the Board will determine. In the absence of such a determination by the Board to the contrary, the following restrictions on the transferability of Options and SARs will apply:</w:t>
      </w:r>
    </w:p>
    <w:p>
      <w:pPr>
        <w:spacing w:after="0" w:line="67" w:lineRule="exact"/>
        <w:rPr>
          <w:rFonts w:ascii="Arial" w:cs="Arial" w:eastAsia="Arial" w:hAnsi="Arial"/>
          <w:sz w:val="18"/>
          <w:szCs w:val="18"/>
          <w:b w:val="1"/>
          <w:bCs w:val="1"/>
          <w:color w:val="auto"/>
        </w:rPr>
      </w:pPr>
    </w:p>
    <w:p>
      <w:pPr>
        <w:ind w:firstLine="1428"/>
        <w:spacing w:after="0" w:line="261" w:lineRule="auto"/>
        <w:tabs>
          <w:tab w:leader="none" w:pos="1647"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9" w:lineRule="exact"/>
        <w:rPr>
          <w:rFonts w:ascii="Arial" w:cs="Arial" w:eastAsia="Arial" w:hAnsi="Arial"/>
          <w:sz w:val="18"/>
          <w:szCs w:val="18"/>
          <w:b w:val="1"/>
          <w:bCs w:val="1"/>
          <w:color w:val="auto"/>
        </w:rPr>
      </w:pPr>
    </w:p>
    <w:p>
      <w:pPr>
        <w:ind w:right="400" w:firstLine="1428"/>
        <w:spacing w:after="0" w:line="261" w:lineRule="auto"/>
        <w:tabs>
          <w:tab w:leader="none" w:pos="1697"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firstLine="1428"/>
        <w:spacing w:after="0" w:line="255" w:lineRule="auto"/>
        <w:tabs>
          <w:tab w:leader="none" w:pos="1747"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could be inconsistent with the provisions of Applicable Laws.</w:t>
      </w:r>
    </w:p>
    <w:p>
      <w:pPr>
        <w:spacing w:after="0" w:line="188" w:lineRule="exact"/>
        <w:rPr>
          <w:rFonts w:ascii="Arial" w:cs="Arial" w:eastAsia="Arial" w:hAnsi="Arial"/>
          <w:sz w:val="18"/>
          <w:szCs w:val="18"/>
          <w:b w:val="1"/>
          <w:bCs w:val="1"/>
          <w:color w:val="auto"/>
        </w:rPr>
      </w:pPr>
    </w:p>
    <w:p>
      <w:pPr>
        <w:ind w:right="140" w:firstLine="987"/>
        <w:spacing w:after="0" w:line="277" w:lineRule="auto"/>
        <w:tabs>
          <w:tab w:leader="none" w:pos="1216"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8" w:name="page49"/>
    <w:bookmarkEnd w:id="48"/>
    <w:p>
      <w:pPr>
        <w:ind w:right="100" w:firstLine="987"/>
        <w:spacing w:after="0" w:line="292" w:lineRule="auto"/>
        <w:tabs>
          <w:tab w:leader="none" w:pos="1246"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Continuous Service</w:t>
      </w:r>
      <w:r>
        <w:rPr>
          <w:rFonts w:ascii="Arial" w:cs="Arial" w:eastAsia="Arial" w:hAnsi="Arial"/>
          <w:sz w:val="16"/>
          <w:szCs w:val="16"/>
          <w:color w:val="auto"/>
        </w:rPr>
        <w:t>. Except as otherwise provided in the applicable Stock Award Agreement or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(3) months following the termination of the Participant’s Continuous Service (or such longer or shorter period specified in the applicable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61" w:lineRule="exact"/>
        <w:rPr>
          <w:rFonts w:ascii="Arial" w:cs="Arial" w:eastAsia="Arial" w:hAnsi="Arial"/>
          <w:sz w:val="16"/>
          <w:szCs w:val="16"/>
          <w:b w:val="1"/>
          <w:bCs w:val="1"/>
          <w:color w:val="auto"/>
        </w:rPr>
      </w:pPr>
    </w:p>
    <w:p>
      <w:pPr>
        <w:ind w:firstLine="987"/>
        <w:spacing w:after="0" w:line="269" w:lineRule="auto"/>
        <w:tabs>
          <w:tab w:leader="none" w:pos="125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If the exercise of an Option or SAR following the termination of the Participant’s Continuous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78" w:lineRule="exact"/>
        <w:rPr>
          <w:rFonts w:ascii="Arial" w:cs="Arial" w:eastAsia="Arial" w:hAnsi="Arial"/>
          <w:sz w:val="17"/>
          <w:szCs w:val="17"/>
          <w:b w:val="1"/>
          <w:bCs w:val="1"/>
          <w:color w:val="auto"/>
        </w:rPr>
      </w:pPr>
    </w:p>
    <w:p>
      <w:pPr>
        <w:ind w:right="120" w:firstLine="987"/>
        <w:spacing w:after="0" w:line="255" w:lineRule="auto"/>
        <w:tabs>
          <w:tab w:leader="none" w:pos="120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right="60" w:firstLine="987"/>
        <w:spacing w:after="0" w:line="271" w:lineRule="auto"/>
        <w:tabs>
          <w:tab w:leader="none" w:pos="121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49" w:name="page50"/>
    <w:bookmarkEnd w:id="49"/>
    <w:p>
      <w:pPr>
        <w:ind w:left="4" w:right="60" w:firstLine="987"/>
        <w:spacing w:after="0" w:line="261" w:lineRule="auto"/>
        <w:tabs>
          <w:tab w:leader="none" w:pos="1260" w:val="left"/>
        </w:tabs>
        <w:numPr>
          <w:ilvl w:val="2"/>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for Cause</w:t>
      </w:r>
      <w:r>
        <w:rPr>
          <w:rFonts w:ascii="Arial" w:cs="Arial" w:eastAsia="Arial" w:hAnsi="Arial"/>
          <w:sz w:val="18"/>
          <w:szCs w:val="18"/>
          <w:color w:val="auto"/>
        </w:rPr>
        <w:t>. 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9" w:lineRule="exact"/>
        <w:rPr>
          <w:rFonts w:ascii="Arial" w:cs="Arial" w:eastAsia="Arial" w:hAnsi="Arial"/>
          <w:sz w:val="18"/>
          <w:szCs w:val="18"/>
          <w:b w:val="1"/>
          <w:bCs w:val="1"/>
          <w:color w:val="auto"/>
        </w:rPr>
      </w:pPr>
    </w:p>
    <w:p>
      <w:pPr>
        <w:ind w:left="4" w:right="80" w:firstLine="987"/>
        <w:spacing w:after="0" w:line="285" w:lineRule="auto"/>
        <w:tabs>
          <w:tab w:leader="none" w:pos="1210" w:val="left"/>
        </w:tabs>
        <w:numPr>
          <w:ilvl w:val="2"/>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Labor Standards Act of 1938, as amended, the Option or SAR will not be first exercisable for any shares of Common Stock until at least six (6)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w:t>
      </w:r>
    </w:p>
    <w:p>
      <w:pPr>
        <w:ind w:left="4" w:right="140" w:hanging="4"/>
        <w:spacing w:after="0" w:line="271" w:lineRule="auto"/>
        <w:tabs>
          <w:tab w:leader="none" w:pos="259" w:val="left"/>
        </w:tabs>
        <w:numPr>
          <w:ilvl w:val="0"/>
          <w:numId w:val="63"/>
        </w:numPr>
        <w:rPr>
          <w:rFonts w:ascii="Arial" w:cs="Arial" w:eastAsia="Arial" w:hAnsi="Arial"/>
          <w:sz w:val="17"/>
          <w:szCs w:val="17"/>
          <w:color w:val="auto"/>
        </w:rPr>
      </w:pPr>
      <w:r>
        <w:rPr>
          <w:rFonts w:ascii="Arial" w:cs="Arial" w:eastAsia="Arial" w:hAnsi="Arial"/>
          <w:sz w:val="17"/>
          <w:szCs w:val="17"/>
          <w:color w:val="auto"/>
        </w:rPr>
        <w:t>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282" w:lineRule="exact"/>
        <w:rPr>
          <w:rFonts w:ascii="Arial" w:cs="Arial" w:eastAsia="Arial" w:hAnsi="Arial"/>
          <w:sz w:val="17"/>
          <w:szCs w:val="17"/>
          <w:color w:val="auto"/>
        </w:rPr>
      </w:pPr>
    </w:p>
    <w:p>
      <w:pPr>
        <w:ind w:left="624" w:hanging="184"/>
        <w:spacing w:after="0"/>
        <w:tabs>
          <w:tab w:leader="none" w:pos="624"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987"/>
        <w:spacing w:after="0" w:line="292" w:lineRule="auto"/>
        <w:tabs>
          <w:tab w:leader="none" w:pos="1250" w:val="left"/>
        </w:tabs>
        <w:numPr>
          <w:ilvl w:val="2"/>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will be in such form and will contain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deems appropriate. To the extent consistent with the Company’s articles of association and Applicable Law,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53" w:lineRule="exact"/>
        <w:rPr>
          <w:rFonts w:ascii="Arial" w:cs="Arial" w:eastAsia="Arial" w:hAnsi="Arial"/>
          <w:sz w:val="16"/>
          <w:szCs w:val="16"/>
          <w:b w:val="1"/>
          <w:bCs w:val="1"/>
          <w:color w:val="auto"/>
        </w:rPr>
      </w:pPr>
    </w:p>
    <w:p>
      <w:pPr>
        <w:ind w:left="4" w:right="340" w:firstLine="1428"/>
        <w:spacing w:after="0" w:line="266" w:lineRule="auto"/>
        <w:tabs>
          <w:tab w:leader="none" w:pos="1651" w:val="left"/>
        </w:tabs>
        <w:numPr>
          <w:ilvl w:val="3"/>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 money order</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 (B) past services to the Company or an Affiliate, or (C)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4" w:right="360" w:firstLine="1428"/>
        <w:spacing w:after="0" w:line="282" w:lineRule="auto"/>
        <w:tabs>
          <w:tab w:leader="none" w:pos="1701" w:val="left"/>
        </w:tabs>
        <w:numPr>
          <w:ilvl w:val="3"/>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designee in accordance with a vesting schedule to be determined by the Board.</w:t>
      </w:r>
    </w:p>
    <w:p>
      <w:pPr>
        <w:spacing w:after="0" w:line="161" w:lineRule="exact"/>
        <w:rPr>
          <w:rFonts w:ascii="Arial" w:cs="Arial" w:eastAsia="Arial" w:hAnsi="Arial"/>
          <w:sz w:val="18"/>
          <w:szCs w:val="18"/>
          <w:b w:val="1"/>
          <w:bCs w:val="1"/>
          <w:color w:val="auto"/>
        </w:rPr>
      </w:pPr>
    </w:p>
    <w:p>
      <w:pPr>
        <w:ind w:left="4" w:firstLine="1428"/>
        <w:spacing w:after="0" w:line="266" w:lineRule="auto"/>
        <w:tabs>
          <w:tab w:leader="none" w:pos="1751" w:val="left"/>
        </w:tabs>
        <w:numPr>
          <w:ilvl w:val="3"/>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may receive through a forfeiture condition or a repurchase right, any or all of the shares of Common Stock held by the Participant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4" w:right="80" w:firstLine="1428"/>
        <w:spacing w:after="0" w:line="261" w:lineRule="auto"/>
        <w:tabs>
          <w:tab w:leader="none" w:pos="1741" w:val="left"/>
        </w:tabs>
        <w:numPr>
          <w:ilvl w:val="3"/>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50" w:name="page51"/>
    <w:bookmarkEnd w:id="50"/>
    <w:p>
      <w:pPr>
        <w:ind w:right="80" w:firstLine="1428"/>
        <w:spacing w:after="0" w:line="266" w:lineRule="auto"/>
        <w:tabs>
          <w:tab w:leader="none" w:pos="1687"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and Distributions</w:t>
      </w:r>
      <w:r>
        <w:rPr>
          <w:rFonts w:ascii="Arial" w:cs="Arial" w:eastAsia="Arial" w:hAnsi="Arial"/>
          <w:sz w:val="18"/>
          <w:szCs w:val="18"/>
          <w:color w:val="auto"/>
        </w:rPr>
        <w:t>. A Restricted Stock Award Agreement may provide that any dividends and distributions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will be subject to the same vesting and forfeiture restrictions as apply to the shares subject to the Restricted Stock Award to which they relate.</w:t>
      </w:r>
    </w:p>
    <w:p>
      <w:pPr>
        <w:spacing w:after="0" w:line="175" w:lineRule="exact"/>
        <w:rPr>
          <w:rFonts w:ascii="Arial" w:cs="Arial" w:eastAsia="Arial" w:hAnsi="Arial"/>
          <w:sz w:val="18"/>
          <w:szCs w:val="18"/>
          <w:b w:val="1"/>
          <w:bCs w:val="1"/>
          <w:color w:val="auto"/>
        </w:rPr>
      </w:pPr>
    </w:p>
    <w:p>
      <w:pPr>
        <w:ind w:right="140" w:firstLine="987"/>
        <w:spacing w:after="0" w:line="258" w:lineRule="auto"/>
        <w:tabs>
          <w:tab w:leader="none" w:pos="125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75" w:lineRule="exact"/>
        <w:rPr>
          <w:rFonts w:ascii="Arial" w:cs="Arial" w:eastAsia="Arial" w:hAnsi="Arial"/>
          <w:sz w:val="18"/>
          <w:szCs w:val="18"/>
          <w:b w:val="1"/>
          <w:bCs w:val="1"/>
          <w:color w:val="auto"/>
        </w:rPr>
      </w:pPr>
    </w:p>
    <w:p>
      <w:pPr>
        <w:ind w:right="60" w:firstLine="1428"/>
        <w:spacing w:after="0" w:line="261" w:lineRule="auto"/>
        <w:tabs>
          <w:tab w:leader="none" w:pos="1647"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0" w:lineRule="exact"/>
        <w:rPr>
          <w:sz w:val="20"/>
          <w:szCs w:val="20"/>
          <w:color w:val="auto"/>
        </w:rPr>
      </w:pPr>
    </w:p>
    <w:p>
      <w:pPr>
        <w:ind w:right="220" w:firstLine="1428"/>
        <w:spacing w:after="0" w:line="282" w:lineRule="auto"/>
        <w:tabs>
          <w:tab w:leader="none" w:pos="1697"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right="80" w:firstLine="1428"/>
        <w:spacing w:after="0" w:line="347" w:lineRule="auto"/>
        <w:tabs>
          <w:tab w:leader="none" w:pos="1747" w:val="left"/>
        </w:tabs>
        <w:numPr>
          <w:ilvl w:val="1"/>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20" w:firstLine="1428"/>
        <w:spacing w:after="0" w:line="266" w:lineRule="auto"/>
        <w:tabs>
          <w:tab w:leader="none" w:pos="1737"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At the time of the grant of a Restricted Stock Unit Award, the Board, as it deems appropriate,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right="40" w:firstLine="1428"/>
        <w:spacing w:after="0" w:line="258" w:lineRule="auto"/>
        <w:tabs>
          <w:tab w:leader="none" w:pos="1687"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Dividend equivalents may be credited in respect of shares of Common Stock covered by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as determined by the Board and contained in the Restricted Stock Unit Award Agreement. At the sole discretion of the Board, such dividend equivalents may be paid currently or credited to an account for the Participant, settled in cash or shares of Common Stock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83" w:lineRule="exact"/>
        <w:rPr>
          <w:rFonts w:ascii="Arial" w:cs="Arial" w:eastAsia="Arial" w:hAnsi="Arial"/>
          <w:sz w:val="18"/>
          <w:szCs w:val="18"/>
          <w:b w:val="1"/>
          <w:bCs w:val="1"/>
          <w:color w:val="auto"/>
        </w:rPr>
      </w:pPr>
    </w:p>
    <w:p>
      <w:pPr>
        <w:ind w:firstLine="1428"/>
        <w:spacing w:after="0" w:line="266" w:lineRule="auto"/>
        <w:tabs>
          <w:tab w:leader="none" w:pos="1737"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such portion of the Restricted Stock Unit Award that has not vested will be forfeited upon the Participant’s termination of Continuous Service.</w:t>
      </w:r>
    </w:p>
    <w:p>
      <w:pPr>
        <w:spacing w:after="0" w:line="283" w:lineRule="exact"/>
        <w:rPr>
          <w:rFonts w:ascii="Arial" w:cs="Arial" w:eastAsia="Arial" w:hAnsi="Arial"/>
          <w:sz w:val="18"/>
          <w:szCs w:val="18"/>
          <w:b w:val="1"/>
          <w:bCs w:val="1"/>
          <w:color w:val="auto"/>
        </w:rPr>
      </w:pPr>
    </w:p>
    <w:p>
      <w:pPr>
        <w:ind w:left="1240" w:hanging="253"/>
        <w:spacing w:after="0"/>
        <w:tabs>
          <w:tab w:leader="none" w:pos="12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1428"/>
        <w:spacing w:after="0" w:line="274" w:lineRule="auto"/>
        <w:tabs>
          <w:tab w:leader="none" w:pos="1647" w:val="left"/>
        </w:tabs>
        <w:numPr>
          <w:ilvl w:val="1"/>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that is payable or that may be granted, may vest or</w:t>
      </w:r>
      <w:r>
        <w:rPr>
          <w:rFonts w:ascii="Arial" w:cs="Arial" w:eastAsia="Arial" w:hAnsi="Arial"/>
          <w:sz w:val="17"/>
          <w:szCs w:val="17"/>
          <w:b w:val="1"/>
          <w:bCs w:val="1"/>
          <w:color w:val="auto"/>
        </w:rPr>
        <w:t xml:space="preserve"> </w:t>
      </w:r>
      <w:r>
        <w:rPr>
          <w:rFonts w:ascii="Arial" w:cs="Arial" w:eastAsia="Arial" w:hAnsi="Arial"/>
          <w:sz w:val="17"/>
          <w:szCs w:val="17"/>
          <w:color w:val="auto"/>
        </w:rPr>
        <w:t>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51" w:name="page52"/>
    <w:bookmarkEnd w:id="51"/>
    <w:p>
      <w:pPr>
        <w:ind w:firstLine="1428"/>
        <w:spacing w:after="0" w:line="292" w:lineRule="auto"/>
        <w:tabs>
          <w:tab w:leader="none" w:pos="1697" w:val="left"/>
        </w:tabs>
        <w:numPr>
          <w:ilvl w:val="2"/>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Cash Awards</w:t>
      </w:r>
      <w:r>
        <w:rPr>
          <w:rFonts w:ascii="Arial" w:cs="Arial" w:eastAsia="Arial" w:hAnsi="Arial"/>
          <w:sz w:val="16"/>
          <w:szCs w:val="16"/>
          <w:color w:val="auto"/>
        </w:rPr>
        <w:t>. A Performance Cash Award is a cash award that is payable contingent upon the attainment during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in its sole discretion. The Board may specify the form of payment of Performance Cash Awards, which may be cash or other property (other than shares of Common Stock), or may provide for a Participant to have the option for his or her Performance Cash Award, or such portion thereof as the Board may specify, to be paid in whole or in part in cash or other property (other than shares of Common Stock).</w:t>
      </w:r>
    </w:p>
    <w:p>
      <w:pPr>
        <w:spacing w:after="0" w:line="161" w:lineRule="exact"/>
        <w:rPr>
          <w:rFonts w:ascii="Arial" w:cs="Arial" w:eastAsia="Arial" w:hAnsi="Arial"/>
          <w:sz w:val="16"/>
          <w:szCs w:val="16"/>
          <w:b w:val="1"/>
          <w:bCs w:val="1"/>
          <w:color w:val="auto"/>
        </w:rPr>
      </w:pPr>
    </w:p>
    <w:p>
      <w:pPr>
        <w:jc w:val="both"/>
        <w:ind w:right="200" w:firstLine="1428"/>
        <w:spacing w:after="0" w:line="261" w:lineRule="auto"/>
        <w:tabs>
          <w:tab w:leader="none" w:pos="1747" w:val="left"/>
        </w:tabs>
        <w:numPr>
          <w:ilvl w:val="2"/>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Board Discretion</w:t>
      </w:r>
      <w:r>
        <w:rPr>
          <w:rFonts w:ascii="Arial" w:cs="Arial" w:eastAsia="Arial" w:hAnsi="Arial"/>
          <w:sz w:val="18"/>
          <w:szCs w:val="18"/>
          <w:color w:val="auto"/>
        </w:rPr>
        <w:t>. The Board retains the discretion to reduce or eliminate the compensation or economic benefit due upon</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9"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67" w:lineRule="exact"/>
        <w:rPr>
          <w:rFonts w:ascii="Arial" w:cs="Arial" w:eastAsia="Arial" w:hAnsi="Arial"/>
          <w:sz w:val="16"/>
          <w:szCs w:val="16"/>
          <w:b w:val="1"/>
          <w:bCs w:val="1"/>
          <w:color w:val="auto"/>
        </w:rPr>
      </w:pPr>
    </w:p>
    <w:p>
      <w:pPr>
        <w:ind w:left="620" w:hanging="184"/>
        <w:spacing w:after="0"/>
        <w:tabs>
          <w:tab w:leader="none" w:pos="6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0" w:firstLine="987"/>
        <w:spacing w:after="0" w:line="282" w:lineRule="auto"/>
        <w:tabs>
          <w:tab w:leader="none" w:pos="1246"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then-outstanding Stock Awards.</w:t>
      </w:r>
    </w:p>
    <w:p>
      <w:pPr>
        <w:spacing w:after="0" w:line="161" w:lineRule="exact"/>
        <w:rPr>
          <w:rFonts w:ascii="Arial" w:cs="Arial" w:eastAsia="Arial" w:hAnsi="Arial"/>
          <w:sz w:val="18"/>
          <w:szCs w:val="18"/>
          <w:b w:val="1"/>
          <w:bCs w:val="1"/>
          <w:color w:val="auto"/>
        </w:rPr>
      </w:pPr>
    </w:p>
    <w:p>
      <w:pPr>
        <w:ind w:right="180" w:firstLine="987"/>
        <w:spacing w:after="0" w:line="291" w:lineRule="auto"/>
        <w:tabs>
          <w:tab w:leader="none" w:pos="1256"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will seek to obtain from each regulatory commission or agency having jurisdiction over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Plan 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ind w:right="40" w:firstLine="987"/>
        <w:spacing w:after="0" w:line="261" w:lineRule="auto"/>
        <w:tabs>
          <w:tab w:leader="none" w:pos="1236"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will have no duty or obligation to any Participant to advise such holder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52" w:name="page53"/>
    <w:bookmarkEnd w:id="52"/>
    <w:p>
      <w:pPr>
        <w:ind w:left="620" w:hanging="184"/>
        <w:spacing w:after="0"/>
        <w:tabs>
          <w:tab w:leader="none" w:pos="6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00" w:firstLine="987"/>
        <w:spacing w:after="0" w:line="282" w:lineRule="auto"/>
        <w:tabs>
          <w:tab w:leader="none" w:pos="124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Awards. </w:t>
      </w:r>
      <w:r>
        <w:rPr>
          <w:rFonts w:ascii="Arial" w:cs="Arial" w:eastAsia="Arial" w:hAnsi="Arial"/>
          <w:sz w:val="16"/>
          <w:szCs w:val="16"/>
          <w:color w:val="auto"/>
        </w:rPr>
        <w:t>Corporate action constituting a grant by the Company of an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159" w:lineRule="exact"/>
        <w:rPr>
          <w:rFonts w:ascii="Arial" w:cs="Arial" w:eastAsia="Arial" w:hAnsi="Arial"/>
          <w:sz w:val="16"/>
          <w:szCs w:val="16"/>
          <w:b w:val="1"/>
          <w:bCs w:val="1"/>
          <w:color w:val="auto"/>
        </w:rPr>
      </w:pPr>
    </w:p>
    <w:p>
      <w:pPr>
        <w:ind w:right="100" w:firstLine="987"/>
        <w:spacing w:after="0" w:line="261" w:lineRule="auto"/>
        <w:tabs>
          <w:tab w:leader="none" w:pos="123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Other than with respect to Restricted Stock Awards, no Participant will be deemed to be the holder of, or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the Award has been entered into the books and records of the Company.</w:t>
      </w:r>
    </w:p>
    <w:p>
      <w:pPr>
        <w:spacing w:after="0" w:line="179" w:lineRule="exact"/>
        <w:rPr>
          <w:rFonts w:ascii="Arial" w:cs="Arial" w:eastAsia="Arial" w:hAnsi="Arial"/>
          <w:sz w:val="18"/>
          <w:szCs w:val="18"/>
          <w:b w:val="1"/>
          <w:bCs w:val="1"/>
          <w:color w:val="auto"/>
        </w:rPr>
      </w:pPr>
    </w:p>
    <w:p>
      <w:pPr>
        <w:jc w:val="both"/>
        <w:ind w:right="20" w:firstLine="987"/>
        <w:spacing w:after="0" w:line="258" w:lineRule="auto"/>
        <w:tabs>
          <w:tab w:leader="none" w:pos="125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any Award Agreement or any other instrument executed thereunder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Stock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agreement of a Director.</w:t>
      </w:r>
    </w:p>
    <w:p>
      <w:pPr>
        <w:spacing w:after="0" w:line="183" w:lineRule="exact"/>
        <w:rPr>
          <w:rFonts w:ascii="Arial" w:cs="Arial" w:eastAsia="Arial" w:hAnsi="Arial"/>
          <w:sz w:val="18"/>
          <w:szCs w:val="18"/>
          <w:b w:val="1"/>
          <w:bCs w:val="1"/>
          <w:color w:val="auto"/>
        </w:rPr>
      </w:pPr>
    </w:p>
    <w:p>
      <w:pPr>
        <w:ind w:right="40" w:firstLine="987"/>
        <w:spacing w:after="0" w:line="273" w:lineRule="auto"/>
        <w:tabs>
          <w:tab w:leader="none" w:pos="1236" w:val="left"/>
        </w:tabs>
        <w:numPr>
          <w:ilvl w:val="1"/>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subject to any portion of such Award that is scheduled to vest or become payable after the date of such change in time commitment, and (y) subject to the requirements of Section 409A of the Code,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ind w:right="40" w:firstLine="987"/>
        <w:spacing w:after="0" w:line="256" w:lineRule="auto"/>
        <w:tabs>
          <w:tab w:leader="none" w:pos="121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Limitations</w:t>
      </w:r>
      <w:r>
        <w:rPr>
          <w:rFonts w:ascii="Arial" w:cs="Arial" w:eastAsia="Arial" w:hAnsi="Arial"/>
          <w:sz w:val="18"/>
          <w:szCs w:val="18"/>
          <w:color w:val="auto"/>
        </w:rPr>
        <w:t>. To the extent that the aggregate Fair Market Value (determined at the Date of Grant)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right="20" w:firstLine="987"/>
        <w:spacing w:after="0" w:line="254" w:lineRule="auto"/>
        <w:tabs>
          <w:tab w:leader="none" w:pos="124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Assurances</w:t>
      </w:r>
      <w:r>
        <w:rPr>
          <w:rFonts w:ascii="Arial" w:cs="Arial" w:eastAsia="Arial" w:hAnsi="Arial"/>
          <w:sz w:val="18"/>
          <w:szCs w:val="18"/>
          <w:color w:val="auto"/>
        </w:rPr>
        <w:t>. The Company may require a Participant, as a condition of exercising or acquiring Common Stock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to represent to and agree with the Company in writing that the Participant is acquiring shares of Common Stock without a view to distribution thereof. In addition to any legend required by the Plan, the certificates for such shares may include any legend that the Board deems appropriate to reflect any restrictions on transfer. All certificates for shares of Common Stock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any Applicable Law, and the Committee may cause a legend or legends to be put on any such certificates to make appropriate reference to such restrictions.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53" w:name="page54"/>
    <w:bookmarkEnd w:id="53"/>
    <w:p>
      <w:pPr>
        <w:ind w:left="4" w:firstLine="987"/>
        <w:spacing w:after="0" w:line="283" w:lineRule="auto"/>
        <w:tabs>
          <w:tab w:leader="none" w:pos="1260" w:val="left"/>
        </w:tabs>
        <w:numPr>
          <w:ilvl w:val="1"/>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Obligations</w:t>
      </w:r>
      <w:r>
        <w:rPr>
          <w:rFonts w:ascii="Arial" w:cs="Arial" w:eastAsia="Arial" w:hAnsi="Arial"/>
          <w:sz w:val="16"/>
          <w:szCs w:val="16"/>
          <w:color w:val="auto"/>
        </w:rPr>
        <w:t>. The Company or the Participant’s employer may withhold any tax (including dividend tax, wage tax and</w:t>
      </w:r>
      <w:r>
        <w:rPr>
          <w:rFonts w:ascii="Arial" w:cs="Arial" w:eastAsia="Arial" w:hAnsi="Arial"/>
          <w:sz w:val="16"/>
          <w:szCs w:val="16"/>
          <w:b w:val="1"/>
          <w:bCs w:val="1"/>
          <w:color w:val="auto"/>
        </w:rPr>
        <w:t xml:space="preserve"> </w:t>
      </w:r>
      <w:r>
        <w:rPr>
          <w:rFonts w:ascii="Arial" w:cs="Arial" w:eastAsia="Arial" w:hAnsi="Arial"/>
          <w:sz w:val="16"/>
          <w:szCs w:val="16"/>
          <w:color w:val="auto"/>
        </w:rPr>
        <w:t>social security premiums due, if any) due relating to an Award that the Company or such employer is required by Applicable Law to withhold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withholding obligations</w:t>
      </w:r>
      <w:r>
        <w:rPr>
          <w:rFonts w:ascii="Arial" w:cs="Arial" w:eastAsia="Arial" w:hAnsi="Arial"/>
          <w:sz w:val="16"/>
          <w:szCs w:val="16"/>
          <w:color w:val="auto"/>
        </w:rPr>
        <w:t>”), as well as any amounts due from such Participant to the Company or the relevant employer relating to an Award (“</w:t>
      </w:r>
      <w:r>
        <w:rPr>
          <w:rFonts w:ascii="Arial" w:cs="Arial" w:eastAsia="Arial" w:hAnsi="Arial"/>
          <w:sz w:val="16"/>
          <w:szCs w:val="16"/>
          <w:b w:val="1"/>
          <w:bCs w:val="1"/>
          <w:color w:val="auto"/>
        </w:rPr>
        <w:t>other obligations</w:t>
      </w:r>
      <w:r>
        <w:rPr>
          <w:rFonts w:ascii="Arial" w:cs="Arial" w:eastAsia="Arial" w:hAnsi="Arial"/>
          <w:sz w:val="16"/>
          <w:szCs w:val="16"/>
          <w:color w:val="auto"/>
        </w:rPr>
        <w:t>”). Such tax withholding obligations and other obligations will be for the account of the Participant, unless explicitly agreed otherwise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of an Award Agreement or prohibited by law. Notwithstanding any other provision of an Award Agreement, the Company shall not be required to issue any Common Stock or otherwise settle any Award until such tax withholding obligations and other obligations are satisfied or proper arrangements are made (satisfactory to the Company) to ensure the satisfaction of such tax withholding obligations and other obligations. Unless prohibited by the terms of an Award Agreement, the Company or the Participant’s employer may, in its sole discretion, satisfy any such tax withholding obligation or such other obligations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and selling (or arranging the sale by a broker or other financial intermediary of) such shares on the Participant’s behalf;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anticipated maximum amount of tax required to be withheld by law (or such lesser amount as may be necessary to avoid classification of the Award as a liability for financial accounting purposes) as calculated by the Company in good faith; (iii) withholding cash from an Award settled in cash; (iv) withholding payment from any amounts otherwise payable to the Participant; or</w:t>
      </w:r>
    </w:p>
    <w:p>
      <w:pPr>
        <w:spacing w:after="0" w:line="5" w:lineRule="exact"/>
        <w:rPr>
          <w:rFonts w:ascii="Arial" w:cs="Arial" w:eastAsia="Arial" w:hAnsi="Arial"/>
          <w:sz w:val="16"/>
          <w:szCs w:val="16"/>
          <w:b w:val="1"/>
          <w:bCs w:val="1"/>
          <w:color w:val="auto"/>
        </w:rPr>
      </w:pPr>
    </w:p>
    <w:p>
      <w:pPr>
        <w:ind w:left="264" w:hanging="264"/>
        <w:spacing w:after="0"/>
        <w:tabs>
          <w:tab w:leader="none" w:pos="2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by such other method as may be set forth in the Award Agreement.</w:t>
      </w:r>
    </w:p>
    <w:p>
      <w:pPr>
        <w:spacing w:after="0" w:line="206" w:lineRule="exact"/>
        <w:rPr>
          <w:rFonts w:ascii="Arial" w:cs="Arial" w:eastAsia="Arial" w:hAnsi="Arial"/>
          <w:sz w:val="18"/>
          <w:szCs w:val="18"/>
          <w:color w:val="auto"/>
        </w:rPr>
      </w:pPr>
    </w:p>
    <w:p>
      <w:pPr>
        <w:ind w:left="4" w:right="60" w:firstLine="987"/>
        <w:spacing w:after="0" w:line="266" w:lineRule="auto"/>
        <w:tabs>
          <w:tab w:leader="none" w:pos="121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left="4" w:right="180" w:firstLine="987"/>
        <w:spacing w:after="0" w:line="292" w:lineRule="auto"/>
        <w:tabs>
          <w:tab w:leader="none" w:pos="1220"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rFonts w:ascii="Arial" w:cs="Arial" w:eastAsia="Arial" w:hAnsi="Arial"/>
          <w:sz w:val="16"/>
          <w:szCs w:val="16"/>
          <w:b w:val="1"/>
          <w:bCs w:val="1"/>
          <w:color w:val="auto"/>
        </w:rPr>
      </w:pPr>
    </w:p>
    <w:p>
      <w:pPr>
        <w:ind w:left="4" w:right="220" w:firstLine="987"/>
        <w:spacing w:after="0" w:line="289" w:lineRule="auto"/>
        <w:tabs>
          <w:tab w:leader="none" w:pos="1260"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color w:val="auto"/>
        </w:rPr>
        <w:t>. 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54" w:name="page55"/>
    <w:bookmarkEnd w:id="5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w:t>
      </w:r>
    </w:p>
    <w:p>
      <w:pPr>
        <w:ind w:left="264" w:hanging="264"/>
        <w:spacing w:after="0"/>
        <w:tabs>
          <w:tab w:leader="none" w:pos="2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month period elapses, with the balance paid thereafter on the original schedule.</w:t>
      </w:r>
    </w:p>
    <w:p>
      <w:pPr>
        <w:spacing w:after="0" w:line="206" w:lineRule="exact"/>
        <w:rPr>
          <w:rFonts w:ascii="Arial" w:cs="Arial" w:eastAsia="Arial" w:hAnsi="Arial"/>
          <w:sz w:val="18"/>
          <w:szCs w:val="18"/>
          <w:color w:val="auto"/>
        </w:rPr>
      </w:pPr>
    </w:p>
    <w:p>
      <w:pPr>
        <w:ind w:left="4" w:firstLine="987"/>
        <w:spacing w:after="0" w:line="292" w:lineRule="auto"/>
        <w:tabs>
          <w:tab w:leader="none" w:pos="1210" w:val="left"/>
        </w:tabs>
        <w:numPr>
          <w:ilvl w:val="2"/>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Clawback/Recovery</w:t>
      </w:r>
      <w:r>
        <w:rPr>
          <w:rFonts w:ascii="Arial" w:cs="Arial" w:eastAsia="Arial" w:hAnsi="Arial"/>
          <w:sz w:val="16"/>
          <w:szCs w:val="16"/>
          <w:color w:val="auto"/>
        </w:rPr>
        <w:t>. 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269" w:lineRule="exact"/>
        <w:rPr>
          <w:rFonts w:ascii="Arial" w:cs="Arial" w:eastAsia="Arial" w:hAnsi="Arial"/>
          <w:sz w:val="16"/>
          <w:szCs w:val="16"/>
          <w:b w:val="1"/>
          <w:bCs w:val="1"/>
          <w:color w:val="auto"/>
        </w:rPr>
      </w:pPr>
    </w:p>
    <w:p>
      <w:pPr>
        <w:ind w:left="624" w:hanging="184"/>
        <w:spacing w:after="0"/>
        <w:tabs>
          <w:tab w:leader="none" w:pos="624"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w:t>
      </w:r>
    </w:p>
    <w:p>
      <w:pPr>
        <w:spacing w:after="0" w:line="39" w:lineRule="exact"/>
        <w:rPr>
          <w:sz w:val="20"/>
          <w:szCs w:val="20"/>
          <w:color w:val="auto"/>
        </w:rPr>
      </w:pPr>
    </w:p>
    <w:p>
      <w:pPr>
        <w:ind w:left="4" w:right="20" w:hanging="4"/>
        <w:spacing w:after="0" w:line="253" w:lineRule="auto"/>
        <w:tabs>
          <w:tab w:leader="none" w:pos="2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class(es) and maximum number of securities subject to the Plan pursuant to Section 3(a), (ii) the class(es) and maximum number of securities that may be issued pursuant to the exercise of Incentive Stock Options pursuant to Section 3(c), (iii) the class(es) and number of securities and price per share of Common Stock subject to outstanding Stock Awards, and (iv) and any repurchase price that applies to shares of Common Stock granted under the Plan pursuant to the terms of a Company repurchase right under the applicable Stock Award Agreement. The Board will make such adjustments, and its determination will be final, binding and conclusive.</w:t>
      </w:r>
    </w:p>
    <w:p>
      <w:pPr>
        <w:spacing w:after="0" w:line="186" w:lineRule="exact"/>
        <w:rPr>
          <w:rFonts w:ascii="Arial" w:cs="Arial" w:eastAsia="Arial" w:hAnsi="Arial"/>
          <w:sz w:val="18"/>
          <w:szCs w:val="18"/>
          <w:color w:val="auto"/>
        </w:rPr>
      </w:pPr>
    </w:p>
    <w:p>
      <w:pPr>
        <w:ind w:left="4" w:right="100" w:firstLine="987"/>
        <w:spacing w:after="0" w:line="292" w:lineRule="auto"/>
        <w:tabs>
          <w:tab w:leader="none" w:pos="1260"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w:t>
      </w:r>
      <w:r>
        <w:rPr>
          <w:rFonts w:ascii="Arial" w:cs="Arial" w:eastAsia="Arial" w:hAnsi="Arial"/>
          <w:sz w:val="16"/>
          <w:szCs w:val="16"/>
          <w:color w:val="auto"/>
        </w:rPr>
        <w:t>. Except as otherwise provided in the Stock Award Agreement, in the event of a Dissolution of the Company,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or its designee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61" w:lineRule="exact"/>
        <w:rPr>
          <w:rFonts w:ascii="Arial" w:cs="Arial" w:eastAsia="Arial" w:hAnsi="Arial"/>
          <w:sz w:val="16"/>
          <w:szCs w:val="16"/>
          <w:b w:val="1"/>
          <w:bCs w:val="1"/>
          <w:color w:val="auto"/>
        </w:rPr>
      </w:pPr>
    </w:p>
    <w:p>
      <w:pPr>
        <w:ind w:left="4" w:right="40" w:firstLine="987"/>
        <w:spacing w:after="0" w:line="258" w:lineRule="auto"/>
        <w:tabs>
          <w:tab w:leader="none" w:pos="124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The following provisions will apply to Stock Awards in the event of a Change in Control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Stock Award Agreement or any other written agreement between the Company or any Affiliate and the Participant or unless otherwise expressly provided by the Board at the time of grant of a Stock Award. In the event of a Change in Control, then, notwithstanding any other provision of the Plan, the Board may take one or more of the following actions with respect to Stock Awards, contingent upon the closing or completion of the Change in Control:</w:t>
      </w:r>
    </w:p>
    <w:p>
      <w:pPr>
        <w:spacing w:after="0" w:line="79" w:lineRule="exact"/>
        <w:rPr>
          <w:rFonts w:ascii="Arial" w:cs="Arial" w:eastAsia="Arial" w:hAnsi="Arial"/>
          <w:sz w:val="18"/>
          <w:szCs w:val="18"/>
          <w:b w:val="1"/>
          <w:bCs w:val="1"/>
          <w:color w:val="auto"/>
        </w:rPr>
      </w:pPr>
    </w:p>
    <w:p>
      <w:pPr>
        <w:jc w:val="both"/>
        <w:ind w:left="4" w:right="300" w:firstLine="1428"/>
        <w:spacing w:after="0" w:line="263" w:lineRule="auto"/>
        <w:tabs>
          <w:tab w:leader="none" w:pos="1651" w:val="left"/>
        </w:tabs>
        <w:numPr>
          <w:ilvl w:val="2"/>
          <w:numId w:val="76"/>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Change in Control);</w:t>
      </w:r>
    </w:p>
    <w:p>
      <w:pPr>
        <w:spacing w:after="0" w:line="183" w:lineRule="exact"/>
        <w:rPr>
          <w:rFonts w:ascii="Arial" w:cs="Arial" w:eastAsia="Arial" w:hAnsi="Arial"/>
          <w:sz w:val="18"/>
          <w:szCs w:val="18"/>
          <w:b w:val="1"/>
          <w:bCs w:val="1"/>
          <w:color w:val="auto"/>
        </w:rPr>
      </w:pPr>
    </w:p>
    <w:p>
      <w:pPr>
        <w:ind w:left="4" w:right="260" w:firstLine="1428"/>
        <w:spacing w:after="0" w:line="342" w:lineRule="auto"/>
        <w:tabs>
          <w:tab w:leader="none" w:pos="1701" w:val="left"/>
        </w:tabs>
        <w:numPr>
          <w:ilvl w:val="2"/>
          <w:numId w:val="76"/>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55" w:name="page56"/>
    <w:bookmarkEnd w:id="55"/>
    <w:p>
      <w:pPr>
        <w:ind w:right="60" w:firstLine="1428"/>
        <w:spacing w:after="0" w:line="296" w:lineRule="auto"/>
        <w:tabs>
          <w:tab w:leader="none" w:pos="1747"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accelerate the vesting, in whole or in part, of the Stock Award (and, if applicable, the time at which the Stock Award may be exercised) to a date prior to the effective time of such Change in Control as the Board determines (or, if the Board does not determine such a date, to the date that is five (5) days prior to the effective date of the Change in Control), with such Stock Award terminating if not exercised (if applicable) at or prior to the effective time of the Change in Control; provided, however, that the Board may require Participants to complete and deliver to the Company a notice of exercise before the effective date of a Change in Control, which exercise is contingent upon the effectiveness of such Change in Control;</w:t>
      </w:r>
    </w:p>
    <w:p>
      <w:pPr>
        <w:spacing w:after="0" w:line="161" w:lineRule="exact"/>
        <w:rPr>
          <w:rFonts w:ascii="Arial" w:cs="Arial" w:eastAsia="Arial" w:hAnsi="Arial"/>
          <w:sz w:val="16"/>
          <w:szCs w:val="16"/>
          <w:b w:val="1"/>
          <w:bCs w:val="1"/>
          <w:color w:val="auto"/>
        </w:rPr>
      </w:pPr>
    </w:p>
    <w:p>
      <w:pPr>
        <w:ind w:left="1740" w:hanging="312"/>
        <w:spacing w:after="0"/>
        <w:tabs>
          <w:tab w:leader="none" w:pos="174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arrange for the lapse, in whole or in part, of any reacquisition or repurchase rights held by the Company with respect to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Stock Award;</w:t>
      </w:r>
    </w:p>
    <w:p>
      <w:pPr>
        <w:spacing w:after="0" w:line="210" w:lineRule="exact"/>
        <w:rPr>
          <w:rFonts w:ascii="Arial" w:cs="Arial" w:eastAsia="Arial" w:hAnsi="Arial"/>
          <w:sz w:val="17"/>
          <w:szCs w:val="17"/>
          <w:b w:val="1"/>
          <w:bCs w:val="1"/>
          <w:color w:val="auto"/>
        </w:rPr>
      </w:pPr>
    </w:p>
    <w:p>
      <w:pPr>
        <w:ind w:right="180" w:firstLine="1428"/>
        <w:spacing w:after="0" w:line="308" w:lineRule="auto"/>
        <w:tabs>
          <w:tab w:leader="none" w:pos="1687"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46" w:lineRule="exact"/>
        <w:rPr>
          <w:rFonts w:ascii="Arial" w:cs="Arial" w:eastAsia="Arial" w:hAnsi="Arial"/>
          <w:sz w:val="17"/>
          <w:szCs w:val="17"/>
          <w:b w:val="1"/>
          <w:bCs w:val="1"/>
          <w:color w:val="auto"/>
        </w:rPr>
      </w:pPr>
    </w:p>
    <w:p>
      <w:pPr>
        <w:ind w:firstLine="1428"/>
        <w:spacing w:after="0" w:line="296" w:lineRule="auto"/>
        <w:tabs>
          <w:tab w:leader="none" w:pos="1737"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Change in Control,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shares of Common Stock in connection with the Change in Control is delayed as a result of escrows, earn outs, holdbacks or any other contingencies.</w:t>
      </w:r>
    </w:p>
    <w:p>
      <w:pPr>
        <w:spacing w:after="0" w:line="16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Board needs not take the same action or actions with respect to all Stock Awards or portions thereof or with respect to all Participants. The Board may take different actions with respect to the vested and unvested portions of a Stock Award.</w:t>
      </w:r>
    </w:p>
    <w:p>
      <w:pPr>
        <w:spacing w:after="0" w:line="274" w:lineRule="exact"/>
        <w:rPr>
          <w:sz w:val="20"/>
          <w:szCs w:val="20"/>
          <w:color w:val="auto"/>
        </w:rPr>
      </w:pPr>
    </w:p>
    <w:p>
      <w:pPr>
        <w:ind w:left="700" w:hanging="264"/>
        <w:spacing w:after="0"/>
        <w:tabs>
          <w:tab w:leader="none" w:pos="7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20" w:firstLine="987"/>
        <w:spacing w:after="0" w:line="314" w:lineRule="auto"/>
        <w:tabs>
          <w:tab w:leader="none" w:pos="1246"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automatically terminate on the day before the tenth (10th) anniversary of the earlier of (i) the date the Plan is adopted by the Board, or (ii) the date the Plan is approved by the General Meeting. No Stock Awards may be granted under the Plan while the Plan is suspended or after it is terminated.</w:t>
      </w:r>
    </w:p>
    <w:p>
      <w:pPr>
        <w:spacing w:after="0" w:line="249" w:lineRule="exact"/>
        <w:rPr>
          <w:rFonts w:ascii="Arial" w:cs="Arial" w:eastAsia="Arial" w:hAnsi="Arial"/>
          <w:sz w:val="16"/>
          <w:szCs w:val="16"/>
          <w:b w:val="1"/>
          <w:bCs w:val="1"/>
          <w:color w:val="auto"/>
        </w:rPr>
      </w:pPr>
    </w:p>
    <w:p>
      <w:pPr>
        <w:ind w:left="700" w:hanging="264"/>
        <w:spacing w:after="0"/>
        <w:tabs>
          <w:tab w:leader="none" w:pos="7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will become effective on the Effective Date.</w:t>
      </w:r>
    </w:p>
    <w:p>
      <w:pPr>
        <w:spacing w:after="0" w:line="329" w:lineRule="exact"/>
        <w:rPr>
          <w:sz w:val="20"/>
          <w:szCs w:val="20"/>
          <w:color w:val="auto"/>
        </w:rPr>
      </w:pPr>
    </w:p>
    <w:p>
      <w:pPr>
        <w:ind w:left="700" w:hanging="264"/>
        <w:spacing w:after="0"/>
        <w:tabs>
          <w:tab w:leader="none" w:pos="7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w:t>
      </w:r>
    </w:p>
    <w:p>
      <w:pPr>
        <w:spacing w:after="0" w:line="121"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To the extent that United States federal laws do not otherwise control, this Plan and all determinations made and actions taken pursuant to this Plan shall be governed by New York law, without giving effect to principles of conflicts of laws, and construed accordingly.</w:t>
      </w:r>
    </w:p>
    <w:p>
      <w:pPr>
        <w:spacing w:after="0" w:line="142" w:lineRule="exact"/>
        <w:rPr>
          <w:sz w:val="20"/>
          <w:szCs w:val="20"/>
          <w:color w:val="auto"/>
        </w:rPr>
      </w:pPr>
    </w:p>
    <w:p>
      <w:pPr>
        <w:ind w:left="700" w:hanging="264"/>
        <w:spacing w:after="0"/>
        <w:tabs>
          <w:tab w:leader="none" w:pos="7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117" w:lineRule="exact"/>
        <w:rPr>
          <w:rFonts w:ascii="Arial" w:cs="Arial" w:eastAsia="Arial" w:hAnsi="Arial"/>
          <w:sz w:val="18"/>
          <w:szCs w:val="18"/>
          <w:b w:val="1"/>
          <w:bCs w:val="1"/>
          <w:color w:val="auto"/>
        </w:rPr>
      </w:pPr>
    </w:p>
    <w:p>
      <w:pPr>
        <w:ind w:firstLine="987"/>
        <w:spacing w:after="0" w:line="298" w:lineRule="auto"/>
        <w:tabs>
          <w:tab w:leader="none" w:pos="1246" w:val="left"/>
        </w:tabs>
        <w:numPr>
          <w:ilvl w:val="1"/>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at the time of determination, each of the following: (i) any “parent” of the Company, as such term is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405; (ii) any “subsidiary” of the Company, as such term is defined in Rule 405; and (iii) any other Entity in which the Company or any of its Affiliates has a material equity interest or control relationship unless otherwise designated by the Board. An Entity will be deemed an Affiliate of the Company for purposes of this definition only for such periods as the requisite ownership or control relationship is maintained. The Board will have the authority to determine the time or times at which “parent” or “majority-owned subsidiary” status is determined within the definitions set forth in Rule 405.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56" w:name="page57"/>
    <w:bookmarkEnd w:id="56"/>
    <w:p>
      <w:pPr>
        <w:ind w:firstLine="987"/>
        <w:spacing w:after="0" w:line="314" w:lineRule="auto"/>
        <w:tabs>
          <w:tab w:leader="none" w:pos="1256"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Law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requirements relating to the administration of equity-based awards and the related shares under U.S.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law, U.S. federal and state securities laws, the rules of any stock exchange or quotation system on which the shares are listed or quoted and any other applicable laws, including tax laws, of any U.S. or non-U.S. jurisdictions where Awards are, or will be, granted under the Plan.</w:t>
      </w:r>
    </w:p>
    <w:p>
      <w:pPr>
        <w:spacing w:after="0" w:line="141" w:lineRule="exact"/>
        <w:rPr>
          <w:rFonts w:ascii="Arial" w:cs="Arial" w:eastAsia="Arial" w:hAnsi="Arial"/>
          <w:sz w:val="16"/>
          <w:szCs w:val="16"/>
          <w:b w:val="1"/>
          <w:bCs w:val="1"/>
          <w:color w:val="auto"/>
        </w:rPr>
      </w:pPr>
    </w:p>
    <w:p>
      <w:pPr>
        <w:ind w:left="1240" w:hanging="253"/>
        <w:spacing w:after="0"/>
        <w:tabs>
          <w:tab w:leader="none" w:pos="12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Award or a Performance Cash Award.</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agreement between the Company and a Participant evidencing the terms and conditions of an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06" w:lineRule="exact"/>
        <w:rPr>
          <w:rFonts w:ascii="Arial" w:cs="Arial" w:eastAsia="Arial" w:hAnsi="Arial"/>
          <w:sz w:val="16"/>
          <w:szCs w:val="16"/>
          <w:b w:val="1"/>
          <w:bCs w:val="1"/>
          <w:color w:val="auto"/>
        </w:rPr>
      </w:pPr>
    </w:p>
    <w:p>
      <w:pPr>
        <w:ind w:left="1240" w:hanging="253"/>
        <w:spacing w:after="0"/>
        <w:tabs>
          <w:tab w:leader="none" w:pos="12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b w:val="1"/>
          <w:bCs w:val="1"/>
          <w:color w:val="auto"/>
        </w:rPr>
      </w:pPr>
    </w:p>
    <w:p>
      <w:pPr>
        <w:ind w:right="140" w:firstLine="987"/>
        <w:spacing w:after="0" w:line="255" w:lineRule="auto"/>
        <w:tabs>
          <w:tab w:leader="none" w:pos="121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change that is made in, or other events that occur with respect to, the Common Stock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 or subject to any Stock Award after the Effective Date without the receipt of consideration by the Company through merger, demerger,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8" w:lineRule="exact"/>
        <w:rPr>
          <w:rFonts w:ascii="Arial" w:cs="Arial" w:eastAsia="Arial" w:hAnsi="Arial"/>
          <w:sz w:val="18"/>
          <w:szCs w:val="18"/>
          <w:b w:val="1"/>
          <w:bCs w:val="1"/>
          <w:color w:val="auto"/>
        </w:rPr>
      </w:pPr>
    </w:p>
    <w:p>
      <w:pPr>
        <w:ind w:right="60" w:firstLine="987"/>
        <w:spacing w:after="0" w:line="268" w:lineRule="auto"/>
        <w:tabs>
          <w:tab w:leader="none" w:pos="1246"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Affiliate defining such term and, in the absence of such agreement, such term means, with respect to a Participant, the occurrence of any of the following events: (i) such Participant’s willful failure substantially to perform his or her duties and responsibilities to the Company or the applicable Affiliate(s) or deliberate violation of a Company policy; (ii) such Participant’s commission of any act of fraud, embezzlement, dishonesty, market manipulation, insider trading, the unlawful dissemination of material non-public information or any other gross negligence or willful misconduct that has caused or is reasonably expected to result in material injury to the Company or any of its Affiliates; (iii) unauthorized use or disclosure by such Participant of any proprietary information or trade secrets of the Company, its Affiliates or any other party to whom the Participant owes an obligation of nondisclosure as a result of his or her relationship with the Company or its Affiliates; (iv) such Participant’s willful breach of any of his or her obligations under any written agreement or covenant with the Company or any of its Affiliates; (v) conduct by such Participant which should be considered as an urgent cause within the meaning of Section 7:678 of the Dutch Civil Code, irrespective of whether that provision applies to such Participant’s relationship with the Company and/or any Affiliate. The determination that a termination of the Participant’s Continuous Service is either for Cause or without Cause will be made by the Board, in its sole discretion. Any determination by the Board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4" w:lineRule="exact"/>
        <w:rPr>
          <w:rFonts w:ascii="Arial" w:cs="Arial" w:eastAsia="Arial" w:hAnsi="Arial"/>
          <w:sz w:val="17"/>
          <w:szCs w:val="17"/>
          <w:b w:val="1"/>
          <w:bCs w:val="1"/>
          <w:color w:val="auto"/>
        </w:rPr>
      </w:pPr>
    </w:p>
    <w:p>
      <w:pPr>
        <w:ind w:right="80" w:firstLine="987"/>
        <w:spacing w:after="0" w:line="266" w:lineRule="auto"/>
        <w:tabs>
          <w:tab w:leader="none" w:pos="125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unless otherwise determined by the Board in the applicable Award Agreement or other written agreement with a Participant approved by the Board:</w:t>
      </w:r>
    </w:p>
    <w:p>
      <w:pPr>
        <w:spacing w:after="0" w:line="71" w:lineRule="exact"/>
        <w:rPr>
          <w:rFonts w:ascii="Arial" w:cs="Arial" w:eastAsia="Arial" w:hAnsi="Arial"/>
          <w:sz w:val="18"/>
          <w:szCs w:val="18"/>
          <w:b w:val="1"/>
          <w:bCs w:val="1"/>
          <w:color w:val="auto"/>
        </w:rPr>
      </w:pPr>
    </w:p>
    <w:p>
      <w:pPr>
        <w:jc w:val="both"/>
        <w:ind w:right="240" w:firstLine="1428"/>
        <w:spacing w:after="0" w:line="263" w:lineRule="auto"/>
        <w:tabs>
          <w:tab w:leader="none" w:pos="1647"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demerger, consolidation, business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57" w:name="page58"/>
    <w:bookmarkEnd w:id="5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or (C)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5" w:lineRule="exact"/>
        <w:rPr>
          <w:sz w:val="20"/>
          <w:szCs w:val="20"/>
          <w:color w:val="auto"/>
        </w:rPr>
      </w:pPr>
    </w:p>
    <w:p>
      <w:pPr>
        <w:ind w:left="4" w:right="20" w:firstLine="1428"/>
        <w:spacing w:after="0" w:line="286" w:lineRule="auto"/>
        <w:tabs>
          <w:tab w:leader="none" w:pos="1701" w:val="left"/>
        </w:tabs>
        <w:numPr>
          <w:ilvl w:val="1"/>
          <w:numId w:val="82"/>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demerger, consolidation, business combination or similar transaction involving (directly or indirectly) the Company and, immediately after the consummation of such merger, demerger, consolidation, business combination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w:t>
      </w:r>
    </w:p>
    <w:p>
      <w:pPr>
        <w:spacing w:after="0" w:line="1" w:lineRule="exact"/>
        <w:rPr>
          <w:rFonts w:ascii="Arial" w:cs="Arial" w:eastAsia="Arial" w:hAnsi="Arial"/>
          <w:sz w:val="16"/>
          <w:szCs w:val="16"/>
          <w:b w:val="1"/>
          <w:bCs w:val="1"/>
          <w:color w:val="auto"/>
        </w:rPr>
      </w:pPr>
    </w:p>
    <w:p>
      <w:pPr>
        <w:ind w:left="4" w:right="500" w:hanging="4"/>
        <w:spacing w:after="0" w:line="255" w:lineRule="auto"/>
        <w:tabs>
          <w:tab w:leader="none" w:pos="289"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9" w:lineRule="exact"/>
        <w:rPr>
          <w:rFonts w:ascii="Arial" w:cs="Arial" w:eastAsia="Arial" w:hAnsi="Arial"/>
          <w:sz w:val="18"/>
          <w:szCs w:val="18"/>
          <w:color w:val="auto"/>
        </w:rPr>
      </w:pPr>
    </w:p>
    <w:p>
      <w:pPr>
        <w:ind w:left="4" w:right="80" w:firstLine="1428"/>
        <w:spacing w:after="0" w:line="257" w:lineRule="auto"/>
        <w:tabs>
          <w:tab w:leader="none" w:pos="1751"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w:t>
      </w:r>
    </w:p>
    <w:p>
      <w:pPr>
        <w:spacing w:after="0" w:line="187" w:lineRule="exact"/>
        <w:rPr>
          <w:rFonts w:ascii="Arial" w:cs="Arial" w:eastAsia="Arial" w:hAnsi="Arial"/>
          <w:sz w:val="18"/>
          <w:szCs w:val="18"/>
          <w:b w:val="1"/>
          <w:bCs w:val="1"/>
          <w:color w:val="auto"/>
        </w:rPr>
      </w:pPr>
    </w:p>
    <w:p>
      <w:pPr>
        <w:ind w:left="4" w:right="100" w:firstLine="1428"/>
        <w:spacing w:after="0" w:line="301" w:lineRule="auto"/>
        <w:tabs>
          <w:tab w:leader="none" w:pos="1741"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there is a sale of all or substantially all of the Company’s assets, or a merger, demerger, consolidation or other capital reorganization or business combination transaction of the Company with or into another Entity or person, or the direct or indirect acquisition (including by way of a tender or exchange offer) by any Entity or person, or Entities or persons acting as a group, of beneficial ownership or a right to acquire beneficial ownership of shares representing a majority of the voting power of the then outstanding shares of capital stock of the Company; or</w:t>
      </w:r>
    </w:p>
    <w:p>
      <w:pPr>
        <w:spacing w:after="0" w:line="157" w:lineRule="exact"/>
        <w:rPr>
          <w:rFonts w:ascii="Arial" w:cs="Arial" w:eastAsia="Arial" w:hAnsi="Arial"/>
          <w:sz w:val="16"/>
          <w:szCs w:val="16"/>
          <w:b w:val="1"/>
          <w:bCs w:val="1"/>
          <w:color w:val="auto"/>
        </w:rPr>
      </w:pPr>
    </w:p>
    <w:p>
      <w:pPr>
        <w:ind w:left="4" w:right="60" w:firstLine="1428"/>
        <w:spacing w:after="0" w:line="259" w:lineRule="auto"/>
        <w:tabs>
          <w:tab w:leader="none" w:pos="1691"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individuals who, on the Effective Date,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Notwithstanding the foregoing definition or any other provision of the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58" w:name="page59"/>
    <w:bookmarkEnd w:id="58"/>
    <w:p>
      <w:pPr>
        <w:ind w:left="1200" w:hanging="213"/>
        <w:spacing w:after="0"/>
        <w:tabs>
          <w:tab w:leader="none" w:pos="12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left="1220" w:hanging="233"/>
        <w:spacing w:after="0"/>
        <w:tabs>
          <w:tab w:leader="none" w:pos="122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two (2) or more Directors to whom authority has been delegated by the Board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2(c).</w:t>
      </w:r>
    </w:p>
    <w:p>
      <w:pPr>
        <w:spacing w:after="0" w:line="207" w:lineRule="exact"/>
        <w:rPr>
          <w:sz w:val="20"/>
          <w:szCs w:val="20"/>
          <w:color w:val="auto"/>
        </w:rPr>
      </w:pPr>
    </w:p>
    <w:p>
      <w:pPr>
        <w:ind w:right="100" w:firstLine="987"/>
        <w:spacing w:after="0" w:line="266" w:lineRule="auto"/>
        <w:tabs>
          <w:tab w:leader="none" w:pos="125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ordinary shares of the Company or depository receipts issued for such shares by a Dutch foundation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solely for that reason that will hold and administer shares underlying such depository receipts in accordance with the trust conditions to be determined by the Board from time to time.</w:t>
      </w:r>
    </w:p>
    <w:p>
      <w:pPr>
        <w:spacing w:after="0" w:line="175" w:lineRule="exact"/>
        <w:rPr>
          <w:rFonts w:ascii="Arial" w:cs="Arial" w:eastAsia="Arial" w:hAnsi="Arial"/>
          <w:sz w:val="18"/>
          <w:szCs w:val="18"/>
          <w:b w:val="1"/>
          <w:bCs w:val="1"/>
          <w:color w:val="auto"/>
        </w:rPr>
      </w:pPr>
    </w:p>
    <w:p>
      <w:pPr>
        <w:ind w:right="80" w:firstLine="987"/>
        <w:spacing w:after="0" w:line="347" w:lineRule="auto"/>
        <w:tabs>
          <w:tab w:leader="none" w:pos="1206"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Pharvaris N.V., a public limited liability company incorporated under the laws of the Netherlands, or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to all or substantially all of its businesses by merger, demerger, amalgamation, consolidation, conversion, purchase of assets, or otherwise.</w:t>
      </w:r>
    </w:p>
    <w:p>
      <w:pPr>
        <w:spacing w:after="0" w:line="115" w:lineRule="exact"/>
        <w:rPr>
          <w:rFonts w:ascii="Arial" w:cs="Arial" w:eastAsia="Arial" w:hAnsi="Arial"/>
          <w:sz w:val="16"/>
          <w:szCs w:val="16"/>
          <w:b w:val="1"/>
          <w:bCs w:val="1"/>
          <w:color w:val="auto"/>
        </w:rPr>
      </w:pPr>
    </w:p>
    <w:p>
      <w:pPr>
        <w:ind w:right="80" w:firstLine="987"/>
        <w:spacing w:after="0" w:line="258" w:lineRule="auto"/>
        <w:tabs>
          <w:tab w:leader="none" w:pos="130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engaged by the Company or an Affiliate to render consulting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services and is compensated for such services and who is not an Employee.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3" w:lineRule="exact"/>
        <w:rPr>
          <w:rFonts w:ascii="Arial" w:cs="Arial" w:eastAsia="Arial" w:hAnsi="Arial"/>
          <w:sz w:val="18"/>
          <w:szCs w:val="18"/>
          <w:b w:val="1"/>
          <w:bCs w:val="1"/>
          <w:color w:val="auto"/>
        </w:rPr>
      </w:pPr>
    </w:p>
    <w:p>
      <w:pPr>
        <w:ind w:firstLine="987"/>
        <w:spacing w:after="0" w:line="269" w:lineRule="auto"/>
        <w:tabs>
          <w:tab w:leader="none" w:pos="1256"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that the Participant’s service with the Company or an Affiliate, whether as an Employee,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maternity or paternity leave, military leave or any other personal leave, or (ii) transfers between the Company, an Affiliate, or their successors. Notwithstanding the foregoing, a leave of absence will be treated as Continuous Service for purposes of vesting of an Award only to such extent as may be provided in the Company’s leave of absence policy, in the written terms of any leave of absence agreement or policy applicable to the Participant, or as otherwise approved by the Board or required by law.</w:t>
      </w:r>
    </w:p>
    <w:p>
      <w:pPr>
        <w:spacing w:after="0" w:line="175" w:lineRule="exact"/>
        <w:rPr>
          <w:rFonts w:ascii="Arial" w:cs="Arial" w:eastAsia="Arial" w:hAnsi="Arial"/>
          <w:sz w:val="17"/>
          <w:szCs w:val="17"/>
          <w:b w:val="1"/>
          <w:bCs w:val="1"/>
          <w:color w:val="auto"/>
        </w:rPr>
      </w:pPr>
    </w:p>
    <w:p>
      <w:pPr>
        <w:ind w:right="20" w:firstLine="987"/>
        <w:spacing w:after="0" w:line="282" w:lineRule="auto"/>
        <w:tabs>
          <w:tab w:leader="none" w:pos="124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means the date on which the Board decides to grant an Award, or such later effective date applicable to such Award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determined by the Board.</w:t>
      </w:r>
    </w:p>
    <w:p>
      <w:pPr>
        <w:spacing w:after="0" w:line="161" w:lineRule="exact"/>
        <w:rPr>
          <w:rFonts w:ascii="Arial" w:cs="Arial" w:eastAsia="Arial" w:hAnsi="Arial"/>
          <w:sz w:val="18"/>
          <w:szCs w:val="18"/>
          <w:b w:val="1"/>
          <w:bCs w:val="1"/>
          <w:color w:val="auto"/>
        </w:rPr>
      </w:pPr>
    </w:p>
    <w:p>
      <w:pPr>
        <w:ind w:left="1260" w:hanging="273"/>
        <w:spacing w:after="0"/>
        <w:tabs>
          <w:tab w:leader="none" w:pos="12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right="20" w:firstLine="987"/>
        <w:spacing w:after="0" w:line="281" w:lineRule="auto"/>
        <w:tabs>
          <w:tab w:leader="none" w:pos="1256"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with respect to a Participant, the inability of such Participant to engage in any substantial gainful activity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59" w:name="page60"/>
    <w:bookmarkEnd w:id="59"/>
    <w:p>
      <w:pPr>
        <w:ind w:left="1240" w:hanging="253"/>
        <w:spacing w:after="0"/>
        <w:tabs>
          <w:tab w:leader="none" w:pos="12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Dissolution”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when the Company has completely wound up its affairs and dissolved in accordance with Applicable Law.</w:t>
      </w:r>
    </w:p>
    <w:p>
      <w:pPr>
        <w:spacing w:after="0" w:line="236" w:lineRule="exact"/>
        <w:rPr>
          <w:rFonts w:ascii="Arial" w:cs="Arial" w:eastAsia="Arial" w:hAnsi="Arial"/>
          <w:sz w:val="17"/>
          <w:szCs w:val="17"/>
          <w:b w:val="1"/>
          <w:bCs w:val="1"/>
          <w:color w:val="auto"/>
        </w:rPr>
      </w:pPr>
    </w:p>
    <w:p>
      <w:pPr>
        <w:ind w:left="1220" w:hanging="233"/>
        <w:spacing w:after="0"/>
        <w:tabs>
          <w:tab w:leader="none" w:pos="12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of conversion of the Company into a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right="60" w:firstLine="987"/>
        <w:spacing w:after="0" w:line="266" w:lineRule="auto"/>
        <w:tabs>
          <w:tab w:leader="none" w:pos="121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(i) employed by the Company or an Affiliate or (ii) serving as a member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board or supervisory board of an Affiliate and is compensated for such services. However, service solely as a Director, or payment of a fee for such services, will not cause a Director to be considered an “Employee” for purposes of the Plan.</w:t>
      </w:r>
    </w:p>
    <w:p>
      <w:pPr>
        <w:spacing w:after="0" w:line="17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Securities Exchange Act of 1934, as amended, and the rules and regulations promulgated thereunder.</w:t>
      </w:r>
    </w:p>
    <w:p>
      <w:pPr>
        <w:spacing w:after="0" w:line="248" w:lineRule="exact"/>
        <w:rPr>
          <w:rFonts w:ascii="Arial" w:cs="Arial" w:eastAsia="Arial" w:hAnsi="Arial"/>
          <w:sz w:val="16"/>
          <w:szCs w:val="16"/>
          <w:b w:val="1"/>
          <w:bCs w:val="1"/>
          <w:color w:val="auto"/>
        </w:rPr>
      </w:pPr>
    </w:p>
    <w:p>
      <w:pPr>
        <w:ind w:right="120" w:firstLine="987"/>
        <w:spacing w:after="0" w:line="254" w:lineRule="auto"/>
        <w:tabs>
          <w:tab w:leader="none" w:pos="128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natural person, Entity or “group” (within the meaning of Section 13(d) or 14(d)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shareholders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1240" w:hanging="253"/>
        <w:spacing w:after="0"/>
        <w:tabs>
          <w:tab w:leader="none" w:pos="12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any date, the value of the Common Stock determined as follows:</w:t>
      </w:r>
    </w:p>
    <w:p>
      <w:pPr>
        <w:spacing w:after="0" w:line="121" w:lineRule="exact"/>
        <w:rPr>
          <w:rFonts w:ascii="Arial" w:cs="Arial" w:eastAsia="Arial" w:hAnsi="Arial"/>
          <w:sz w:val="18"/>
          <w:szCs w:val="18"/>
          <w:b w:val="1"/>
          <w:bCs w:val="1"/>
          <w:color w:val="auto"/>
        </w:rPr>
      </w:pPr>
    </w:p>
    <w:p>
      <w:pPr>
        <w:jc w:val="both"/>
        <w:ind w:right="20" w:firstLine="1428"/>
        <w:spacing w:after="0" w:line="259" w:lineRule="auto"/>
        <w:tabs>
          <w:tab w:leader="none" w:pos="164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for as long as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6" w:lineRule="exact"/>
        <w:rPr>
          <w:rFonts w:ascii="Arial" w:cs="Arial" w:eastAsia="Arial" w:hAnsi="Arial"/>
          <w:sz w:val="18"/>
          <w:szCs w:val="18"/>
          <w:b w:val="1"/>
          <w:bCs w:val="1"/>
          <w:color w:val="auto"/>
        </w:rPr>
      </w:pPr>
    </w:p>
    <w:p>
      <w:pPr>
        <w:ind w:right="280" w:firstLine="1428"/>
        <w:spacing w:after="0" w:line="277" w:lineRule="auto"/>
        <w:tabs>
          <w:tab w:leader="none" w:pos="169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 or</w:t>
      </w:r>
    </w:p>
    <w:p>
      <w:pPr>
        <w:spacing w:after="0" w:line="170" w:lineRule="exact"/>
        <w:rPr>
          <w:rFonts w:ascii="Arial" w:cs="Arial" w:eastAsia="Arial" w:hAnsi="Arial"/>
          <w:sz w:val="18"/>
          <w:szCs w:val="18"/>
          <w:b w:val="1"/>
          <w:bCs w:val="1"/>
          <w:color w:val="auto"/>
        </w:rPr>
      </w:pPr>
    </w:p>
    <w:p>
      <w:pPr>
        <w:ind w:right="60" w:firstLine="1428"/>
        <w:spacing w:after="0" w:line="277" w:lineRule="auto"/>
        <w:tabs>
          <w:tab w:leader="none" w:pos="174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66" w:lineRule="exact"/>
        <w:rPr>
          <w:rFonts w:ascii="Arial" w:cs="Arial" w:eastAsia="Arial" w:hAnsi="Arial"/>
          <w:sz w:val="18"/>
          <w:szCs w:val="18"/>
          <w:b w:val="1"/>
          <w:bCs w:val="1"/>
          <w:color w:val="auto"/>
        </w:rPr>
      </w:pPr>
    </w:p>
    <w:p>
      <w:pPr>
        <w:ind w:left="1240" w:hanging="253"/>
        <w:spacing w:after="0"/>
        <w:tabs>
          <w:tab w:leader="none" w:pos="12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General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general meeting of the Company.</w:t>
      </w:r>
    </w:p>
    <w:p>
      <w:pPr>
        <w:spacing w:after="0" w:line="225" w:lineRule="exact"/>
        <w:rPr>
          <w:rFonts w:ascii="Arial" w:cs="Arial" w:eastAsia="Arial" w:hAnsi="Arial"/>
          <w:sz w:val="18"/>
          <w:szCs w:val="18"/>
          <w:b w:val="1"/>
          <w:bCs w:val="1"/>
          <w:color w:val="auto"/>
        </w:rPr>
      </w:pPr>
    </w:p>
    <w:p>
      <w:pPr>
        <w:ind w:firstLine="987"/>
        <w:spacing w:after="0" w:line="282" w:lineRule="auto"/>
        <w:tabs>
          <w:tab w:leader="none" w:pos="123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for shares of Common Stock granted pursuant to Section 5 of the Plan that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qualifies as, an “incentive stock option” within the meaning of Section 422 of the Code.</w:t>
      </w:r>
    </w:p>
    <w:p>
      <w:pPr>
        <w:spacing w:after="0" w:line="162" w:lineRule="exact"/>
        <w:rPr>
          <w:sz w:val="20"/>
          <w:szCs w:val="20"/>
          <w:color w:val="auto"/>
        </w:rPr>
      </w:pPr>
    </w:p>
    <w:p>
      <w:pPr>
        <w:ind w:firstLine="987"/>
        <w:spacing w:after="0" w:line="256" w:lineRule="auto"/>
        <w:tabs>
          <w:tab w:leader="none" w:pos="133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Director who either (i) is not a current Employee, does not receive compensation, either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60" w:name="page61"/>
    <w:bookmarkEnd w:id="60"/>
    <w:p>
      <w:pPr>
        <w:ind w:right="120" w:firstLine="987"/>
        <w:spacing w:after="0" w:line="282" w:lineRule="auto"/>
        <w:tabs>
          <w:tab w:leader="none" w:pos="13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option for shares of Common Stock granted pursuant to Section 5 of the Plan that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as an Incentive Stock Option.</w:t>
      </w:r>
    </w:p>
    <w:p>
      <w:pPr>
        <w:spacing w:after="0" w:line="161" w:lineRule="exact"/>
        <w:rPr>
          <w:rFonts w:ascii="Arial" w:cs="Arial" w:eastAsia="Arial" w:hAnsi="Arial"/>
          <w:sz w:val="18"/>
          <w:szCs w:val="18"/>
          <w:b w:val="1"/>
          <w:bCs w:val="1"/>
          <w:color w:val="auto"/>
        </w:rPr>
      </w:pPr>
    </w:p>
    <w:p>
      <w:pPr>
        <w:ind w:left="1320" w:hanging="333"/>
        <w:spacing w:after="0"/>
        <w:tabs>
          <w:tab w:leader="none" w:pos="1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a Nonstatutory Stock Option, as applicable.</w:t>
      </w:r>
    </w:p>
    <w:p>
      <w:pPr>
        <w:spacing w:after="0" w:line="225" w:lineRule="exact"/>
        <w:rPr>
          <w:rFonts w:ascii="Arial" w:cs="Arial" w:eastAsia="Arial" w:hAnsi="Arial"/>
          <w:sz w:val="18"/>
          <w:szCs w:val="18"/>
          <w:b w:val="1"/>
          <w:bCs w:val="1"/>
          <w:color w:val="auto"/>
        </w:rPr>
      </w:pPr>
    </w:p>
    <w:p>
      <w:pPr>
        <w:ind w:right="140" w:firstLine="987"/>
        <w:spacing w:after="0" w:line="282" w:lineRule="auto"/>
        <w:tabs>
          <w:tab w:leader="none" w:pos="131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an Optionholder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 Each Option Agreement will be subject to the terms and conditions of the Plan.</w:t>
      </w:r>
    </w:p>
    <w:p>
      <w:pPr>
        <w:spacing w:after="0" w:line="161" w:lineRule="exact"/>
        <w:rPr>
          <w:rFonts w:ascii="Arial" w:cs="Arial" w:eastAsia="Arial" w:hAnsi="Arial"/>
          <w:sz w:val="18"/>
          <w:szCs w:val="18"/>
          <w:b w:val="1"/>
          <w:bCs w:val="1"/>
          <w:color w:val="auto"/>
        </w:rPr>
      </w:pPr>
    </w:p>
    <w:p>
      <w:pPr>
        <w:ind w:right="200" w:firstLine="987"/>
        <w:spacing w:after="0" w:line="282" w:lineRule="auto"/>
        <w:tabs>
          <w:tab w:leader="none" w:pos="127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1" w:lineRule="exact"/>
        <w:rPr>
          <w:rFonts w:ascii="Arial" w:cs="Arial" w:eastAsia="Arial" w:hAnsi="Arial"/>
          <w:sz w:val="18"/>
          <w:szCs w:val="18"/>
          <w:b w:val="1"/>
          <w:bCs w:val="1"/>
          <w:color w:val="auto"/>
        </w:rPr>
      </w:pPr>
    </w:p>
    <w:p>
      <w:pPr>
        <w:ind w:right="160" w:firstLine="987"/>
        <w:spacing w:after="0" w:line="282" w:lineRule="auto"/>
        <w:tabs>
          <w:tab w:leader="none" w:pos="133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6(c) and which is not a Performance Stock Award or a Performance Cash Award.</w:t>
      </w:r>
    </w:p>
    <w:p>
      <w:pPr>
        <w:spacing w:after="0" w:line="161" w:lineRule="exact"/>
        <w:rPr>
          <w:rFonts w:ascii="Arial" w:cs="Arial" w:eastAsia="Arial" w:hAnsi="Arial"/>
          <w:sz w:val="18"/>
          <w:szCs w:val="18"/>
          <w:b w:val="1"/>
          <w:bCs w:val="1"/>
          <w:color w:val="auto"/>
        </w:rPr>
      </w:pPr>
    </w:p>
    <w:p>
      <w:pPr>
        <w:jc w:val="both"/>
        <w:ind w:firstLine="987"/>
        <w:spacing w:after="0" w:line="289" w:lineRule="auto"/>
        <w:tabs>
          <w:tab w:leader="none" w:pos="1356"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Own</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 person or Entity will be deemed to “Own,” to have “Owned,” to be the “Owner” of, or</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7" w:lineRule="exact"/>
        <w:rPr>
          <w:rFonts w:ascii="Arial" w:cs="Arial" w:eastAsia="Arial" w:hAnsi="Arial"/>
          <w:sz w:val="17"/>
          <w:szCs w:val="17"/>
          <w:b w:val="1"/>
          <w:bCs w:val="1"/>
          <w:color w:val="auto"/>
        </w:rPr>
      </w:pPr>
    </w:p>
    <w:p>
      <w:pPr>
        <w:ind w:right="400" w:firstLine="987"/>
        <w:spacing w:after="0" w:line="282" w:lineRule="auto"/>
        <w:tabs>
          <w:tab w:leader="none" w:pos="12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Award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w:t>
      </w:r>
    </w:p>
    <w:p>
      <w:pPr>
        <w:spacing w:after="0" w:line="161" w:lineRule="exact"/>
        <w:rPr>
          <w:rFonts w:ascii="Arial" w:cs="Arial" w:eastAsia="Arial" w:hAnsi="Arial"/>
          <w:sz w:val="18"/>
          <w:szCs w:val="18"/>
          <w:b w:val="1"/>
          <w:bCs w:val="1"/>
          <w:color w:val="auto"/>
        </w:rPr>
      </w:pPr>
    </w:p>
    <w:p>
      <w:pPr>
        <w:ind w:left="1280" w:hanging="293"/>
        <w:spacing w:after="0"/>
        <w:tabs>
          <w:tab w:leader="none" w:pos="12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cash granted pursuant to the terms and conditions of Section 6(c)(ii).</w:t>
      </w:r>
    </w:p>
    <w:p>
      <w:pPr>
        <w:spacing w:after="0" w:line="225" w:lineRule="exact"/>
        <w:rPr>
          <w:rFonts w:ascii="Arial" w:cs="Arial" w:eastAsia="Arial" w:hAnsi="Arial"/>
          <w:sz w:val="18"/>
          <w:szCs w:val="18"/>
          <w:b w:val="1"/>
          <w:bCs w:val="1"/>
          <w:color w:val="auto"/>
        </w:rPr>
      </w:pPr>
    </w:p>
    <w:p>
      <w:pPr>
        <w:ind w:right="740" w:firstLine="987"/>
        <w:spacing w:after="0" w:line="282" w:lineRule="auto"/>
        <w:tabs>
          <w:tab w:leader="none" w:pos="13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or goals as the Board may establish for purposes of establishing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a Performance Period, as determined by the Board.</w:t>
      </w:r>
    </w:p>
    <w:p>
      <w:pPr>
        <w:spacing w:after="0" w:line="161" w:lineRule="exact"/>
        <w:rPr>
          <w:rFonts w:ascii="Arial" w:cs="Arial" w:eastAsia="Arial" w:hAnsi="Arial"/>
          <w:sz w:val="18"/>
          <w:szCs w:val="18"/>
          <w:b w:val="1"/>
          <w:bCs w:val="1"/>
          <w:color w:val="auto"/>
        </w:rPr>
      </w:pPr>
    </w:p>
    <w:p>
      <w:pPr>
        <w:ind w:right="240" w:firstLine="987"/>
        <w:spacing w:after="0" w:line="282" w:lineRule="auto"/>
        <w:tabs>
          <w:tab w:leader="none" w:pos="12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means, for a Performance Period, the one or more goals established by the Board for the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upon the Performance Criteria.</w:t>
      </w:r>
    </w:p>
    <w:p>
      <w:pPr>
        <w:spacing w:after="0" w:line="161" w:lineRule="exact"/>
        <w:rPr>
          <w:rFonts w:ascii="Arial" w:cs="Arial" w:eastAsia="Arial" w:hAnsi="Arial"/>
          <w:sz w:val="18"/>
          <w:szCs w:val="18"/>
          <w:b w:val="1"/>
          <w:bCs w:val="1"/>
          <w:color w:val="auto"/>
        </w:rPr>
      </w:pPr>
    </w:p>
    <w:p>
      <w:pPr>
        <w:ind w:right="440" w:firstLine="987"/>
        <w:spacing w:after="0" w:line="266" w:lineRule="auto"/>
        <w:tabs>
          <w:tab w:leader="none" w:pos="14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of time selected by the Board over which the attainment of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will be measured for the purpose of determining a Participant’s right to and the payment of a Stock Award or a Performance Cash Award. Performance Periods may be of varying and overlapping duration, at the sole discretion of the Board.</w:t>
      </w:r>
    </w:p>
    <w:p>
      <w:pPr>
        <w:spacing w:after="0" w:line="17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under the terms and conditions of Section 6(c)(i).</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Pharvaris N.V. 2021 Equity Incentive Plan.</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61" w:name="page62"/>
    <w:bookmarkEnd w:id="61"/>
    <w:p>
      <w:pPr>
        <w:ind w:right="280" w:firstLine="987"/>
        <w:spacing w:after="0" w:line="266" w:lineRule="auto"/>
        <w:tabs>
          <w:tab w:leader="none" w:pos="135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5" w:lineRule="exact"/>
        <w:rPr>
          <w:rFonts w:ascii="Arial" w:cs="Arial" w:eastAsia="Arial" w:hAnsi="Arial"/>
          <w:sz w:val="18"/>
          <w:szCs w:val="18"/>
          <w:b w:val="1"/>
          <w:bCs w:val="1"/>
          <w:color w:val="auto"/>
        </w:rPr>
      </w:pPr>
    </w:p>
    <w:p>
      <w:pPr>
        <w:ind w:right="700" w:firstLine="987"/>
        <w:spacing w:after="0" w:line="282" w:lineRule="auto"/>
        <w:tabs>
          <w:tab w:leader="none" w:pos="131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to receive shares of Common Stock which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6(b).</w:t>
      </w:r>
    </w:p>
    <w:p>
      <w:pPr>
        <w:spacing w:after="0" w:line="161" w:lineRule="exact"/>
        <w:rPr>
          <w:rFonts w:ascii="Arial" w:cs="Arial" w:eastAsia="Arial" w:hAnsi="Arial"/>
          <w:sz w:val="18"/>
          <w:szCs w:val="18"/>
          <w:b w:val="1"/>
          <w:bCs w:val="1"/>
          <w:color w:val="auto"/>
        </w:rPr>
      </w:pPr>
    </w:p>
    <w:p>
      <w:pPr>
        <w:jc w:val="both"/>
        <w:ind w:right="100" w:firstLine="987"/>
        <w:spacing w:after="0" w:line="289" w:lineRule="auto"/>
        <w:tabs>
          <w:tab w:leader="none" w:pos="1296"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Restricted Stock Unit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written agreement between the Company and a holder of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evidencing the terms and conditions of a Restricted Stock Unit Award grant. Each Restricted Stock Unit Award Agreement will be subject to the terms and conditions of the Plan.</w:t>
      </w:r>
    </w:p>
    <w:p>
      <w:pPr>
        <w:spacing w:after="0" w:line="157" w:lineRule="exact"/>
        <w:rPr>
          <w:rFonts w:ascii="Arial" w:cs="Arial" w:eastAsia="Arial" w:hAnsi="Arial"/>
          <w:sz w:val="17"/>
          <w:szCs w:val="17"/>
          <w:b w:val="1"/>
          <w:bCs w:val="1"/>
          <w:color w:val="auto"/>
        </w:rPr>
      </w:pPr>
    </w:p>
    <w:p>
      <w:pPr>
        <w:ind w:left="1280" w:hanging="293"/>
        <w:spacing w:after="0"/>
        <w:tabs>
          <w:tab w:leader="none" w:pos="128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or any successor to Rule 16b-3, as in effect from time to time.</w:t>
      </w:r>
    </w:p>
    <w:p>
      <w:pPr>
        <w:spacing w:after="0" w:line="248" w:lineRule="exact"/>
        <w:rPr>
          <w:rFonts w:ascii="Arial" w:cs="Arial" w:eastAsia="Arial" w:hAnsi="Arial"/>
          <w:sz w:val="16"/>
          <w:szCs w:val="16"/>
          <w:b w:val="1"/>
          <w:bCs w:val="1"/>
          <w:color w:val="auto"/>
        </w:rPr>
      </w:pPr>
    </w:p>
    <w:p>
      <w:pPr>
        <w:ind w:left="1360" w:hanging="373"/>
        <w:spacing w:after="0"/>
        <w:tabs>
          <w:tab w:leader="none" w:pos="13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405 promulgated under the Securities Act.</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b w:val="1"/>
          <w:bCs w:val="1"/>
          <w:color w:val="auto"/>
        </w:rPr>
      </w:pPr>
    </w:p>
    <w:p>
      <w:pPr>
        <w:ind w:right="260" w:firstLine="987"/>
        <w:spacing w:after="0" w:line="282" w:lineRule="auto"/>
        <w:tabs>
          <w:tab w:leader="none" w:pos="141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5.</w:t>
      </w:r>
    </w:p>
    <w:p>
      <w:pPr>
        <w:spacing w:after="0" w:line="161" w:lineRule="exact"/>
        <w:rPr>
          <w:rFonts w:ascii="Arial" w:cs="Arial" w:eastAsia="Arial" w:hAnsi="Arial"/>
          <w:sz w:val="18"/>
          <w:szCs w:val="18"/>
          <w:b w:val="1"/>
          <w:bCs w:val="1"/>
          <w:color w:val="auto"/>
        </w:rPr>
      </w:pPr>
    </w:p>
    <w:p>
      <w:pPr>
        <w:ind w:firstLine="987"/>
        <w:spacing w:after="0" w:line="266" w:lineRule="auto"/>
        <w:tabs>
          <w:tab w:leader="none" w:pos="133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5" w:lineRule="exact"/>
        <w:rPr>
          <w:rFonts w:ascii="Arial" w:cs="Arial" w:eastAsia="Arial" w:hAnsi="Arial"/>
          <w:sz w:val="18"/>
          <w:szCs w:val="18"/>
          <w:b w:val="1"/>
          <w:bCs w:val="1"/>
          <w:color w:val="auto"/>
        </w:rPr>
      </w:pPr>
    </w:p>
    <w:p>
      <w:pPr>
        <w:ind w:right="360" w:firstLine="987"/>
        <w:spacing w:after="0" w:line="266" w:lineRule="auto"/>
        <w:tabs>
          <w:tab w:leader="none" w:pos="133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right to receive Common Stock granted under the Plan, including an Incentive Stock Option, a</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 a Restricted Stock Award, a Restricted Stock Unit Award, a Stock Appreciation Right, a Performance Stock Award, any Other Stock Award, or a combination of the foregoing.</w:t>
      </w:r>
    </w:p>
    <w:p>
      <w:pPr>
        <w:spacing w:after="0" w:line="175" w:lineRule="exact"/>
        <w:rPr>
          <w:rFonts w:ascii="Arial" w:cs="Arial" w:eastAsia="Arial" w:hAnsi="Arial"/>
          <w:sz w:val="18"/>
          <w:szCs w:val="18"/>
          <w:b w:val="1"/>
          <w:bCs w:val="1"/>
          <w:color w:val="auto"/>
        </w:rPr>
      </w:pPr>
    </w:p>
    <w:p>
      <w:pPr>
        <w:ind w:firstLine="987"/>
        <w:spacing w:after="0" w:line="282" w:lineRule="auto"/>
        <w:tabs>
          <w:tab w:leader="none" w:pos="131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Participant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Award grant. Each Stock Award Agreement will be subject to the terms and conditions of the Plan.</w:t>
      </w:r>
    </w:p>
    <w:p>
      <w:pPr>
        <w:spacing w:after="0" w:line="162" w:lineRule="exact"/>
        <w:rPr>
          <w:sz w:val="20"/>
          <w:szCs w:val="20"/>
          <w:color w:val="auto"/>
        </w:rPr>
      </w:pPr>
    </w:p>
    <w:p>
      <w:pPr>
        <w:ind w:right="60" w:firstLine="987"/>
        <w:spacing w:after="0" w:line="258" w:lineRule="auto"/>
        <w:tabs>
          <w:tab w:leader="none" w:pos="1426"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Company, (i) any corporation of which more than fifty percent (50%)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Entity in which the Company has a direct or indirect interest (whether in the form of voting or participation in profits or capital contribution) of more than fifty percent (50%) .</w:t>
      </w:r>
    </w:p>
    <w:p>
      <w:pPr>
        <w:spacing w:after="0" w:line="183" w:lineRule="exact"/>
        <w:rPr>
          <w:rFonts w:ascii="Arial" w:cs="Arial" w:eastAsia="Arial" w:hAnsi="Arial"/>
          <w:sz w:val="18"/>
          <w:szCs w:val="18"/>
          <w:b w:val="1"/>
          <w:bCs w:val="1"/>
          <w:color w:val="auto"/>
        </w:rPr>
      </w:pPr>
    </w:p>
    <w:p>
      <w:pPr>
        <w:ind w:right="540" w:firstLine="987"/>
        <w:spacing w:after="0" w:line="312" w:lineRule="auto"/>
        <w:tabs>
          <w:tab w:leader="none" w:pos="1456"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Ten Percent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person who Owns (or is deemed to Own pursuant to Section 424(d) of the Code)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possessing more than ten percent (10%) of the total combined voting power of all classes of shares of the Company or any Affiliate.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Pharvaris N.V. of our report dated November 10, 2020 relating to the financial statements, which appears in Pharvaris N.V.’s Registration Statement on Form F-1, as amended (Registration No. 333-252157).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R.M.N. Admiraal 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Eindhoven, the Netherlands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lowerLetter"/>
      <w:start w:val="1"/>
    </w:lvl>
  </w:abstractNum>
  <w:abstractNum w:abstractNumId="2">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DE91B18"/>
    <w:multiLevelType w:val="hybridMultilevel"/>
    <w:lvl w:ilvl="0">
      <w:lvlJc w:val="left"/>
      <w:lvlText w:val="%1"/>
      <w:numFmt w:val="lowerLetter"/>
      <w:start w:val="1"/>
    </w:lvl>
    <w:lvl w:ilvl="1">
      <w:lvlJc w:val="left"/>
      <w:lvlText w:val="(%2)"/>
      <w:numFmt w:val="decimal"/>
      <w:start w:val="2"/>
    </w:lvl>
  </w:abstractNum>
  <w:abstractNum w:abstractNumId="4">
    <w:nsid w:val="38437FDB"/>
    <w:multiLevelType w:val="hybridMultilevel"/>
    <w:lvl w:ilvl="0">
      <w:lvlJc w:val="left"/>
      <w:lvlText w:val="(%1)"/>
      <w:numFmt w:val="lowerLetter"/>
      <w:start w:val="2"/>
    </w:lvl>
    <w:lvl w:ilvl="1">
      <w:lvlJc w:val="left"/>
      <w:lvlText w:val="%2"/>
      <w:numFmt w:val="decimal"/>
      <w:start w:val="1"/>
    </w:lvl>
  </w:abstractNum>
  <w:abstractNum w:abstractNumId="5">
    <w:nsid w:val="7644A45C"/>
    <w:multiLevelType w:val="hybridMultilevel"/>
    <w:lvl w:ilvl="0">
      <w:lvlJc w:val="left"/>
      <w:lvlText w:val="%1."/>
      <w:numFmt w:val="lowerLetter"/>
      <w:start w:val="1"/>
    </w:lvl>
  </w:abstractNum>
  <w:abstractNum w:abstractNumId="6">
    <w:nsid w:val="32FFF902"/>
    <w:multiLevelType w:val="hybridMultilevel"/>
    <w:lvl w:ilvl="0">
      <w:lvlJc w:val="left"/>
      <w:lvlText w:val="%1."/>
      <w:numFmt w:val="lowerLetter"/>
      <w:start w:val="4"/>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Letter"/>
      <w:start w:val="1"/>
    </w:lvl>
  </w:abstractNum>
  <w:abstractNum w:abstractNumId="9">
    <w:nsid w:val="749ABB43"/>
    <w:multiLevelType w:val="hybridMultilevel"/>
    <w:lvl w:ilvl="0">
      <w:lvlJc w:val="left"/>
      <w:lvlText w:val="%1."/>
      <w:numFmt w:val="lowerLetter"/>
      <w:start w:val="1"/>
    </w:lvl>
    <w:lvl w:ilvl="1">
      <w:lvlJc w:val="left"/>
      <w:lvlText w:val="%2."/>
      <w:numFmt w:val="lowerRoman"/>
      <w:start w:val="1"/>
    </w:lvl>
  </w:abstractNum>
  <w:abstractNum w:abstractNumId="10">
    <w:nsid w:val="3DC240FB"/>
    <w:multiLevelType w:val="hybridMultilevel"/>
    <w:lvl w:ilvl="0">
      <w:lvlJc w:val="left"/>
      <w:lvlText w:val="%1."/>
      <w:numFmt w:val="lowerLetter"/>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1."/>
      <w:numFmt w:val="lowerLetter"/>
      <w:start w:val="2"/>
    </w:lvl>
  </w:abstractNum>
  <w:abstractNum w:abstractNumId="14">
    <w:nsid w:val="12E685FB"/>
    <w:multiLevelType w:val="hybridMultilevel"/>
    <w:lvl w:ilvl="0">
      <w:lvlJc w:val="left"/>
      <w:lvlText w:val="%1."/>
      <w:numFmt w:val="lowerLetter"/>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1"/>
    </w:lvl>
    <w:lvl w:ilvl="1">
      <w:lvlJc w:val="left"/>
      <w:lvlText w:val="%2."/>
      <w:numFmt w:val="lowerRoman"/>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1."/>
      <w:numFmt w:val="lowerLetter"/>
      <w:start w:val="3"/>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4"/>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2"/>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7"/>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2"/>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4"/>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6"/>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3"/>
    </w:lvl>
  </w:abstractNum>
  <w:abstractNum w:abstractNumId="43">
    <w:nsid w:val="1F48EAA1"/>
    <w:multiLevelType w:val="hybridMultilevel"/>
    <w:lvl w:ilvl="0">
      <w:lvlJc w:val="left"/>
      <w:lvlText w:val="%1."/>
      <w:numFmt w:val="upperLetter"/>
      <w:start w:val="1"/>
    </w:lvl>
  </w:abstractNum>
  <w:abstractNum w:abstractNumId="44">
    <w:nsid w:val="1381823A"/>
    <w:multiLevelType w:val="hybridMultilevel"/>
    <w:lvl w:ilvl="0">
      <w:lvlJc w:val="left"/>
      <w:lvlText w:val="%1."/>
      <w:numFmt w:val="upperLetter"/>
      <w:start w:val="4"/>
    </w:lvl>
    <w:lvl w:ilvl="1">
      <w:lvlJc w:val="left"/>
      <w:lvlText w:val="%2."/>
      <w:numFmt w:val="lowerLetter"/>
      <w:start w:val="1"/>
    </w:lvl>
  </w:abstractNum>
  <w:abstractNum w:abstractNumId="45">
    <w:nsid w:val="5DB70AE5"/>
    <w:multiLevelType w:val="hybridMultilevel"/>
    <w:lvl w:ilvl="0">
      <w:lvlJc w:val="left"/>
      <w:lvlText w:val="%1."/>
      <w:numFmt w:val="upperLetter"/>
      <w:start w:val="5"/>
    </w:lvl>
  </w:abstractNum>
  <w:abstractNum w:abstractNumId="46">
    <w:nsid w:val="100F8FC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7">
    <w:nsid w:val="6590700B"/>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48">
    <w:nsid w:val="15014AC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9">
    <w:nsid w:val="5F5E7FD0"/>
    <w:multiLevelType w:val="hybridMultilevel"/>
    <w:lvl w:ilvl="0">
      <w:lvlJc w:val="left"/>
      <w:lvlText w:val="(%1)"/>
      <w:numFmt w:val="lowerRoman"/>
      <w:start w:val="5"/>
    </w:lvl>
  </w:abstractNum>
  <w:abstractNum w:abstractNumId="50">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51">
    <w:nsid w:val="799D0247"/>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52">
    <w:nsid w:val="6B94764"/>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5"/>
    </w:lvl>
    <w:lvl w:ilvl="3">
      <w:lvlJc w:val="left"/>
      <w:lvlText w:val="%4"/>
      <w:numFmt w:val="lowerRoman"/>
      <w:start w:val="1"/>
    </w:lvl>
  </w:abstractNum>
  <w:abstractNum w:abstractNumId="53">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4">
    <w:nsid w:val="168E121F"/>
    <w:multiLevelType w:val="hybridMultilevel"/>
    <w:lvl w:ilvl="0">
      <w:lvlJc w:val="left"/>
      <w:lvlText w:val="%1"/>
      <w:numFmt w:val="lowerLetter"/>
      <w:start w:val="1"/>
    </w:lvl>
    <w:lvl w:ilvl="1">
      <w:lvlJc w:val="left"/>
      <w:lvlText w:val="(%2)"/>
      <w:numFmt w:val="lowerLetter"/>
      <w:start w:val="61"/>
    </w:lvl>
  </w:abstractNum>
  <w:abstractNum w:abstractNumId="55">
    <w:nsid w:val="1EBA5D23"/>
    <w:multiLevelType w:val="hybridMultilevel"/>
    <w:lvl w:ilvl="0">
      <w:lvlJc w:val="left"/>
      <w:lvlText w:val="(%1)"/>
      <w:numFmt w:val="lowerLetter"/>
      <w:start w:val="2"/>
    </w:lvl>
    <w:lvl w:ilvl="1">
      <w:lvlJc w:val="left"/>
      <w:lvlText w:val="%2"/>
      <w:numFmt w:val="lowerLetter"/>
      <w:start w:val="1"/>
    </w:lvl>
  </w:abstractNum>
  <w:abstractNum w:abstractNumId="56">
    <w:nsid w:val="661E3F1E"/>
    <w:multiLevelType w:val="hybridMultilevel"/>
    <w:lvl w:ilvl="0">
      <w:lvlJc w:val="left"/>
      <w:lvlText w:val="%1."/>
      <w:numFmt w:val="decimal"/>
      <w:start w:val="4"/>
    </w:lvl>
  </w:abstractNum>
  <w:abstractNum w:abstractNumId="57">
    <w:nsid w:val="5DC79EA8"/>
    <w:multiLevelType w:val="hybridMultilevel"/>
    <w:lvl w:ilvl="0">
      <w:lvlJc w:val="left"/>
      <w:lvlText w:val="(%1)"/>
      <w:numFmt w:val="lowerLetter"/>
      <w:start w:val="1"/>
    </w:lvl>
    <w:lvl w:ilvl="1">
      <w:lvlJc w:val="left"/>
      <w:lvlText w:val="(%2)"/>
      <w:numFmt w:val="lowerRoman"/>
      <w:start w:val="1"/>
    </w:lvl>
  </w:abstractNum>
  <w:abstractNum w:abstractNumId="58">
    <w:nsid w:val="540A471C"/>
    <w:multiLevelType w:val="hybridMultilevel"/>
    <w:lvl w:ilvl="0">
      <w:lvlJc w:val="left"/>
      <w:lvlText w:val="%1"/>
      <w:numFmt w:val="lowerLetter"/>
      <w:start w:val="1"/>
    </w:lvl>
    <w:lvl w:ilvl="1">
      <w:lvlJc w:val="left"/>
      <w:lvlText w:val="(%2)"/>
      <w:numFmt w:val="lowerRoman"/>
      <w:start w:val="4"/>
    </w:lvl>
  </w:abstractNum>
  <w:abstractNum w:abstractNumId="59">
    <w:nsid w:val="7BD3EE7B"/>
    <w:multiLevelType w:val="hybridMultilevel"/>
    <w:lvl w:ilvl="0">
      <w:lvlJc w:val="left"/>
      <w:lvlText w:val="(%1)"/>
      <w:numFmt w:val="lowerLetter"/>
      <w:start w:val="4"/>
    </w:lvl>
    <w:lvl w:ilvl="1">
      <w:lvlJc w:val="left"/>
      <w:lvlText w:val="(%2)"/>
      <w:numFmt w:val="lowerRoman"/>
      <w:start w:val="1"/>
    </w:lvl>
  </w:abstractNum>
  <w:abstractNum w:abstractNumId="60">
    <w:nsid w:val="51D9C564"/>
    <w:multiLevelType w:val="hybridMultilevel"/>
    <w:lvl w:ilvl="0">
      <w:lvlJc w:val="left"/>
      <w:lvlText w:val="(%1)"/>
      <w:numFmt w:val="lowerLetter"/>
      <w:start w:val="7"/>
    </w:lvl>
  </w:abstractNum>
  <w:abstractNum w:abstractNumId="61">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1"/>
    </w:lvl>
    <w:lvl w:ilvl="3">
      <w:lvlJc w:val="left"/>
      <w:lvlText w:val="%4"/>
      <w:numFmt w:val="lowerRoman"/>
      <w:start w:val="1"/>
    </w:lvl>
  </w:abstractNum>
  <w:abstractNum w:abstractNumId="62">
    <w:nsid w:val="BF72B14"/>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63">
    <w:nsid w:val="11447B73"/>
    <w:multiLevelType w:val="hybridMultilevel"/>
    <w:lvl w:ilvl="0">
      <w:lvlJc w:val="left"/>
      <w:lvlText w:val="%1"/>
      <w:numFmt w:val="lowerLetter"/>
      <w:start w:val="1"/>
    </w:lvl>
    <w:lvl w:ilvl="1">
      <w:lvlJc w:val="left"/>
      <w:lvlText w:val="(%2)"/>
      <w:numFmt w:val="lowerLetter"/>
      <w:start w:val="22"/>
    </w:lvl>
  </w:abstractNum>
  <w:abstractNum w:abstractNumId="64">
    <w:nsid w:val="42963E5A"/>
    <w:multiLevelType w:val="hybridMultilevel"/>
    <w:lvl w:ilvl="0">
      <w:lvlJc w:val="left"/>
      <w:lvlText w:val="(%1)"/>
      <w:numFmt w:val="lowerLetter"/>
      <w:start w:val="2"/>
    </w:lvl>
    <w:lvl w:ilvl="1">
      <w:lvlJc w:val="left"/>
      <w:lvlText w:val="(%2)"/>
      <w:numFmt w:val="lowerLetter"/>
      <w:start w:val="9"/>
    </w:lvl>
  </w:abstractNum>
  <w:abstractNum w:abstractNumId="65">
    <w:nsid w:val="A0382C5"/>
    <w:multiLevelType w:val="hybridMultilevel"/>
    <w:lvl w:ilvl="0">
      <w:lvlJc w:val="left"/>
      <w:lvlText w:val="%1"/>
      <w:numFmt w:val="lowerLetter"/>
      <w:start w:val="1"/>
    </w:lvl>
    <w:lvl w:ilvl="1">
      <w:lvlJc w:val="left"/>
      <w:lvlText w:val="(%2)"/>
      <w:numFmt w:val="lowerRoman"/>
      <w:start w:val="2"/>
    </w:lvl>
  </w:abstractNum>
  <w:abstractNum w:abstractNumId="66">
    <w:nsid w:val="8F2B15E"/>
    <w:multiLevelType w:val="hybridMultilevel"/>
    <w:lvl w:ilvl="0">
      <w:lvlJc w:val="left"/>
      <w:lvlText w:val="(%1)"/>
      <w:numFmt w:val="lowerLetter"/>
      <w:start w:val="3"/>
    </w:lvl>
    <w:lvl w:ilvl="1">
      <w:lvlJc w:val="left"/>
      <w:lvlText w:val="(%2)"/>
      <w:numFmt w:val="lowerRoman"/>
      <w:start w:val="1"/>
    </w:lvl>
  </w:abstractNum>
  <w:abstractNum w:abstractNumId="67">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8">
    <w:nsid w:val="3B0FD37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9">
    <w:nsid w:val="68EB2F6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0">
    <w:nsid w:val="4962813B"/>
    <w:multiLevelType w:val="hybridMultilevel"/>
    <w:lvl w:ilvl="0">
      <w:lvlJc w:val="left"/>
      <w:lvlText w:val="%1."/>
      <w:numFmt w:val="decimal"/>
      <w:start w:val="8"/>
    </w:lvl>
    <w:lvl w:ilvl="1">
      <w:lvlJc w:val="left"/>
      <w:lvlText w:val="(%2)"/>
      <w:numFmt w:val="lowerLetter"/>
      <w:start w:val="1"/>
    </w:lvl>
  </w:abstractNum>
  <w:abstractNum w:abstractNumId="71">
    <w:nsid w:val="60B6DF70"/>
    <w:multiLevelType w:val="hybridMultilevel"/>
    <w:lvl w:ilvl="0">
      <w:lvlJc w:val="left"/>
      <w:lvlText w:val="%1"/>
      <w:numFmt w:val="lowerLetter"/>
      <w:start w:val="1"/>
    </w:lvl>
    <w:lvl w:ilvl="1">
      <w:lvlJc w:val="left"/>
      <w:lvlText w:val="(%2)"/>
      <w:numFmt w:val="lowerLetter"/>
      <w:start w:val="8"/>
    </w:lvl>
  </w:abstractNum>
  <w:abstractNum w:abstractNumId="72">
    <w:nsid w:val="6A5EE64"/>
    <w:multiLevelType w:val="hybridMultilevel"/>
    <w:lvl w:ilvl="0">
      <w:lvlJc w:val="left"/>
      <w:lvlText w:val="(%1)"/>
      <w:numFmt w:val="lowerLetter"/>
      <w:start w:val="22"/>
    </w:lvl>
    <w:lvl w:ilvl="1">
      <w:lvlJc w:val="left"/>
      <w:lvlText w:val="(%2)"/>
      <w:numFmt w:val="lowerLetter"/>
      <w:start w:val="9"/>
    </w:lvl>
  </w:abstractNum>
  <w:abstractNum w:abstractNumId="73">
    <w:nsid w:val="14330624"/>
    <w:multiLevelType w:val="hybridMultilevel"/>
    <w:lvl w:ilvl="0">
      <w:lvlJc w:val="left"/>
      <w:lvlText w:val="(%1)"/>
      <w:numFmt w:val="decimal"/>
      <w:start w:val="6"/>
    </w:lvl>
    <w:lvl w:ilvl="1">
      <w:lvlJc w:val="left"/>
      <w:lvlText w:val="%2."/>
      <w:numFmt w:val="decimal"/>
      <w:start w:val="8"/>
    </w:lvl>
    <w:lvl w:ilvl="2">
      <w:lvlJc w:val="left"/>
      <w:lvlText w:val="(%3)"/>
      <w:numFmt w:val="lowerLetter"/>
      <w:start w:val="12"/>
    </w:lvl>
  </w:abstractNum>
  <w:abstractNum w:abstractNumId="74">
    <w:nsid w:val="7FFFCA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5">
    <w:nsid w:val="1A27709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76">
    <w:nsid w:val="71EA1109"/>
    <w:multiLevelType w:val="hybridMultilevel"/>
    <w:lvl w:ilvl="0">
      <w:lvlJc w:val="left"/>
      <w:lvlText w:val="(%1)"/>
      <w:numFmt w:val="lowerRoman"/>
      <w:start w:val="3"/>
    </w:lvl>
  </w:abstractNum>
  <w:abstractNum w:abstractNumId="77">
    <w:nsid w:val="100F59DC"/>
    <w:multiLevelType w:val="hybridMultilevel"/>
    <w:lvl w:ilvl="0">
      <w:lvlJc w:val="left"/>
      <w:lvlText w:val="%1."/>
      <w:numFmt w:val="decimal"/>
      <w:start w:val="10"/>
    </w:lvl>
    <w:lvl w:ilvl="1">
      <w:lvlJc w:val="left"/>
      <w:lvlText w:val="(%2)"/>
      <w:numFmt w:val="lowerLetter"/>
      <w:start w:val="1"/>
    </w:lvl>
  </w:abstractNum>
  <w:abstractNum w:abstractNumId="78">
    <w:nsid w:val="7FB7E0AA"/>
    <w:multiLevelType w:val="hybridMultilevel"/>
    <w:lvl w:ilvl="0">
      <w:lvlJc w:val="left"/>
      <w:lvlText w:val="%1."/>
      <w:numFmt w:val="decimal"/>
      <w:start w:val="12"/>
    </w:lvl>
  </w:abstractNum>
  <w:abstractNum w:abstractNumId="79">
    <w:nsid w:val="6EB5BD4"/>
    <w:multiLevelType w:val="hybridMultilevel"/>
    <w:lvl w:ilvl="0">
      <w:lvlJc w:val="left"/>
      <w:lvlText w:val="%1."/>
      <w:numFmt w:val="decimal"/>
      <w:start w:val="13"/>
    </w:lvl>
    <w:lvl w:ilvl="1">
      <w:lvlJc w:val="left"/>
      <w:lvlText w:val="(%2)"/>
      <w:numFmt w:val="lowerLetter"/>
      <w:start w:val="1"/>
    </w:lvl>
  </w:abstractNum>
  <w:abstractNum w:abstractNumId="80">
    <w:nsid w:val="6F6DD9AC"/>
    <w:multiLevelType w:val="hybridMultilevel"/>
    <w:lvl w:ilvl="0">
      <w:lvlJc w:val="left"/>
      <w:lvlText w:val="(%1)"/>
      <w:numFmt w:val="lowerLetter"/>
      <w:start w:val="2"/>
    </w:lvl>
    <w:lvl w:ilvl="1">
      <w:lvlJc w:val="left"/>
      <w:lvlText w:val="(%2)"/>
      <w:numFmt w:val="lowerLetter"/>
      <w:start w:val="9"/>
    </w:lvl>
  </w:abstractNum>
  <w:abstractNum w:abstractNumId="81">
    <w:nsid w:val="94211F2"/>
    <w:multiLevelType w:val="hybridMultilevel"/>
    <w:lvl w:ilvl="0">
      <w:lvlJc w:val="left"/>
      <w:lvlText w:val="%1"/>
      <w:numFmt w:val="upperLetter"/>
      <w:start w:val="1"/>
    </w:lvl>
    <w:lvl w:ilvl="1">
      <w:lvlJc w:val="left"/>
      <w:lvlText w:val="(%2)"/>
      <w:numFmt w:val="lowerRoman"/>
      <w:start w:val="2"/>
    </w:lvl>
  </w:abstractNum>
  <w:abstractNum w:abstractNumId="82">
    <w:nsid w:val="885E1B"/>
    <w:multiLevelType w:val="hybridMultilevel"/>
    <w:lvl w:ilvl="0">
      <w:lvlJc w:val="left"/>
      <w:lvlText w:val="(%1)"/>
      <w:numFmt w:val="upperLetter"/>
      <w:start w:val="2"/>
    </w:lvl>
    <w:lvl w:ilvl="1">
      <w:lvlJc w:val="left"/>
      <w:lvlText w:val="(%2)"/>
      <w:numFmt w:val="lowerRoman"/>
      <w:start w:val="3"/>
    </w:lvl>
  </w:abstractNum>
  <w:abstractNum w:abstractNumId="83">
    <w:nsid w:val="76272110"/>
    <w:multiLevelType w:val="hybridMultilevel"/>
    <w:lvl w:ilvl="0">
      <w:lvlJc w:val="left"/>
      <w:lvlText w:val="(%1)"/>
      <w:numFmt w:val="lowerLetter"/>
      <w:start w:val="9"/>
    </w:lvl>
  </w:abstractNum>
  <w:abstractNum w:abstractNumId="84">
    <w:nsid w:val="4C04A8AF"/>
    <w:multiLevelType w:val="hybridMultilevel"/>
    <w:lvl w:ilvl="0">
      <w:lvlJc w:val="left"/>
      <w:lvlText w:val="(%1)"/>
      <w:numFmt w:val="lowerLetter"/>
      <w:start w:val="11"/>
    </w:lvl>
  </w:abstractNum>
  <w:abstractNum w:abstractNumId="85">
    <w:nsid w:val="1716703B"/>
    <w:multiLevelType w:val="hybridMultilevel"/>
    <w:lvl w:ilvl="0">
      <w:lvlJc w:val="left"/>
      <w:lvlText w:val="(%1)"/>
      <w:numFmt w:val="lowerLetter"/>
      <w:start w:val="18"/>
    </w:lvl>
    <w:lvl w:ilvl="1">
      <w:lvlJc w:val="left"/>
      <w:lvlText w:val="(%2)"/>
      <w:numFmt w:val="lowerRoman"/>
      <w:start w:val="1"/>
    </w:lvl>
  </w:abstractNum>
  <w:abstractNum w:abstractNumId="86">
    <w:nsid w:val="14E17E33"/>
    <w:multiLevelType w:val="hybridMultilevel"/>
    <w:lvl w:ilvl="0">
      <w:lvlJc w:val="left"/>
      <w:lvlText w:val="(%1)"/>
      <w:numFmt w:val="lowerLetter"/>
      <w:start w:val="27"/>
    </w:lvl>
  </w:abstractNum>
  <w:abstractNum w:abstractNumId="87">
    <w:nsid w:val="3222E7CD"/>
    <w:multiLevelType w:val="hybridMultilevel"/>
    <w:lvl w:ilvl="0">
      <w:lvlJc w:val="left"/>
      <w:lvlText w:val="(%1)"/>
      <w:numFmt w:val="lowerLetter"/>
      <w:start w:val="28"/>
    </w:lvl>
  </w:abstractNum>
  <w:abstractNum w:abstractNumId="88">
    <w:nsid w:val="74DE0EE3"/>
    <w:multiLevelType w:val="hybridMultilevel"/>
    <w:lvl w:ilvl="0">
      <w:lvlJc w:val="left"/>
      <w:lvlText w:val="(%1)"/>
      <w:numFmt w:val="lowerLetter"/>
      <w:start w:val="43"/>
    </w:lvl>
  </w:abstractNum>
  <w:abstractNum w:abstractNumId="89">
    <w:nsid w:val="68EBC550"/>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21" Type="http://schemas.openxmlformats.org/officeDocument/2006/relationships/hyperlink" Target="http://www.sec.gov/Archives/edgar/data/1830487/000119312521023578/d50231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2021-02-09T15:49:59Z</dcterms:created>
  <dcterms:modified xsi:type="dcterms:W3CDTF">2021-02-09T15:49:59Z</dcterms:modified>
</cp:coreProperties>
</file>