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186690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June 2021</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Pharvaris N.V.</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177800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52" w:lineRule="exact"/>
        <w:rPr>
          <w:sz w:val="24"/>
          <w:szCs w:val="24"/>
          <w:color w:val="auto"/>
        </w:rPr>
      </w:pPr>
    </w:p>
    <w:p>
      <w:pPr>
        <w:spacing w:after="0" w:line="207" w:lineRule="exact"/>
        <w:tabs>
          <w:tab w:leader="none" w:pos="16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41"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11, 2021, Pharvaris N.V. (the “Company”) issued a press release announcing its 2021 annual general meeting of shareholders to be held on June 29, 2021 and made available to its shareholders certain other materials in connection with such meeting. A copy of the press release is attached hereto as Exhibit 99.1 and is incorporated by reference herein. The materials made available to the Company’s shareholders are attached as Exhibits 99.2 and 99.3 hereto and are incorporated by reference herein.</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PHARVARIS N.V.</w:t>
            </w:r>
          </w:p>
        </w:tc>
      </w:tr>
      <w:tr>
        <w:trPr>
          <w:trHeight w:val="493"/>
        </w:trPr>
        <w:tc>
          <w:tcPr>
            <w:tcW w:w="3540" w:type="dxa"/>
            <w:vAlign w:val="bottom"/>
          </w:tcPr>
          <w:p>
            <w:pPr>
              <w:spacing w:after="0"/>
              <w:rPr>
                <w:sz w:val="20"/>
                <w:szCs w:val="20"/>
                <w:color w:val="auto"/>
              </w:rPr>
            </w:pPr>
            <w:r>
              <w:rPr>
                <w:rFonts w:ascii="Arial" w:cs="Arial" w:eastAsia="Arial" w:hAnsi="Arial"/>
                <w:sz w:val="18"/>
                <w:szCs w:val="18"/>
                <w:color w:val="auto"/>
              </w:rPr>
              <w:t>Date: June 11, 2021</w:t>
            </w:r>
          </w:p>
        </w:tc>
        <w:tc>
          <w:tcPr>
            <w:tcW w:w="3020" w:type="dxa"/>
            <w:vAlign w:val="bottom"/>
          </w:tcPr>
          <w:p>
            <w:pPr>
              <w:ind w:left="2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540" w:type="dxa"/>
            <w:vAlign w:val="bottom"/>
          </w:tcPr>
          <w:p>
            <w:pPr>
              <w:spacing w:after="0"/>
              <w:rPr>
                <w:sz w:val="19"/>
                <w:szCs w:val="19"/>
                <w:color w:val="auto"/>
              </w:rPr>
            </w:pPr>
          </w:p>
        </w:tc>
        <w:tc>
          <w:tcPr>
            <w:tcW w:w="3020" w:type="dxa"/>
            <w:vAlign w:val="bottom"/>
          </w:tcPr>
          <w:p>
            <w:pPr>
              <w:ind w:left="21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540" w:type="dxa"/>
            <w:vAlign w:val="bottom"/>
          </w:tcPr>
          <w:p>
            <w:pPr>
              <w:spacing w:after="0"/>
              <w:rPr>
                <w:sz w:val="20"/>
                <w:szCs w:val="20"/>
                <w:color w:val="auto"/>
              </w:rPr>
            </w:pPr>
          </w:p>
        </w:tc>
        <w:tc>
          <w:tcPr>
            <w:tcW w:w="3020" w:type="dxa"/>
            <w:vAlign w:val="bottom"/>
          </w:tcPr>
          <w:p>
            <w:pPr>
              <w:ind w:left="21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40" w:type="dxa"/>
            <w:vAlign w:val="bottom"/>
            <w:gridSpan w:val="2"/>
          </w:tcPr>
          <w:p>
            <w:pPr>
              <w:ind w:left="1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6"/>
                <w:szCs w:val="16"/>
                <w:color w:val="auto"/>
              </w:rPr>
            </w:pPr>
          </w:p>
        </w:tc>
        <w:tc>
          <w:tcPr>
            <w:tcW w:w="10100" w:type="dxa"/>
            <w:vAlign w:val="bottom"/>
            <w:tcBorders>
              <w:top w:val="single" w:sz="8" w:color="auto"/>
            </w:tcBorders>
            <w:gridSpan w:val="4"/>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June 11, 2021</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Convening Notice, including Agenda and Explanatory Notes</w:t>
              </w:r>
            </w:hyperlink>
          </w:p>
        </w:tc>
        <w:tc>
          <w:tcPr>
            <w:tcW w:w="0" w:type="dxa"/>
            <w:vAlign w:val="bottom"/>
          </w:tcPr>
          <w:p>
            <w:pPr>
              <w:spacing w:after="0"/>
              <w:rPr>
                <w:sz w:val="1"/>
                <w:szCs w:val="1"/>
                <w:color w:val="auto"/>
              </w:rPr>
            </w:pPr>
          </w:p>
        </w:tc>
      </w:tr>
      <w:tr>
        <w:trPr>
          <w:trHeight w:val="344"/>
        </w:trPr>
        <w:tc>
          <w:tcPr>
            <w:tcW w:w="1020" w:type="dxa"/>
            <w:vAlign w:val="bottom"/>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96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Voting Proxy</w:t>
              </w:r>
            </w:hyperlink>
          </w:p>
        </w:tc>
        <w:tc>
          <w:tcPr>
            <w:tcW w:w="3420" w:type="dxa"/>
            <w:vAlign w:val="bottom"/>
            <w:tcBorders>
              <w:top w:val="single" w:sz="8" w:color="0000EE"/>
            </w:tcBorders>
            <w:gridSpan w:val="2"/>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2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Pharvaris Announces Annual Meeting of Shareholders</w:t>
      </w:r>
    </w:p>
    <w:p>
      <w:pPr>
        <w:spacing w:after="0" w:line="22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 xml:space="preserve">Zug, Switzerland, June 11, 2021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Pharvaris</w:t>
      </w:r>
      <w:r>
        <w:rPr>
          <w:rFonts w:ascii="Arial" w:cs="Arial" w:eastAsia="Arial" w:hAnsi="Arial"/>
          <w:sz w:val="20"/>
          <w:szCs w:val="20"/>
          <w:b w:val="1"/>
          <w:bCs w:val="1"/>
          <w:color w:val="auto"/>
        </w:rPr>
        <w:t xml:space="preserve"> </w:t>
      </w:r>
      <w:r>
        <w:rPr>
          <w:rFonts w:ascii="Arial" w:cs="Arial" w:eastAsia="Arial" w:hAnsi="Arial"/>
          <w:sz w:val="20"/>
          <w:szCs w:val="20"/>
          <w:color w:val="auto"/>
        </w:rPr>
        <w:t>(Nasdaq: PHVS), a clinical-stage company focused on the development and 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novel oral bradykinin-B2-receptor antagonists for the treatment of hereditary angioedema (HAE) and other bradykinin-B2-receptor-mediated indications, today announced the annual general meeting of shareholders will take place on Tuesday, June 29, 2021 at 1:00 p.m. CEST (7:00 a.m. EDT).</w:t>
      </w:r>
    </w:p>
    <w:p>
      <w:pPr>
        <w:spacing w:after="0" w:line="20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 xml:space="preserve">All relevant documents and information relating to the annual general meeting, including the notice and agenda for the annual general meeting, are or will be made available in the “Investors” section of Pharvaris’ website under “Events &amp; Presentations”. The documents will also be made available on the SEC’s website at </w:t>
      </w:r>
      <w:r>
        <w:rPr>
          <w:rFonts w:ascii="Arial" w:cs="Arial" w:eastAsia="Arial" w:hAnsi="Arial"/>
          <w:sz w:val="20"/>
          <w:szCs w:val="20"/>
          <w:u w:val="single" w:color="auto"/>
          <w:color w:val="auto"/>
        </w:rPr>
        <w:t>www.sec.gov</w:t>
      </w:r>
      <w:r>
        <w:rPr>
          <w:rFonts w:ascii="Arial" w:cs="Arial" w:eastAsia="Arial" w:hAnsi="Arial"/>
          <w:sz w:val="20"/>
          <w:szCs w:val="20"/>
          <w:color w:val="auto"/>
        </w:rPr>
        <w:t>. Shareholders who wish to attend the meeting should register as described in the notice and agenda for the annual general meeting.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Pharvaris</w:t>
      </w:r>
    </w:p>
    <w:p>
      <w:pPr>
        <w:spacing w:after="0" w:line="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 xml:space="preserve">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w:t>
      </w:r>
      <w:r>
        <w:rPr>
          <w:rFonts w:ascii="Arial" w:cs="Arial" w:eastAsia="Arial" w:hAnsi="Arial"/>
          <w:sz w:val="18"/>
          <w:szCs w:val="18"/>
          <w:u w:val="single" w:color="auto"/>
          <w:color w:val="auto"/>
        </w:rPr>
        <w:t>https://pharvaris.com/</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+1-212-362-1200</w:t>
      </w:r>
    </w:p>
    <w:p>
      <w:pPr>
        <w:spacing w:after="0"/>
        <w:rPr>
          <w:sz w:val="20"/>
          <w:szCs w:val="20"/>
          <w:color w:val="auto"/>
        </w:rPr>
      </w:pPr>
      <w:r>
        <w:rPr>
          <w:rFonts w:ascii="Arial" w:cs="Arial" w:eastAsia="Arial" w:hAnsi="Arial"/>
          <w:sz w:val="20"/>
          <w:szCs w:val="20"/>
          <w:u w:val="single" w:color="auto"/>
          <w:color w:val="auto"/>
        </w:rPr>
        <w:t>sarah.mccabe@sternir.com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Maggie Beller</w:t>
      </w:r>
    </w:p>
    <w:p>
      <w:pPr>
        <w:spacing w:after="0"/>
        <w:rPr>
          <w:sz w:val="20"/>
          <w:szCs w:val="20"/>
          <w:color w:val="auto"/>
        </w:rPr>
      </w:pPr>
      <w:r>
        <w:rPr>
          <w:rFonts w:ascii="Arial" w:cs="Arial" w:eastAsia="Arial" w:hAnsi="Arial"/>
          <w:sz w:val="20"/>
          <w:szCs w:val="20"/>
          <w:color w:val="auto"/>
        </w:rPr>
        <w:t>Russo Partners, LLC</w:t>
      </w:r>
    </w:p>
    <w:p>
      <w:pPr>
        <w:spacing w:after="0"/>
        <w:rPr>
          <w:sz w:val="20"/>
          <w:szCs w:val="20"/>
          <w:color w:val="auto"/>
        </w:rPr>
      </w:pPr>
      <w:r>
        <w:rPr>
          <w:rFonts w:ascii="Arial" w:cs="Arial" w:eastAsia="Arial" w:hAnsi="Arial"/>
          <w:sz w:val="20"/>
          <w:szCs w:val="20"/>
          <w:color w:val="auto"/>
        </w:rPr>
        <w:t>+1-646-942-5631</w:t>
      </w:r>
    </w:p>
    <w:p>
      <w:pPr>
        <w:spacing w:after="0"/>
        <w:rPr>
          <w:sz w:val="20"/>
          <w:szCs w:val="20"/>
          <w:color w:val="auto"/>
        </w:rPr>
      </w:pPr>
      <w:r>
        <w:rPr>
          <w:rFonts w:ascii="Arial" w:cs="Arial" w:eastAsia="Arial" w:hAnsi="Arial"/>
          <w:sz w:val="20"/>
          <w:szCs w:val="20"/>
          <w:u w:val="single" w:color="auto"/>
          <w:color w:val="auto"/>
        </w:rPr>
        <w:t>maggie.beller@russopartnersllc.com</w:t>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CONVENING NOTICE</w:t>
      </w:r>
    </w:p>
    <w:p>
      <w:pPr>
        <w:spacing w:after="0" w:line="310" w:lineRule="exact"/>
        <w:rPr>
          <w:sz w:val="20"/>
          <w:szCs w:val="20"/>
          <w:color w:val="auto"/>
        </w:rPr>
      </w:pPr>
    </w:p>
    <w:p>
      <w:pPr>
        <w:ind w:right="20"/>
        <w:spacing w:after="0" w:line="309" w:lineRule="auto"/>
        <w:rPr>
          <w:sz w:val="20"/>
          <w:szCs w:val="20"/>
          <w:color w:val="auto"/>
        </w:rPr>
      </w:pPr>
      <w:r>
        <w:rPr>
          <w:rFonts w:ascii="Arial" w:cs="Arial" w:eastAsia="Arial" w:hAnsi="Arial"/>
          <w:sz w:val="20"/>
          <w:szCs w:val="20"/>
          <w:color w:val="auto"/>
        </w:rPr>
        <w:t>This is the convening notice for the annual general meeting of shareholders of Pharvaris N.V. (the "</w:t>
      </w:r>
      <w:r>
        <w:rPr>
          <w:rFonts w:ascii="Arial" w:cs="Arial" w:eastAsia="Arial" w:hAnsi="Arial"/>
          <w:sz w:val="20"/>
          <w:szCs w:val="20"/>
          <w:b w:val="1"/>
          <w:bCs w:val="1"/>
          <w:color w:val="auto"/>
        </w:rPr>
        <w:t>Company</w:t>
      </w:r>
      <w:r>
        <w:rPr>
          <w:rFonts w:ascii="Arial" w:cs="Arial" w:eastAsia="Arial" w:hAnsi="Arial"/>
          <w:sz w:val="20"/>
          <w:szCs w:val="20"/>
          <w:color w:val="auto"/>
        </w:rPr>
        <w:t>") to be held on June 29, 2021 at 1:00 p.m. CEST at J.H. Oortweg 21, 2333 CH Leiden, the Netherlands (the "</w:t>
      </w:r>
      <w:r>
        <w:rPr>
          <w:rFonts w:ascii="Arial" w:cs="Arial" w:eastAsia="Arial" w:hAnsi="Arial"/>
          <w:sz w:val="20"/>
          <w:szCs w:val="20"/>
          <w:b w:val="1"/>
          <w:bCs w:val="1"/>
          <w:color w:val="auto"/>
        </w:rPr>
        <w:t>AGM</w:t>
      </w:r>
      <w:r>
        <w:rPr>
          <w:rFonts w:ascii="Arial" w:cs="Arial" w:eastAsia="Arial" w:hAnsi="Arial"/>
          <w:sz w:val="20"/>
          <w:szCs w:val="20"/>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agenda for the AGM is as follows:</w:t>
      </w:r>
    </w:p>
    <w:p>
      <w:pPr>
        <w:spacing w:after="0" w:line="310" w:lineRule="exact"/>
        <w:rPr>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Opening</w:t>
      </w:r>
    </w:p>
    <w:p>
      <w:pPr>
        <w:spacing w:after="0" w:line="310" w:lineRule="exact"/>
        <w:rPr>
          <w:rFonts w:ascii="Arial" w:cs="Arial" w:eastAsia="Arial" w:hAnsi="Arial"/>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Discussion of Dutch statutory board report for the fiscal year ended December 31, 2020 (</w:t>
      </w:r>
      <w:r>
        <w:rPr>
          <w:rFonts w:ascii="Arial" w:cs="Arial" w:eastAsia="Arial" w:hAnsi="Arial"/>
          <w:sz w:val="20"/>
          <w:szCs w:val="20"/>
          <w:i w:val="1"/>
          <w:iCs w:val="1"/>
          <w:color w:val="auto"/>
        </w:rPr>
        <w:t>discussion item</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Adoption of Dutch statutory annual accounts for the fiscal year ended December 31, 2020 (</w:t>
      </w:r>
      <w:r>
        <w:rPr>
          <w:rFonts w:ascii="Arial" w:cs="Arial" w:eastAsia="Arial" w:hAnsi="Arial"/>
          <w:sz w:val="20"/>
          <w:szCs w:val="20"/>
          <w:i w:val="1"/>
          <w:iCs w:val="1"/>
          <w:color w:val="auto"/>
        </w:rPr>
        <w:t>voting item</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ind w:left="900" w:hanging="447"/>
        <w:spacing w:after="0" w:line="303" w:lineRule="auto"/>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Discharge from liability for the Company's directors with respect to the performance of their duties during the fiscal year ended December 31, 2020 (</w:t>
      </w:r>
      <w:r>
        <w:rPr>
          <w:rFonts w:ascii="Arial" w:cs="Arial" w:eastAsia="Arial" w:hAnsi="Arial"/>
          <w:sz w:val="20"/>
          <w:szCs w:val="20"/>
          <w:i w:val="1"/>
          <w:iCs w:val="1"/>
          <w:color w:val="auto"/>
        </w:rPr>
        <w:t>voting item</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Discussion of the Company's dividend and reservation policy (</w:t>
      </w:r>
      <w:r>
        <w:rPr>
          <w:rFonts w:ascii="Arial" w:cs="Arial" w:eastAsia="Arial" w:hAnsi="Arial"/>
          <w:sz w:val="20"/>
          <w:szCs w:val="20"/>
          <w:i w:val="1"/>
          <w:iCs w:val="1"/>
          <w:color w:val="auto"/>
        </w:rPr>
        <w:t>discussion item</w:t>
      </w:r>
      <w:r>
        <w:rPr>
          <w:rFonts w:ascii="Arial" w:cs="Arial" w:eastAsia="Arial" w:hAnsi="Arial"/>
          <w:sz w:val="20"/>
          <w:szCs w:val="20"/>
          <w:color w:val="auto"/>
        </w:rPr>
        <w:t>)</w:t>
      </w:r>
    </w:p>
    <w:p>
      <w:pPr>
        <w:spacing w:after="0" w:line="283" w:lineRule="exact"/>
        <w:rPr>
          <w:rFonts w:ascii="Arial" w:cs="Arial" w:eastAsia="Arial" w:hAnsi="Arial"/>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Appointment of Ms. Viviane Monges as non-executive director of the Company (</w:t>
      </w:r>
      <w:r>
        <w:rPr>
          <w:rFonts w:ascii="Arial" w:cs="Arial" w:eastAsia="Arial" w:hAnsi="Arial"/>
          <w:sz w:val="20"/>
          <w:szCs w:val="20"/>
          <w:i w:val="1"/>
          <w:iCs w:val="1"/>
          <w:color w:val="auto"/>
        </w:rPr>
        <w:t>voting item</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ind w:left="900" w:hanging="447"/>
        <w:spacing w:after="0"/>
        <w:tabs>
          <w:tab w:leader="none" w:pos="900" w:val="left"/>
        </w:tabs>
        <w:numPr>
          <w:ilvl w:val="0"/>
          <w:numId w:val="1"/>
        </w:numPr>
        <w:rPr>
          <w:rFonts w:ascii="Arial" w:cs="Arial" w:eastAsia="Arial" w:hAnsi="Arial"/>
          <w:sz w:val="20"/>
          <w:szCs w:val="20"/>
          <w:color w:val="auto"/>
        </w:rPr>
      </w:pPr>
      <w:r>
        <w:rPr>
          <w:rFonts w:ascii="Arial" w:cs="Arial" w:eastAsia="Arial" w:hAnsi="Arial"/>
          <w:sz w:val="20"/>
          <w:szCs w:val="20"/>
          <w:color w:val="auto"/>
        </w:rPr>
        <w:t>Closing</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No business shall be voted on at the AGM, except such items as included in the above-mentioned agenda.</w:t>
      </w:r>
    </w:p>
    <w:p>
      <w:pPr>
        <w:spacing w:after="0" w:line="304"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The record date for the AGM is June 1, 2021 (the "</w:t>
      </w:r>
      <w:r>
        <w:rPr>
          <w:rFonts w:ascii="Arial" w:cs="Arial" w:eastAsia="Arial" w:hAnsi="Arial"/>
          <w:sz w:val="18"/>
          <w:szCs w:val="18"/>
          <w:b w:val="1"/>
          <w:bCs w:val="1"/>
          <w:color w:val="auto"/>
        </w:rPr>
        <w:t>Record Date</w:t>
      </w:r>
      <w:r>
        <w:rPr>
          <w:rFonts w:ascii="Arial" w:cs="Arial" w:eastAsia="Arial" w:hAnsi="Arial"/>
          <w:sz w:val="18"/>
          <w:szCs w:val="18"/>
          <w:color w:val="auto"/>
        </w:rPr>
        <w:t>").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Arial" w:cs="Arial" w:eastAsia="Arial" w:hAnsi="Arial"/>
          <w:sz w:val="18"/>
          <w:szCs w:val="18"/>
          <w:b w:val="1"/>
          <w:bCs w:val="1"/>
          <w:color w:val="auto"/>
        </w:rPr>
        <w:t>Registers</w:t>
      </w:r>
      <w:r>
        <w:rPr>
          <w:rFonts w:ascii="Arial" w:cs="Arial" w:eastAsia="Arial" w:hAnsi="Arial"/>
          <w:sz w:val="18"/>
          <w:szCs w:val="18"/>
          <w:color w:val="auto"/>
        </w:rPr>
        <w:t>") may attend and, if relevant, vote at the AGM ("</w:t>
      </w:r>
      <w:r>
        <w:rPr>
          <w:rFonts w:ascii="Arial" w:cs="Arial" w:eastAsia="Arial" w:hAnsi="Arial"/>
          <w:sz w:val="18"/>
          <w:szCs w:val="18"/>
          <w:b w:val="1"/>
          <w:bCs w:val="1"/>
          <w:color w:val="auto"/>
        </w:rPr>
        <w:t>Persons with Meeting Rights</w:t>
      </w:r>
      <w:r>
        <w:rPr>
          <w:rFonts w:ascii="Arial" w:cs="Arial" w:eastAsia="Arial" w:hAnsi="Arial"/>
          <w:sz w:val="18"/>
          <w:szCs w:val="18"/>
          <w:color w:val="auto"/>
        </w:rPr>
        <w:t>"), irrespective of changes to their shareholdings or rights after the Record Date.</w:t>
      </w:r>
    </w:p>
    <w:p>
      <w:pPr>
        <w:spacing w:after="0" w:line="211"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Those who beneficially own shares in the Company's capital in an account at a bank, a financial institution, an account holder or other financial intermediary (the "</w:t>
      </w:r>
      <w:r>
        <w:rPr>
          <w:rFonts w:ascii="Arial" w:cs="Arial" w:eastAsia="Arial" w:hAnsi="Arial"/>
          <w:sz w:val="18"/>
          <w:szCs w:val="18"/>
          <w:b w:val="1"/>
          <w:bCs w:val="1"/>
          <w:color w:val="auto"/>
        </w:rPr>
        <w:t>Beneficial Owners</w:t>
      </w:r>
      <w:r>
        <w:rPr>
          <w:rFonts w:ascii="Arial" w:cs="Arial" w:eastAsia="Arial" w:hAnsi="Arial"/>
          <w:sz w:val="18"/>
          <w:szCs w:val="18"/>
          <w:color w:val="auto"/>
        </w:rPr>
        <w:t>") on the Record Date, must also have their financial intermediary or their agent with whom the underlying shares are on deposit issue a proxy to them which confirms they are authorized to take part in and vote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spacing w:after="0" w:line="325" w:lineRule="auto"/>
        <w:rPr>
          <w:sz w:val="20"/>
          <w:szCs w:val="20"/>
          <w:color w:val="auto"/>
        </w:rPr>
      </w:pPr>
      <w:r>
        <w:rPr>
          <w:rFonts w:ascii="Arial" w:cs="Arial" w:eastAsia="Arial" w:hAnsi="Arial"/>
          <w:sz w:val="18"/>
          <w:szCs w:val="18"/>
          <w:color w:val="auto"/>
        </w:rPr>
        <w:t>Persons with Meeting Rights and Beneficial Owners who wish to attend the AGM, in person or represented by proxy, must notify the Company in writing of their identity and intention to attend the AGM (an "</w:t>
      </w:r>
      <w:r>
        <w:rPr>
          <w:rFonts w:ascii="Arial" w:cs="Arial" w:eastAsia="Arial" w:hAnsi="Arial"/>
          <w:sz w:val="18"/>
          <w:szCs w:val="18"/>
          <w:b w:val="1"/>
          <w:bCs w:val="1"/>
          <w:color w:val="auto"/>
        </w:rPr>
        <w:t>Attendance Notice</w:t>
      </w:r>
      <w:r>
        <w:rPr>
          <w:rFonts w:ascii="Arial" w:cs="Arial" w:eastAsia="Arial" w:hAnsi="Arial"/>
          <w:sz w:val="18"/>
          <w:szCs w:val="18"/>
          <w:color w:val="auto"/>
        </w:rPr>
        <w:t>") no later than 6:00 a.m. CEST on the day prior to the AGM (the "</w:t>
      </w:r>
      <w:r>
        <w:rPr>
          <w:rFonts w:ascii="Arial" w:cs="Arial" w:eastAsia="Arial" w:hAnsi="Arial"/>
          <w:sz w:val="18"/>
          <w:szCs w:val="18"/>
          <w:b w:val="1"/>
          <w:bCs w:val="1"/>
          <w:color w:val="auto"/>
        </w:rPr>
        <w:t>Cut-off Time</w:t>
      </w:r>
      <w:r>
        <w:rPr>
          <w:rFonts w:ascii="Arial" w:cs="Arial" w:eastAsia="Arial" w:hAnsi="Arial"/>
          <w:sz w:val="18"/>
          <w:szCs w:val="18"/>
          <w:color w:val="auto"/>
        </w:rPr>
        <w:t>"). Beneficial Owners must enclose with their Attendance Notice (i) proof of their beneficial ownership of the relevant underlying shares in the Company's capital, such as a recent account statement, and (ii) their signed proxy from the relevant shareholder who is registered in either of the Registers as the holder of those underlying shares on the Record Date.</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Persons with Meeting Rights and Beneficial Owners who have duly provided an Attendance Notice to the Company may have themselves represented at the AGM through the use of a written or electronically recorded proxy. Proxyholders must submit a signed proxy to the Company no later than the Cut-off Time and present a copy of their proxy upon entry to the AGM. A proxy form can be downloaded from the Company's website (http://www.pharvaris.com).</w:t>
      </w: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strongly discourages physical attendance at the AGM and highly recommends shareholders to vote by proxy. The Company is closely following the evolving nature of the global pandemic and will apply local and AGM-location-specific restrictions in this regard. Emergency legislation has been implemented in the Netherlands in response to the public health impact of the COVID-19 pandemic, which would allow us, among other matters, to call for a virtual meeting without physical attendance by shareholders. Depending on the number of shareholders who register to attend the meeting in person, we might make use of the flexibility provided thereunder to switch to a virtual meeting, held solely by means of remote communication, in order to protect the health and safety of our shareholders, our directors and others involved in the meeting. We can make that decision up to 48 hours before the meeting starts. Updates in this regard will be posted on our corporate website (and announced in a Dutch newspaper with national distribution, as applicable) if arrangements in relation to the AGM change.</w:t>
      </w:r>
    </w:p>
    <w:p>
      <w:pPr>
        <w:spacing w:after="0" w:line="251"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Any Attendance Notice, proof of beneficial ownership or signed proxy to be sent to the Company as part of the procedures described above must be provided via regular mail or e-mail to:</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20"/>
          <w:szCs w:val="20"/>
          <w:i w:val="1"/>
          <w:iCs w:val="1"/>
          <w:color w:val="auto"/>
        </w:rPr>
        <w:t>Pharvaris N.V.</w:t>
      </w:r>
    </w:p>
    <w:p>
      <w:pPr>
        <w:spacing w:after="0" w:line="4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auto"/>
        </w:rPr>
        <w:t>c/o General Counsel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J.H. Oortweg 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2333 CH Leiden</w:t>
      </w:r>
    </w:p>
    <w:p>
      <w:pPr>
        <w:jc w:val="center"/>
        <w:spacing w:after="0"/>
        <w:rPr>
          <w:sz w:val="20"/>
          <w:szCs w:val="20"/>
          <w:color w:val="auto"/>
        </w:rPr>
      </w:pPr>
      <w:r>
        <w:rPr>
          <w:rFonts w:ascii="Arial" w:cs="Arial" w:eastAsia="Arial" w:hAnsi="Arial"/>
          <w:sz w:val="20"/>
          <w:szCs w:val="20"/>
          <w:i w:val="1"/>
          <w:iCs w:val="1"/>
          <w:color w:val="auto"/>
        </w:rPr>
        <w:t>the Netherlands</w:t>
      </w:r>
    </w:p>
    <w:p>
      <w:pPr>
        <w:jc w:val="center"/>
        <w:spacing w:after="0"/>
        <w:rPr>
          <w:sz w:val="20"/>
          <w:szCs w:val="20"/>
          <w:color w:val="auto"/>
        </w:rPr>
      </w:pPr>
      <w:r>
        <w:rPr>
          <w:rFonts w:ascii="Arial" w:cs="Arial" w:eastAsia="Arial" w:hAnsi="Arial"/>
          <w:sz w:val="20"/>
          <w:szCs w:val="20"/>
          <w:i w:val="1"/>
          <w:iCs w:val="1"/>
          <w:color w:val="auto"/>
        </w:rPr>
        <w:t>investor.relations@pharvaris.com</w:t>
      </w:r>
    </w:p>
    <w:p>
      <w:pPr>
        <w:spacing w:after="0" w:line="281" w:lineRule="exact"/>
        <w:rPr>
          <w:sz w:val="20"/>
          <w:szCs w:val="20"/>
          <w:color w:val="auto"/>
        </w:rPr>
      </w:pPr>
    </w:p>
    <w:p>
      <w:pPr>
        <w:jc w:val="both"/>
        <w:ind w:right="20"/>
        <w:spacing w:after="0" w:line="363" w:lineRule="auto"/>
        <w:rPr>
          <w:sz w:val="20"/>
          <w:szCs w:val="20"/>
          <w:color w:val="auto"/>
        </w:rPr>
      </w:pPr>
      <w:r>
        <w:rPr>
          <w:rFonts w:ascii="Arial" w:cs="Arial" w:eastAsia="Arial" w:hAnsi="Arial"/>
          <w:sz w:val="18"/>
          <w:szCs w:val="18"/>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EXPLANATORY NOTES TO THE AGENDA</w:t>
      </w:r>
    </w:p>
    <w:p>
      <w:pPr>
        <w:spacing w:after="0" w:line="283" w:lineRule="exact"/>
        <w:rPr>
          <w:sz w:val="20"/>
          <w:szCs w:val="20"/>
          <w:color w:val="auto"/>
        </w:rPr>
      </w:pPr>
    </w:p>
    <w:p>
      <w:pPr>
        <w:ind w:left="880" w:hanging="872"/>
        <w:spacing w:after="0"/>
        <w:tabs>
          <w:tab w:leader="none" w:pos="8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Discussion of Dutch statutory board report for the fiscal year ended December 31, 2020 (</w:t>
      </w:r>
      <w:r>
        <w:rPr>
          <w:rFonts w:ascii="Arial" w:cs="Arial" w:eastAsia="Arial" w:hAnsi="Arial"/>
          <w:sz w:val="20"/>
          <w:szCs w:val="20"/>
          <w:b w:val="1"/>
          <w:bCs w:val="1"/>
          <w:i w:val="1"/>
          <w:iCs w:val="1"/>
          <w:color w:val="auto"/>
        </w:rPr>
        <w:t>discussion item</w:t>
      </w:r>
      <w:r>
        <w:rPr>
          <w:rFonts w:ascii="Arial" w:cs="Arial" w:eastAsia="Arial" w:hAnsi="Arial"/>
          <w:sz w:val="20"/>
          <w:szCs w:val="20"/>
          <w:b w:val="1"/>
          <w:bCs w:val="1"/>
          <w:color w:val="auto"/>
        </w:rPr>
        <w:t>)</w:t>
      </w:r>
    </w:p>
    <w:p>
      <w:pPr>
        <w:spacing w:after="0" w:line="302" w:lineRule="exact"/>
        <w:rPr>
          <w:rFonts w:ascii="Arial" w:cs="Arial" w:eastAsia="Arial" w:hAnsi="Arial"/>
          <w:sz w:val="20"/>
          <w:szCs w:val="20"/>
          <w:b w:val="1"/>
          <w:bCs w:val="1"/>
          <w:color w:val="auto"/>
        </w:rPr>
      </w:pPr>
    </w:p>
    <w:p>
      <w:pPr>
        <w:ind w:left="880"/>
        <w:spacing w:after="0" w:line="303" w:lineRule="auto"/>
        <w:rPr>
          <w:rFonts w:ascii="Arial" w:cs="Arial" w:eastAsia="Arial" w:hAnsi="Arial"/>
          <w:sz w:val="20"/>
          <w:szCs w:val="20"/>
          <w:b w:val="1"/>
          <w:bCs w:val="1"/>
          <w:color w:val="auto"/>
        </w:rPr>
      </w:pPr>
      <w:r>
        <w:rPr>
          <w:rFonts w:ascii="Arial" w:cs="Arial" w:eastAsia="Arial" w:hAnsi="Arial"/>
          <w:sz w:val="20"/>
          <w:szCs w:val="20"/>
          <w:color w:val="auto"/>
        </w:rPr>
        <w:t>The Company's statutory board report over the fiscal year 2020 has been made available on the Company's website (http://www.pharvaris.com) and at the Company's office address.</w:t>
      </w:r>
    </w:p>
    <w:p>
      <w:pPr>
        <w:spacing w:after="0" w:line="223" w:lineRule="exact"/>
        <w:rPr>
          <w:rFonts w:ascii="Arial" w:cs="Arial" w:eastAsia="Arial" w:hAnsi="Arial"/>
          <w:sz w:val="20"/>
          <w:szCs w:val="20"/>
          <w:b w:val="1"/>
          <w:bCs w:val="1"/>
          <w:color w:val="auto"/>
        </w:rPr>
      </w:pPr>
    </w:p>
    <w:p>
      <w:pPr>
        <w:ind w:left="880" w:hanging="872"/>
        <w:spacing w:after="0"/>
        <w:tabs>
          <w:tab w:leader="none" w:pos="8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Adoption of Dutch statutory annual accounts for the fiscal year ended December 31, 2020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316" w:lineRule="exact"/>
        <w:rPr>
          <w:rFonts w:ascii="Arial" w:cs="Arial" w:eastAsia="Arial" w:hAnsi="Arial"/>
          <w:sz w:val="20"/>
          <w:szCs w:val="20"/>
          <w:b w:val="1"/>
          <w:bCs w:val="1"/>
          <w:color w:val="auto"/>
        </w:rPr>
      </w:pPr>
    </w:p>
    <w:p>
      <w:pPr>
        <w:ind w:left="880"/>
        <w:spacing w:after="0" w:line="331" w:lineRule="auto"/>
        <w:rPr>
          <w:rFonts w:ascii="Arial" w:cs="Arial" w:eastAsia="Arial" w:hAnsi="Arial"/>
          <w:sz w:val="20"/>
          <w:szCs w:val="20"/>
          <w:b w:val="1"/>
          <w:bCs w:val="1"/>
          <w:color w:val="auto"/>
        </w:rPr>
      </w:pPr>
      <w:r>
        <w:rPr>
          <w:rFonts w:ascii="Arial" w:cs="Arial" w:eastAsia="Arial" w:hAnsi="Arial"/>
          <w:sz w:val="19"/>
          <w:szCs w:val="19"/>
          <w:color w:val="auto"/>
        </w:rPr>
        <w:t>The Company's annual accounts over the fiscal year 2020 have been made available on the Company's website (http://www.pharvaris.com) and at the Company's office address. It is proposed that these annual accounts be adopted.</w:t>
      </w:r>
    </w:p>
    <w:p>
      <w:pPr>
        <w:spacing w:after="0" w:line="201" w:lineRule="exact"/>
        <w:rPr>
          <w:rFonts w:ascii="Arial" w:cs="Arial" w:eastAsia="Arial" w:hAnsi="Arial"/>
          <w:sz w:val="20"/>
          <w:szCs w:val="20"/>
          <w:b w:val="1"/>
          <w:bCs w:val="1"/>
          <w:color w:val="auto"/>
        </w:rPr>
      </w:pPr>
    </w:p>
    <w:p>
      <w:pPr>
        <w:ind w:left="880" w:hanging="872"/>
        <w:spacing w:after="0" w:line="309" w:lineRule="auto"/>
        <w:tabs>
          <w:tab w:leader="none" w:pos="8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Discharge from liability for the Company's directors with respect to the performance of their duties during the fiscal year ended December 31, 2020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223" w:lineRule="exact"/>
        <w:rPr>
          <w:rFonts w:ascii="Arial" w:cs="Arial" w:eastAsia="Arial" w:hAnsi="Arial"/>
          <w:sz w:val="20"/>
          <w:szCs w:val="20"/>
          <w:b w:val="1"/>
          <w:bCs w:val="1"/>
          <w:color w:val="auto"/>
        </w:rPr>
      </w:pPr>
    </w:p>
    <w:p>
      <w:pPr>
        <w:jc w:val="both"/>
        <w:ind w:left="880"/>
        <w:spacing w:after="0" w:line="314" w:lineRule="auto"/>
        <w:rPr>
          <w:rFonts w:ascii="Arial" w:cs="Arial" w:eastAsia="Arial" w:hAnsi="Arial"/>
          <w:sz w:val="20"/>
          <w:szCs w:val="20"/>
          <w:b w:val="1"/>
          <w:bCs w:val="1"/>
          <w:color w:val="auto"/>
        </w:rPr>
      </w:pPr>
      <w:r>
        <w:rPr>
          <w:rFonts w:ascii="Arial" w:cs="Arial" w:eastAsia="Arial" w:hAnsi="Arial"/>
          <w:sz w:val="19"/>
          <w:szCs w:val="19"/>
          <w:color w:val="auto"/>
        </w:rPr>
        <w:t>It is proposed that the Company's directors be released from liability for the exercise of their duties during the fiscal year 2020. The scope of this release from liability extends to the exercise of their respective duties insofar as these are reflected in the Company's statutory board report or annual accounts over the fiscal year 2020 or in other public disclosures.</w:t>
      </w:r>
    </w:p>
    <w:p>
      <w:pPr>
        <w:spacing w:after="0" w:line="216" w:lineRule="exact"/>
        <w:rPr>
          <w:rFonts w:ascii="Arial" w:cs="Arial" w:eastAsia="Arial" w:hAnsi="Arial"/>
          <w:sz w:val="20"/>
          <w:szCs w:val="20"/>
          <w:b w:val="1"/>
          <w:bCs w:val="1"/>
          <w:color w:val="auto"/>
        </w:rPr>
      </w:pPr>
    </w:p>
    <w:p>
      <w:pPr>
        <w:ind w:left="880" w:hanging="872"/>
        <w:spacing w:after="0"/>
        <w:tabs>
          <w:tab w:leader="none" w:pos="8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Discussion of the Company's dividend and reservation policy (</w:t>
      </w:r>
      <w:r>
        <w:rPr>
          <w:rFonts w:ascii="Arial" w:cs="Arial" w:eastAsia="Arial" w:hAnsi="Arial"/>
          <w:sz w:val="20"/>
          <w:szCs w:val="20"/>
          <w:b w:val="1"/>
          <w:bCs w:val="1"/>
          <w:i w:val="1"/>
          <w:iCs w:val="1"/>
          <w:color w:val="auto"/>
        </w:rPr>
        <w:t>discussion item</w:t>
      </w:r>
      <w:r>
        <w:rPr>
          <w:rFonts w:ascii="Arial" w:cs="Arial" w:eastAsia="Arial" w:hAnsi="Arial"/>
          <w:sz w:val="20"/>
          <w:szCs w:val="20"/>
          <w:b w:val="1"/>
          <w:bCs w:val="1"/>
          <w:color w:val="auto"/>
        </w:rPr>
        <w:t>)</w:t>
      </w:r>
    </w:p>
    <w:p>
      <w:pPr>
        <w:spacing w:after="0" w:line="316" w:lineRule="exact"/>
        <w:rPr>
          <w:rFonts w:ascii="Arial" w:cs="Arial" w:eastAsia="Arial" w:hAnsi="Arial"/>
          <w:sz w:val="20"/>
          <w:szCs w:val="20"/>
          <w:b w:val="1"/>
          <w:bCs w:val="1"/>
          <w:color w:val="auto"/>
        </w:rPr>
      </w:pPr>
    </w:p>
    <w:p>
      <w:pPr>
        <w:jc w:val="both"/>
        <w:ind w:left="880"/>
        <w:spacing w:after="0" w:line="318" w:lineRule="auto"/>
        <w:rPr>
          <w:rFonts w:ascii="Arial" w:cs="Arial" w:eastAsia="Arial" w:hAnsi="Arial"/>
          <w:sz w:val="20"/>
          <w:szCs w:val="20"/>
          <w:b w:val="1"/>
          <w:bCs w:val="1"/>
          <w:color w:val="auto"/>
        </w:rPr>
      </w:pPr>
      <w:r>
        <w:rPr>
          <w:rFonts w:ascii="Arial" w:cs="Arial" w:eastAsia="Arial" w:hAnsi="Arial"/>
          <w:sz w:val="18"/>
          <w:szCs w:val="18"/>
          <w:color w:val="auto"/>
        </w:rPr>
        <w:t>The Company has never paid or declared any cash dividends on its shares, and the Company does not anticipate paying any cash dividends on its shares in the foreseeable future. The Company intends to retain available funds and future earnings to fund the development and expansion of its business. Under Dutch law, the Company may only pay dividends to the extent its shareholders' equity (</w:t>
      </w:r>
      <w:r>
        <w:rPr>
          <w:rFonts w:ascii="Arial" w:cs="Arial" w:eastAsia="Arial" w:hAnsi="Arial"/>
          <w:sz w:val="18"/>
          <w:szCs w:val="18"/>
          <w:i w:val="1"/>
          <w:iCs w:val="1"/>
          <w:color w:val="auto"/>
        </w:rPr>
        <w:t>eigen vermogen</w:t>
      </w:r>
      <w:r>
        <w:rPr>
          <w:rFonts w:ascii="Arial" w:cs="Arial" w:eastAsia="Arial" w:hAnsi="Arial"/>
          <w:sz w:val="18"/>
          <w:szCs w:val="18"/>
          <w:color w:val="auto"/>
        </w:rPr>
        <w:t>) exceeds the sum of the Company's paid-up and called-up share capital plus the reserves required to be maintained by Dutch law or by the Company's articles of association (if any). Subject to such restrictions, any future determination to pay dividends will be at the discretion of the Company's board (the "</w:t>
      </w:r>
      <w:r>
        <w:rPr>
          <w:rFonts w:ascii="Arial" w:cs="Arial" w:eastAsia="Arial" w:hAnsi="Arial"/>
          <w:sz w:val="18"/>
          <w:szCs w:val="18"/>
          <w:b w:val="1"/>
          <w:bCs w:val="1"/>
          <w:color w:val="auto"/>
        </w:rPr>
        <w:t>Board</w:t>
      </w:r>
      <w:r>
        <w:rPr>
          <w:rFonts w:ascii="Arial" w:cs="Arial" w:eastAsia="Arial" w:hAnsi="Arial"/>
          <w:sz w:val="18"/>
          <w:szCs w:val="18"/>
          <w:color w:val="auto"/>
        </w:rPr>
        <w:t>") and will depend upon a number of factors, including the Company's results of operations, financial condition, future prospects, contractual restrictions, restrictions imposed by applicable law and other factors the Board deem relevant. If and when the Company does intend to distribute a dividend, such dividend may be distributed in the form of cash only or shares only, through a combination of the foregoing (cash and shares) or through a choice dividend (cash or shares), in each case subject to applicable law.</w:t>
      </w:r>
    </w:p>
    <w:p>
      <w:pPr>
        <w:spacing w:after="0" w:line="167" w:lineRule="exact"/>
        <w:rPr>
          <w:rFonts w:ascii="Arial" w:cs="Arial" w:eastAsia="Arial" w:hAnsi="Arial"/>
          <w:sz w:val="20"/>
          <w:szCs w:val="20"/>
          <w:b w:val="1"/>
          <w:bCs w:val="1"/>
          <w:color w:val="auto"/>
        </w:rPr>
      </w:pPr>
    </w:p>
    <w:p>
      <w:pPr>
        <w:ind w:left="880" w:hanging="872"/>
        <w:spacing w:after="0"/>
        <w:tabs>
          <w:tab w:leader="none" w:pos="8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 of Ms. Viviane Monges as non-executive director of the Company (</w:t>
      </w:r>
      <w:r>
        <w:rPr>
          <w:rFonts w:ascii="Arial" w:cs="Arial" w:eastAsia="Arial" w:hAnsi="Arial"/>
          <w:sz w:val="20"/>
          <w:szCs w:val="20"/>
          <w:b w:val="1"/>
          <w:bCs w:val="1"/>
          <w:i w:val="1"/>
          <w:iCs w:val="1"/>
          <w:color w:val="auto"/>
        </w:rPr>
        <w:t>voting item</w:t>
      </w:r>
      <w:r>
        <w:rPr>
          <w:rFonts w:ascii="Arial" w:cs="Arial" w:eastAsia="Arial" w:hAnsi="Arial"/>
          <w:sz w:val="20"/>
          <w:szCs w:val="20"/>
          <w:b w:val="1"/>
          <w:bCs w:val="1"/>
          <w:color w:val="auto"/>
        </w:rPr>
        <w:t>)</w:t>
      </w:r>
    </w:p>
    <w:p>
      <w:pPr>
        <w:spacing w:after="0" w:line="302" w:lineRule="exact"/>
        <w:rPr>
          <w:rFonts w:ascii="Arial" w:cs="Arial" w:eastAsia="Arial" w:hAnsi="Arial"/>
          <w:sz w:val="20"/>
          <w:szCs w:val="20"/>
          <w:b w:val="1"/>
          <w:bCs w:val="1"/>
          <w:color w:val="auto"/>
        </w:rPr>
      </w:pPr>
    </w:p>
    <w:p>
      <w:pPr>
        <w:ind w:left="880"/>
        <w:spacing w:after="0" w:line="363" w:lineRule="auto"/>
        <w:rPr>
          <w:rFonts w:ascii="Arial" w:cs="Arial" w:eastAsia="Arial" w:hAnsi="Arial"/>
          <w:sz w:val="20"/>
          <w:szCs w:val="20"/>
          <w:b w:val="1"/>
          <w:bCs w:val="1"/>
          <w:color w:val="auto"/>
        </w:rPr>
      </w:pPr>
      <w:r>
        <w:rPr>
          <w:rFonts w:ascii="Arial" w:cs="Arial" w:eastAsia="Arial" w:hAnsi="Arial"/>
          <w:sz w:val="18"/>
          <w:szCs w:val="18"/>
          <w:color w:val="auto"/>
        </w:rPr>
        <w:t>The Board has made a binding nomination to appoint Ms. Viviane Monges as non-executive director of the Company for a period of four years, ending at the end of the annual general meeting of shareholders of the Company to be held in the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 w:name="page9"/>
    <w:bookmarkEnd w:id="8"/>
    <w:p>
      <w:pPr>
        <w:jc w:val="both"/>
        <w:spacing w:after="0" w:line="302" w:lineRule="auto"/>
        <w:rPr>
          <w:sz w:val="20"/>
          <w:szCs w:val="20"/>
          <w:color w:val="auto"/>
        </w:rPr>
      </w:pPr>
      <w:r>
        <w:rPr>
          <w:rFonts w:ascii="Arial" w:cs="Arial" w:eastAsia="Arial" w:hAnsi="Arial"/>
          <w:sz w:val="19"/>
          <w:szCs w:val="19"/>
          <w:color w:val="auto"/>
        </w:rPr>
        <w:t>Ms. Monges, age 57, currently serves on the board of multiple pharmaceutical, biotechnology and financial companies, and brings over 30 years of financial management experience from within the pharmaceutical industry and across several continents. Ms. Monges currently serves as a non-executive director at DBV Technologies, UCB, Novo Holdings, and Voluntis. She also served on the board of Idorsia. Prior to these roles, she was the VP of Finance and Control at Nestlé, Global CFO OTC Division at Novartis. Prior to her time at Novartis, Ms. Monges served as CFO of European Pharmaceuticals at Wyeth/Pfizer and as CFO of the Global Pharmaceutical Business unit of Wyeth/Pfizer. She holds an MBA with a major in finance from Ecole Supérieure de Commerce de Paris (ESCP).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Ms. Monges does not hold any shares in the capital of the Company.</w:t>
      </w: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The Board has considered the diversity objectives of the Company, such as nationality, age, gender, education and work background, in the preparation of this proposal. Ms. Monges is being nominated for appointment in view of her deep insights into corporate finance and has experience leading the growth of several multinational pharmaceutical companies in Asia, South America, and Europe. The Board believes that Ms. Monges would, if appointed, be a valuable addition to the composition of the Board and an asset to the Company's organization.</w:t>
      </w:r>
    </w:p>
    <w:p>
      <w:pPr>
        <w:sectPr>
          <w:pgSz w:w="11900" w:h="16838" w:orient="portrait"/>
          <w:cols w:equalWidth="0" w:num="1">
            <w:col w:w="10360"/>
          </w:cols>
          <w:pgMar w:left="1200" w:top="649"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PROXY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UNDERSIGNED</w:t>
      </w:r>
    </w:p>
    <w:p>
      <w:pPr>
        <w:spacing w:after="0" w:line="28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22860</wp:posOffset>
            </wp:positionV>
            <wp:extent cx="5237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77"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Address</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22860</wp:posOffset>
            </wp:positionV>
            <wp:extent cx="5237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acting on behalf of </w:t>
      </w:r>
      <w:r>
        <w:rPr>
          <w:rFonts w:ascii="Arial" w:cs="Arial" w:eastAsia="Arial" w:hAnsi="Arial"/>
          <w:sz w:val="20"/>
          <w:szCs w:val="20"/>
          <w:i w:val="1"/>
          <w:iCs w:val="1"/>
          <w:color w:val="auto"/>
        </w:rPr>
        <w:t>(only to be completed if relevant)</w:t>
      </w:r>
    </w:p>
    <w:p>
      <w:pPr>
        <w:spacing w:after="0" w:line="277"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22860</wp:posOffset>
            </wp:positionV>
            <wp:extent cx="5237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77"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Address</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22860</wp:posOffset>
            </wp:positionV>
            <wp:extent cx="5237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Principal</w:t>
      </w:r>
      <w:r>
        <w:rPr>
          <w:rFonts w:ascii="Arial" w:cs="Arial" w:eastAsia="Arial" w:hAnsi="Arial"/>
          <w:sz w:val="20"/>
          <w:szCs w:val="20"/>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DECLARES AS FOLLOWS</w:t>
      </w:r>
    </w:p>
    <w:p>
      <w:pPr>
        <w:spacing w:after="0" w:line="256" w:lineRule="exact"/>
        <w:rPr>
          <w:sz w:val="20"/>
          <w:szCs w:val="20"/>
          <w:color w:val="auto"/>
        </w:rPr>
      </w:pPr>
    </w:p>
    <w:p>
      <w:pPr>
        <w:jc w:val="both"/>
        <w:ind w:left="800" w:hanging="792"/>
        <w:spacing w:after="0" w:line="248" w:lineRule="auto"/>
        <w:tabs>
          <w:tab w:leader="none" w:pos="8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The Principal hereby registers for the annual general meeting of shareholders of Pharvaris N.V. (the "</w:t>
      </w:r>
      <w:r>
        <w:rPr>
          <w:rFonts w:ascii="Arial" w:cs="Arial" w:eastAsia="Arial" w:hAnsi="Arial"/>
          <w:sz w:val="20"/>
          <w:szCs w:val="20"/>
          <w:b w:val="1"/>
          <w:bCs w:val="1"/>
          <w:color w:val="auto"/>
        </w:rPr>
        <w:t>Company</w:t>
      </w:r>
      <w:r>
        <w:rPr>
          <w:rFonts w:ascii="Arial" w:cs="Arial" w:eastAsia="Arial" w:hAnsi="Arial"/>
          <w:sz w:val="20"/>
          <w:szCs w:val="20"/>
          <w:color w:val="auto"/>
        </w:rPr>
        <w:t>") to be held on June 29, 2021 at 1:00 p.m. CEST at J.H. Oortweg 21, 2333 CH Leiden, the Netherlands (the "</w:t>
      </w:r>
      <w:r>
        <w:rPr>
          <w:rFonts w:ascii="Arial" w:cs="Arial" w:eastAsia="Arial" w:hAnsi="Arial"/>
          <w:sz w:val="20"/>
          <w:szCs w:val="20"/>
          <w:b w:val="1"/>
          <w:bCs w:val="1"/>
          <w:color w:val="auto"/>
        </w:rPr>
        <w:t>AGM</w:t>
      </w:r>
      <w:r>
        <w:rPr>
          <w:rFonts w:ascii="Arial" w:cs="Arial" w:eastAsia="Arial" w:hAnsi="Arial"/>
          <w:sz w:val="20"/>
          <w:szCs w:val="20"/>
          <w:color w:val="auto"/>
        </w:rPr>
        <w:t>") and, for purposes of being represented at the AGM, grants a power of attorney to Mr. P.C.S. van der Bijl, civil law notary and partner of NautaDutilh N.V., or any substitute to be appointed by him (the "</w:t>
      </w:r>
      <w:r>
        <w:rPr>
          <w:rFonts w:ascii="Arial" w:cs="Arial" w:eastAsia="Arial" w:hAnsi="Arial"/>
          <w:sz w:val="20"/>
          <w:szCs w:val="20"/>
          <w:b w:val="1"/>
          <w:bCs w:val="1"/>
          <w:color w:val="auto"/>
        </w:rPr>
        <w:t>Proxyholder</w:t>
      </w:r>
      <w:r>
        <w:rPr>
          <w:rFonts w:ascii="Arial" w:cs="Arial" w:eastAsia="Arial" w:hAnsi="Arial"/>
          <w:sz w:val="20"/>
          <w:szCs w:val="20"/>
          <w:color w:val="auto"/>
        </w:rPr>
        <w:t>").</w:t>
      </w:r>
    </w:p>
    <w:p>
      <w:pPr>
        <w:spacing w:after="0" w:line="216" w:lineRule="exact"/>
        <w:rPr>
          <w:rFonts w:ascii="Arial" w:cs="Arial" w:eastAsia="Arial" w:hAnsi="Arial"/>
          <w:sz w:val="20"/>
          <w:szCs w:val="20"/>
          <w:b w:val="1"/>
          <w:bCs w:val="1"/>
          <w:color w:val="auto"/>
        </w:rPr>
      </w:pPr>
    </w:p>
    <w:p>
      <w:pPr>
        <w:ind w:left="800" w:hanging="792"/>
        <w:spacing w:after="0"/>
        <w:tabs>
          <w:tab w:leader="none" w:pos="80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The scope of this power of attorney extends to the performance of the following acts on behalf of the Principal at the AGM:</w:t>
      </w:r>
    </w:p>
    <w:p>
      <w:pPr>
        <w:spacing w:after="0" w:line="27" w:lineRule="exact"/>
        <w:rPr>
          <w:rFonts w:ascii="Arial" w:cs="Arial" w:eastAsia="Arial" w:hAnsi="Arial"/>
          <w:sz w:val="19"/>
          <w:szCs w:val="19"/>
          <w:b w:val="1"/>
          <w:bCs w:val="1"/>
          <w:color w:val="auto"/>
        </w:rPr>
      </w:pPr>
    </w:p>
    <w:p>
      <w:pPr>
        <w:ind w:left="1600" w:hanging="809"/>
        <w:spacing w:after="0"/>
        <w:tabs>
          <w:tab w:leader="none" w:pos="1600" w:val="left"/>
        </w:tabs>
        <w:numPr>
          <w:ilvl w:val="1"/>
          <w:numId w:val="3"/>
        </w:numPr>
        <w:rPr>
          <w:rFonts w:ascii="Arial" w:cs="Arial" w:eastAsia="Arial" w:hAnsi="Arial"/>
          <w:sz w:val="20"/>
          <w:szCs w:val="20"/>
          <w:b w:val="1"/>
          <w:bCs w:val="1"/>
          <w:color w:val="auto"/>
        </w:rPr>
      </w:pPr>
      <w:r>
        <w:rPr>
          <w:rFonts w:ascii="Arial" w:cs="Arial" w:eastAsia="Arial" w:hAnsi="Arial"/>
          <w:sz w:val="20"/>
          <w:szCs w:val="20"/>
          <w:color w:val="auto"/>
        </w:rPr>
        <w:t>to exercise the voting rights of the Principal in accordance with paragraph 3 below; and</w:t>
      </w:r>
    </w:p>
    <w:p>
      <w:pPr>
        <w:ind w:left="1600" w:hanging="809"/>
        <w:spacing w:after="0"/>
        <w:tabs>
          <w:tab w:leader="none" w:pos="1600" w:val="left"/>
        </w:tabs>
        <w:numPr>
          <w:ilvl w:val="1"/>
          <w:numId w:val="3"/>
        </w:numPr>
        <w:rPr>
          <w:rFonts w:ascii="Arial" w:cs="Arial" w:eastAsia="Arial" w:hAnsi="Arial"/>
          <w:sz w:val="20"/>
          <w:szCs w:val="20"/>
          <w:b w:val="1"/>
          <w:bCs w:val="1"/>
          <w:color w:val="auto"/>
        </w:rPr>
      </w:pPr>
      <w:r>
        <w:rPr>
          <w:rFonts w:ascii="Arial" w:cs="Arial" w:eastAsia="Arial" w:hAnsi="Arial"/>
          <w:sz w:val="20"/>
          <w:szCs w:val="20"/>
          <w:color w:val="auto"/>
        </w:rPr>
        <w:t>to exercise any other right of the Principal which the Principal would be allowed to exercise at the AGM.</w:t>
      </w:r>
    </w:p>
    <w:p>
      <w:pPr>
        <w:spacing w:after="0" w:line="226" w:lineRule="exact"/>
        <w:rPr>
          <w:rFonts w:ascii="Arial" w:cs="Arial" w:eastAsia="Arial" w:hAnsi="Arial"/>
          <w:sz w:val="20"/>
          <w:szCs w:val="20"/>
          <w:b w:val="1"/>
          <w:bCs w:val="1"/>
          <w:color w:val="auto"/>
        </w:rPr>
      </w:pPr>
    </w:p>
    <w:p>
      <w:pPr>
        <w:jc w:val="both"/>
        <w:ind w:left="800" w:hanging="792"/>
        <w:spacing w:after="0" w:line="250" w:lineRule="auto"/>
        <w:tabs>
          <w:tab w:leader="none" w:pos="8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This power of attorney shall be used by the Proxyholder to exercise the Principal's voting rights in the manner directed as set out below. If no choice is specified in respect of the sole voting item on the agenda, the Proxyholder shall vote "FOR" such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146050</wp:posOffset>
            </wp:positionV>
            <wp:extent cx="6120765" cy="1688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0765" cy="1688465"/>
                    </a:xfrm>
                    <a:prstGeom prst="rect">
                      <a:avLst/>
                    </a:prstGeom>
                    <a:noFill/>
                  </pic:spPr>
                </pic:pic>
              </a:graphicData>
            </a:graphic>
          </wp:anchor>
        </w:drawing>
      </w:r>
    </w:p>
    <w:p>
      <w:pPr>
        <w:spacing w:after="0" w:line="210" w:lineRule="exact"/>
        <w:rPr>
          <w:sz w:val="20"/>
          <w:szCs w:val="20"/>
          <w:color w:val="auto"/>
        </w:rPr>
      </w:pPr>
    </w:p>
    <w:tbl>
      <w:tblPr>
        <w:tblLayout w:type="fixed"/>
        <w:tblInd w:w="800" w:type="dxa"/>
        <w:tblCellMar>
          <w:top w:w="0" w:type="dxa"/>
          <w:left w:w="0" w:type="dxa"/>
          <w:bottom w:w="0" w:type="dxa"/>
          <w:right w:w="0" w:type="dxa"/>
        </w:tblCellMar>
      </w:tblPr>
      <w:tr>
        <w:trPr>
          <w:trHeight w:val="274"/>
        </w:trPr>
        <w:tc>
          <w:tcPr>
            <w:tcW w:w="3620" w:type="dxa"/>
            <w:vAlign w:val="bottom"/>
            <w:shd w:val="clear" w:color="auto" w:fill="DBE5F1"/>
          </w:tcPr>
          <w:p>
            <w:pPr>
              <w:ind w:left="140"/>
              <w:spacing w:after="0"/>
              <w:rPr>
                <w:sz w:val="20"/>
                <w:szCs w:val="20"/>
                <w:color w:val="auto"/>
              </w:rPr>
            </w:pPr>
            <w:r>
              <w:rPr>
                <w:rFonts w:ascii="Arial" w:cs="Arial" w:eastAsia="Arial" w:hAnsi="Arial"/>
                <w:sz w:val="20"/>
                <w:szCs w:val="20"/>
                <w:i w:val="1"/>
                <w:iCs w:val="1"/>
                <w:color w:val="auto"/>
              </w:rPr>
              <w:t>Agenda item</w:t>
            </w:r>
          </w:p>
        </w:tc>
        <w:tc>
          <w:tcPr>
            <w:tcW w:w="3320" w:type="dxa"/>
            <w:vAlign w:val="bottom"/>
            <w:shd w:val="clear" w:color="auto" w:fill="DBE5F1"/>
          </w:tcPr>
          <w:p>
            <w:pPr>
              <w:ind w:left="2480"/>
              <w:spacing w:after="0"/>
              <w:rPr>
                <w:sz w:val="20"/>
                <w:szCs w:val="20"/>
                <w:color w:val="auto"/>
              </w:rPr>
            </w:pPr>
            <w:r>
              <w:rPr>
                <w:rFonts w:ascii="Arial" w:cs="Arial" w:eastAsia="Arial" w:hAnsi="Arial"/>
                <w:sz w:val="20"/>
                <w:szCs w:val="20"/>
                <w:i w:val="1"/>
                <w:iCs w:val="1"/>
                <w:color w:val="auto"/>
              </w:rPr>
              <w:t>FOR</w:t>
            </w:r>
          </w:p>
        </w:tc>
        <w:tc>
          <w:tcPr>
            <w:tcW w:w="1500" w:type="dxa"/>
            <w:vAlign w:val="bottom"/>
            <w:shd w:val="clear" w:color="auto" w:fill="DBE5F1"/>
          </w:tcPr>
          <w:p>
            <w:pPr>
              <w:ind w:left="460"/>
              <w:spacing w:after="0"/>
              <w:rPr>
                <w:sz w:val="20"/>
                <w:szCs w:val="20"/>
                <w:color w:val="auto"/>
              </w:rPr>
            </w:pPr>
            <w:r>
              <w:rPr>
                <w:rFonts w:ascii="Arial" w:cs="Arial" w:eastAsia="Arial" w:hAnsi="Arial"/>
                <w:sz w:val="20"/>
                <w:szCs w:val="20"/>
                <w:i w:val="1"/>
                <w:iCs w:val="1"/>
                <w:color w:val="auto"/>
              </w:rPr>
              <w:t>AGAINST</w:t>
            </w:r>
          </w:p>
        </w:tc>
        <w:tc>
          <w:tcPr>
            <w:tcW w:w="1180" w:type="dxa"/>
            <w:vAlign w:val="bottom"/>
            <w:shd w:val="clear" w:color="auto" w:fill="DBE5F1"/>
          </w:tcPr>
          <w:p>
            <w:pPr>
              <w:ind w:left="260"/>
              <w:spacing w:after="0"/>
              <w:rPr>
                <w:sz w:val="20"/>
                <w:szCs w:val="20"/>
                <w:color w:val="auto"/>
              </w:rPr>
            </w:pPr>
            <w:r>
              <w:rPr>
                <w:rFonts w:ascii="Arial" w:cs="Arial" w:eastAsia="Arial" w:hAnsi="Arial"/>
                <w:sz w:val="20"/>
                <w:szCs w:val="20"/>
                <w:i w:val="1"/>
                <w:iCs w:val="1"/>
                <w:color w:val="auto"/>
              </w:rPr>
              <w:t>ABSTAIN</w:t>
            </w:r>
          </w:p>
        </w:tc>
      </w:tr>
      <w:tr>
        <w:trPr>
          <w:trHeight w:val="118"/>
        </w:trPr>
        <w:tc>
          <w:tcPr>
            <w:tcW w:w="3620" w:type="dxa"/>
            <w:vAlign w:val="bottom"/>
            <w:shd w:val="clear" w:color="auto" w:fill="DBE5F1"/>
          </w:tcPr>
          <w:p>
            <w:pPr>
              <w:spacing w:after="0"/>
              <w:rPr>
                <w:sz w:val="10"/>
                <w:szCs w:val="10"/>
                <w:color w:val="auto"/>
              </w:rPr>
            </w:pPr>
          </w:p>
        </w:tc>
        <w:tc>
          <w:tcPr>
            <w:tcW w:w="3320" w:type="dxa"/>
            <w:vAlign w:val="bottom"/>
            <w:shd w:val="clear" w:color="auto" w:fill="DBE5F1"/>
          </w:tcPr>
          <w:p>
            <w:pPr>
              <w:spacing w:after="0"/>
              <w:rPr>
                <w:sz w:val="10"/>
                <w:szCs w:val="10"/>
                <w:color w:val="auto"/>
              </w:rPr>
            </w:pPr>
          </w:p>
        </w:tc>
        <w:tc>
          <w:tcPr>
            <w:tcW w:w="1500" w:type="dxa"/>
            <w:vAlign w:val="bottom"/>
            <w:shd w:val="clear" w:color="auto" w:fill="DBE5F1"/>
          </w:tcPr>
          <w:p>
            <w:pPr>
              <w:spacing w:after="0"/>
              <w:rPr>
                <w:sz w:val="10"/>
                <w:szCs w:val="10"/>
                <w:color w:val="auto"/>
              </w:rPr>
            </w:pPr>
          </w:p>
        </w:tc>
        <w:tc>
          <w:tcPr>
            <w:tcW w:w="1180" w:type="dxa"/>
            <w:vAlign w:val="bottom"/>
            <w:shd w:val="clear" w:color="auto" w:fill="DBE5F1"/>
          </w:tcPr>
          <w:p>
            <w:pPr>
              <w:spacing w:after="0"/>
              <w:rPr>
                <w:sz w:val="10"/>
                <w:szCs w:val="10"/>
                <w:color w:val="auto"/>
              </w:rPr>
            </w:pPr>
          </w:p>
        </w:tc>
      </w:tr>
    </w:tbl>
    <w:p>
      <w:pPr>
        <w:spacing w:after="0" w:line="2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Adoption of Dutch statutory annual accounts for the fiscal year</w:t>
      </w:r>
    </w:p>
    <w:p>
      <w:pPr>
        <w:spacing w:after="0" w:line="5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ended December 31, 2020</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Discharge from liability for the Company's directors with respect</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to the performance of their duties during the fiscal year ended</w:t>
      </w:r>
    </w:p>
    <w:p>
      <w:pPr>
        <w:spacing w:after="0" w:line="5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December 31, 2020</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Appointment of Ms. Viviane Monges as non-executive director of</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20"/>
          <w:szCs w:val="20"/>
          <w:color w:val="auto"/>
        </w:rPr>
        <w:t>the Company</w:t>
      </w:r>
    </w:p>
    <w:p>
      <w:pPr>
        <w:spacing w:after="0" w:line="378"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This power of attorney is granted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ind w:left="792" w:hanging="792"/>
        <w:spacing w:after="0" w:line="260" w:lineRule="auto"/>
        <w:tabs>
          <w:tab w:leader="none" w:pos="792"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The relationship between the Principal and the Proxyholder under this power of attorney is governed exclusively by the laws of the Netherlands.</w:t>
      </w: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837565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609" w:right="339" w:bottom="1440" w:gutter="0" w:footer="0" w:header="0"/>
        </w:sectPr>
      </w:pPr>
    </w:p>
    <w:bookmarkStart w:id="11" w:name="page12"/>
    <w:bookmarkEnd w:id="11"/>
    <w:p>
      <w:pPr>
        <w:ind w:left="5080"/>
        <w:spacing w:after="0"/>
        <w:rPr>
          <w:sz w:val="20"/>
          <w:szCs w:val="20"/>
          <w:color w:val="auto"/>
        </w:rPr>
      </w:pPr>
      <w:r>
        <w:rPr>
          <w:rFonts w:ascii="Arial" w:cs="Arial" w:eastAsia="Arial" w:hAnsi="Arial"/>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177165</wp:posOffset>
            </wp:positionV>
            <wp:extent cx="3642995" cy="87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4299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Please return this signed proxy via regular mail or e-mail to:</w:t>
      </w:r>
    </w:p>
    <w:p>
      <w:pPr>
        <w:spacing w:after="0" w:line="283" w:lineRule="exact"/>
        <w:rPr>
          <w:sz w:val="20"/>
          <w:szCs w:val="20"/>
          <w:color w:val="auto"/>
        </w:rPr>
      </w:pPr>
    </w:p>
    <w:p>
      <w:pPr>
        <w:ind w:left="5040"/>
        <w:spacing w:after="0"/>
        <w:rPr>
          <w:sz w:val="20"/>
          <w:szCs w:val="20"/>
          <w:color w:val="auto"/>
        </w:rPr>
      </w:pPr>
      <w:r>
        <w:rPr>
          <w:rFonts w:ascii="Arial" w:cs="Arial" w:eastAsia="Arial" w:hAnsi="Arial"/>
          <w:sz w:val="20"/>
          <w:szCs w:val="20"/>
          <w:i w:val="1"/>
          <w:iCs w:val="1"/>
          <w:color w:val="auto"/>
        </w:rPr>
        <w:t>Pharvaris N.V.</w:t>
      </w:r>
    </w:p>
    <w:p>
      <w:pPr>
        <w:spacing w:after="0" w:line="4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auto"/>
        </w:rPr>
        <w:t>c/o General Counsel</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J.H. Oortweg 21</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2333 CH Leiden</w:t>
      </w:r>
    </w:p>
    <w:p>
      <w:pPr>
        <w:jc w:val="center"/>
        <w:ind w:right="-1120"/>
        <w:spacing w:after="0"/>
        <w:rPr>
          <w:sz w:val="20"/>
          <w:szCs w:val="20"/>
          <w:color w:val="auto"/>
        </w:rPr>
      </w:pPr>
      <w:r>
        <w:rPr>
          <w:rFonts w:ascii="Arial" w:cs="Arial" w:eastAsia="Arial" w:hAnsi="Arial"/>
          <w:sz w:val="20"/>
          <w:szCs w:val="20"/>
          <w:i w:val="1"/>
          <w:iCs w:val="1"/>
          <w:color w:val="auto"/>
        </w:rPr>
        <w:t>the Netherlands</w:t>
      </w:r>
    </w:p>
    <w:p>
      <w:pPr>
        <w:jc w:val="center"/>
        <w:ind w:right="-1120"/>
        <w:spacing w:after="0"/>
        <w:rPr>
          <w:sz w:val="20"/>
          <w:szCs w:val="20"/>
          <w:color w:val="auto"/>
        </w:rPr>
      </w:pPr>
      <w:r>
        <w:rPr>
          <w:rFonts w:ascii="Arial" w:cs="Arial" w:eastAsia="Arial" w:hAnsi="Arial"/>
          <w:sz w:val="20"/>
          <w:szCs w:val="20"/>
          <w:i w:val="1"/>
          <w:iCs w:val="1"/>
          <w:color w:val="auto"/>
        </w:rPr>
        <w:t>investor.relations@pharvaris.com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the Principal is a beneficial owner of shares in the Company's capital, please enclose:</w:t>
      </w:r>
    </w:p>
    <w:p>
      <w:pPr>
        <w:spacing w:after="0" w:line="40" w:lineRule="exact"/>
        <w:rPr>
          <w:sz w:val="20"/>
          <w:szCs w:val="20"/>
          <w:color w:val="auto"/>
        </w:rPr>
      </w:pPr>
    </w:p>
    <w:p>
      <w:pPr>
        <w:ind w:left="800" w:hanging="792"/>
        <w:spacing w:after="0"/>
        <w:tabs>
          <w:tab w:leader="none" w:pos="800" w:val="left"/>
        </w:tabs>
        <w:numPr>
          <w:ilvl w:val="0"/>
          <w:numId w:val="6"/>
        </w:numPr>
        <w:rPr>
          <w:rFonts w:ascii="Arial" w:cs="Arial" w:eastAsia="Arial" w:hAnsi="Arial"/>
          <w:sz w:val="20"/>
          <w:szCs w:val="20"/>
          <w:i w:val="1"/>
          <w:iCs w:val="1"/>
          <w:color w:val="auto"/>
        </w:rPr>
      </w:pPr>
      <w:r>
        <w:rPr>
          <w:rFonts w:ascii="Arial" w:cs="Arial" w:eastAsia="Arial" w:hAnsi="Arial"/>
          <w:sz w:val="20"/>
          <w:szCs w:val="20"/>
          <w:i w:val="1"/>
          <w:iCs w:val="1"/>
          <w:color w:val="auto"/>
        </w:rPr>
        <w:t>proof of beneficial ownership of the underlying shares, such as a recent account statement; and</w:t>
      </w:r>
    </w:p>
    <w:p>
      <w:pPr>
        <w:spacing w:after="0" w:line="40" w:lineRule="exact"/>
        <w:rPr>
          <w:rFonts w:ascii="Arial" w:cs="Arial" w:eastAsia="Arial" w:hAnsi="Arial"/>
          <w:sz w:val="20"/>
          <w:szCs w:val="20"/>
          <w:i w:val="1"/>
          <w:iCs w:val="1"/>
          <w:color w:val="auto"/>
        </w:rPr>
      </w:pPr>
    </w:p>
    <w:p>
      <w:pPr>
        <w:ind w:left="800" w:hanging="792"/>
        <w:spacing w:after="0"/>
        <w:tabs>
          <w:tab w:leader="none" w:pos="8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 signed proxy from the relevant holder of those underlying shares on the record date for the AGM, June 1, 2021.</w:t>
      </w:r>
    </w:p>
    <w:sectPr>
      <w:pgSz w:w="11900" w:h="16838" w:orient="portrait"/>
      <w:cols w:equalWidth="0" w:num="1">
        <w:col w:w="10139"/>
      </w:cols>
      <w:pgMar w:left="320" w:top="6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2021-06-11T07:02:36Z</dcterms:created>
  <dcterms:modified xsi:type="dcterms:W3CDTF">2021-06-11T07:02:36Z</dcterms:modified>
</cp:coreProperties>
</file>