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32406B"/>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32406B"/>
        </w:rPr>
        <w:t>Registration Number 333-252157</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i w:val="1"/>
          <w:iCs w:val="1"/>
          <w:color w:val="32406B"/>
        </w:rPr>
        <w:t>8,270,500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182245</wp:posOffset>
            </wp:positionV>
            <wp:extent cx="136271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102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i w:val="1"/>
          <w:iCs w:val="1"/>
          <w:color w:val="32406B"/>
        </w:rPr>
        <w:t>Pharvaris B.V.</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to be converted and renamed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i w:val="1"/>
          <w:iCs w:val="1"/>
          <w:color w:val="32406B"/>
        </w:rPr>
        <w:t>Pharvaris N.V.</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(a public company with limited liability incorporated in 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250190</wp:posOffset>
            </wp:positionV>
            <wp:extent cx="1491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32406B"/>
        </w:rPr>
        <w:t>We are offering 8,270,500 ordinary shares. This is our initial public offering and no public market currently exists for our ordinary shares. The initial public offering price is $20.00 per ordinary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Our ordinary shares have been approved for listing on the Nasdaq Global Select Market under the symbol “PHVS.”</w:t>
      </w:r>
    </w:p>
    <w:p>
      <w:pPr>
        <w:spacing w:after="0" w:line="225" w:lineRule="exact"/>
        <w:rPr>
          <w:sz w:val="24"/>
          <w:szCs w:val="24"/>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32406B"/>
        </w:rPr>
        <w:t>We are an “emerging growth company” and a “foreign private issuer” as defined under the Securities and Exchange Commission, or SEC, rules and will be subject to reduced public company reporting requirements for this prospectus and future filings. See, “Prospectus Summary—Implications of Being an ‘Emerging Growth Company’ and a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208915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right="120"/>
        <w:spacing w:after="0" w:line="264" w:lineRule="auto"/>
        <w:rPr>
          <w:rFonts w:ascii="Times New Roman" w:cs="Times New Roman" w:eastAsia="Times New Roman" w:hAnsi="Times New Roman"/>
          <w:sz w:val="22"/>
          <w:szCs w:val="22"/>
          <w:b w:val="1"/>
          <w:bCs w:val="1"/>
          <w:i w:val="1"/>
          <w:iCs w:val="1"/>
          <w:color w:val="32406B"/>
        </w:rPr>
      </w:pPr>
      <w:r>
        <w:rPr>
          <w:rFonts w:ascii="Times New Roman" w:cs="Times New Roman" w:eastAsia="Times New Roman" w:hAnsi="Times New Roman"/>
          <w:sz w:val="22"/>
          <w:szCs w:val="22"/>
          <w:b w:val="1"/>
          <w:bCs w:val="1"/>
          <w:i w:val="1"/>
          <w:iCs w:val="1"/>
          <w:color w:val="32406B"/>
        </w:rPr>
        <w:t>Our business and an investment in our ordinary shares involves a high degree of risk. See “</w:t>
      </w:r>
      <w:hyperlink w:anchor="page20">
        <w:r>
          <w:rPr>
            <w:rFonts w:ascii="Times New Roman" w:cs="Times New Roman" w:eastAsia="Times New Roman" w:hAnsi="Times New Roman"/>
            <w:sz w:val="22"/>
            <w:szCs w:val="22"/>
            <w:b w:val="1"/>
            <w:bCs w:val="1"/>
            <w:i w:val="1"/>
            <w:iCs w:val="1"/>
            <w:u w:val="single" w:color="auto"/>
            <w:color w:val="0000EE"/>
          </w:rPr>
          <w:t>Risk Factors</w:t>
        </w:r>
      </w:hyperlink>
      <w:r>
        <w:rPr>
          <w:rFonts w:ascii="Times New Roman" w:cs="Times New Roman" w:eastAsia="Times New Roman" w:hAnsi="Times New Roman"/>
          <w:sz w:val="22"/>
          <w:szCs w:val="22"/>
          <w:b w:val="1"/>
          <w:bCs w:val="1"/>
          <w:i w:val="1"/>
          <w:iCs w:val="1"/>
          <w:color w:val="32406B"/>
        </w:rPr>
        <w:t>” beginning on page 16 of this prospectus.</w:t>
      </w:r>
    </w:p>
    <w:p>
      <w:pPr>
        <w:spacing w:after="0" w:line="157" w:lineRule="exact"/>
        <w:rPr>
          <w:sz w:val="24"/>
          <w:szCs w:val="24"/>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Neither the SEC nor any state securities commission has approved or disapproved of these securities or determined if this prospectus is truthful or complete. Any representation to the contrary is a criminal offense.</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32406B"/>
              </w:rPr>
              <w:t>PER ORDINARY</w:t>
            </w:r>
          </w:p>
        </w:tc>
        <w:tc>
          <w:tcPr>
            <w:tcW w:w="84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32406B"/>
                <w:w w:val="97"/>
              </w:rPr>
              <w:t>TOTAL</w:t>
            </w:r>
          </w:p>
        </w:tc>
        <w:tc>
          <w:tcPr>
            <w:tcW w:w="0" w:type="dxa"/>
            <w:vAlign w:val="bottom"/>
          </w:tcPr>
          <w:p>
            <w:pPr>
              <w:spacing w:after="0"/>
              <w:rPr>
                <w:sz w:val="1"/>
                <w:szCs w:val="1"/>
                <w:color w:val="auto"/>
              </w:rPr>
            </w:pPr>
          </w:p>
        </w:tc>
      </w:tr>
      <w:tr>
        <w:trPr>
          <w:trHeight w:val="175"/>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32406B"/>
              </w:rPr>
              <w:t>Public offering price</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i w:val="1"/>
                <w:iCs w:val="1"/>
                <w:color w:val="32406B"/>
              </w:rPr>
              <w:t>SHARE</w:t>
            </w:r>
          </w:p>
        </w:tc>
        <w:tc>
          <w:tcPr>
            <w:tcW w:w="620" w:type="dxa"/>
            <w:vAlign w:val="bottom"/>
          </w:tcPr>
          <w:p>
            <w:pPr>
              <w:spacing w:after="0"/>
              <w:rPr>
                <w:sz w:val="15"/>
                <w:szCs w:val="15"/>
                <w:color w:val="auto"/>
              </w:rPr>
            </w:pP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i w:val="1"/>
                <w:iCs w:val="1"/>
                <w:color w:val="32406B"/>
              </w:rPr>
              <w:t>$</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1060" w:type="dxa"/>
            <w:vAlign w:val="bottom"/>
            <w:shd w:val="clear" w:color="auto" w:fill="32406B"/>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460" w:type="dxa"/>
            <w:vAlign w:val="bottom"/>
            <w:shd w:val="clear" w:color="auto" w:fill="32406B"/>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00" w:type="dxa"/>
            <w:vAlign w:val="bottom"/>
            <w:vMerge w:val="continue"/>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32406B"/>
              </w:rPr>
              <w:t>$20.00</w:t>
            </w:r>
          </w:p>
        </w:tc>
        <w:tc>
          <w:tcPr>
            <w:tcW w:w="6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i w:val="1"/>
                <w:iCs w:val="1"/>
                <w:color w:val="32406B"/>
                <w:w w:val="82"/>
              </w:rPr>
              <w:t>165,410,000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i w:val="1"/>
                <w:iCs w:val="1"/>
                <w:color w:val="32406B"/>
              </w:rPr>
              <w:t>Underwriting discounts and commissions(1)</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i w:val="1"/>
                <w:iCs w:val="1"/>
                <w:color w:val="32406B"/>
              </w:rPr>
              <w:t>$1.40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32406B"/>
              </w:rPr>
              <w:t>$11,578,700</w:t>
            </w:r>
          </w:p>
        </w:tc>
        <w:tc>
          <w:tcPr>
            <w:tcW w:w="0" w:type="dxa"/>
            <w:vAlign w:val="bottom"/>
          </w:tcPr>
          <w:p>
            <w:pPr>
              <w:spacing w:after="0"/>
              <w:rPr>
                <w:sz w:val="1"/>
                <w:szCs w:val="1"/>
                <w:color w:val="auto"/>
              </w:rPr>
            </w:pPr>
          </w:p>
        </w:tc>
      </w:tr>
      <w:tr>
        <w:trPr>
          <w:trHeight w:val="236"/>
        </w:trPr>
        <w:tc>
          <w:tcPr>
            <w:tcW w:w="7900" w:type="dxa"/>
            <w:vAlign w:val="bottom"/>
          </w:tcPr>
          <w:p>
            <w:pPr>
              <w:spacing w:after="0"/>
              <w:rPr>
                <w:sz w:val="20"/>
                <w:szCs w:val="20"/>
                <w:color w:val="auto"/>
              </w:rPr>
            </w:pPr>
            <w:r>
              <w:rPr>
                <w:rFonts w:ascii="Times New Roman" w:cs="Times New Roman" w:eastAsia="Times New Roman" w:hAnsi="Times New Roman"/>
                <w:sz w:val="18"/>
                <w:szCs w:val="18"/>
                <w:i w:val="1"/>
                <w:iCs w:val="1"/>
                <w:color w:val="32406B"/>
              </w:rPr>
              <w:t>Proceeds to us, before expenses</w:t>
            </w: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i w:val="1"/>
                <w:iCs w:val="1"/>
                <w:color w:val="32406B"/>
              </w:rPr>
              <w:t>$18.60</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32406B"/>
              </w:rPr>
              <w:t>$153,831,300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5" w:lineRule="exact"/>
        <w:rPr>
          <w:sz w:val="24"/>
          <w:szCs w:val="24"/>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i w:val="1"/>
          <w:iCs w:val="1"/>
          <w:color w:val="32406B"/>
        </w:rPr>
      </w:pPr>
      <w:r>
        <w:rPr>
          <w:rFonts w:ascii="Times New Roman" w:cs="Times New Roman" w:eastAsia="Times New Roman" w:hAnsi="Times New Roman"/>
          <w:sz w:val="18"/>
          <w:szCs w:val="18"/>
          <w:i w:val="1"/>
          <w:iCs w:val="1"/>
          <w:color w:val="32406B"/>
        </w:rPr>
        <w:t>See “Underwriting” for additional information regarding underwriting compensation.</w:t>
      </w:r>
    </w:p>
    <w:p>
      <w:pPr>
        <w:spacing w:after="0" w:line="225" w:lineRule="exact"/>
        <w:rPr>
          <w:sz w:val="24"/>
          <w:szCs w:val="24"/>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32406B"/>
        </w:rPr>
        <w:t>Delivery of the ordinary shares is expected to be made on or about February 9, 2021. We have granted the underwriters an option for a period of 30 days from the date of this prospectus to purchase up to an additional 1,240,575 ordinary shares solely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207645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32406B"/>
        </w:rPr>
        <w:t>Joint Book-Running Managers</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332"/>
        </w:trPr>
        <w:tc>
          <w:tcPr>
            <w:tcW w:w="3200" w:type="dxa"/>
            <w:vAlign w:val="bottom"/>
          </w:tcPr>
          <w:p>
            <w:pPr>
              <w:spacing w:after="0"/>
              <w:rPr>
                <w:sz w:val="20"/>
                <w:szCs w:val="20"/>
                <w:color w:val="auto"/>
              </w:rPr>
            </w:pPr>
            <w:r>
              <w:rPr>
                <w:rFonts w:ascii="Times New Roman" w:cs="Times New Roman" w:eastAsia="Times New Roman" w:hAnsi="Times New Roman"/>
                <w:sz w:val="25"/>
                <w:szCs w:val="25"/>
                <w:i w:val="1"/>
                <w:iCs w:val="1"/>
                <w:color w:val="32406B"/>
              </w:rPr>
              <w:t>Morgan Stanley</w:t>
            </w:r>
          </w:p>
        </w:tc>
        <w:tc>
          <w:tcPr>
            <w:tcW w:w="5140" w:type="dxa"/>
            <w:vAlign w:val="bottom"/>
          </w:tcPr>
          <w:p>
            <w:pPr>
              <w:jc w:val="center"/>
              <w:ind w:left="198"/>
              <w:spacing w:after="0"/>
              <w:rPr>
                <w:sz w:val="20"/>
                <w:szCs w:val="20"/>
                <w:color w:val="auto"/>
              </w:rPr>
            </w:pPr>
            <w:r>
              <w:rPr>
                <w:rFonts w:ascii="Times New Roman" w:cs="Times New Roman" w:eastAsia="Times New Roman" w:hAnsi="Times New Roman"/>
                <w:sz w:val="25"/>
                <w:szCs w:val="25"/>
                <w:i w:val="1"/>
                <w:iCs w:val="1"/>
                <w:color w:val="32406B"/>
              </w:rPr>
              <w:t>BofA Securities</w:t>
            </w:r>
          </w:p>
        </w:tc>
        <w:tc>
          <w:tcPr>
            <w:tcW w:w="2900" w:type="dxa"/>
            <w:vAlign w:val="bottom"/>
          </w:tcPr>
          <w:p>
            <w:pPr>
              <w:jc w:val="right"/>
              <w:spacing w:after="0"/>
              <w:rPr>
                <w:sz w:val="20"/>
                <w:szCs w:val="20"/>
                <w:color w:val="auto"/>
              </w:rPr>
            </w:pPr>
            <w:r>
              <w:rPr>
                <w:rFonts w:ascii="Times New Roman" w:cs="Times New Roman" w:eastAsia="Times New Roman" w:hAnsi="Times New Roman"/>
                <w:sz w:val="25"/>
                <w:szCs w:val="25"/>
                <w:i w:val="1"/>
                <w:iCs w:val="1"/>
                <w:color w:val="32406B"/>
              </w:rPr>
              <w:t>SVB Leerink</w:t>
            </w:r>
          </w:p>
        </w:tc>
        <w:tc>
          <w:tcPr>
            <w:tcW w:w="0" w:type="dxa"/>
            <w:vAlign w:val="bottom"/>
          </w:tcPr>
          <w:p>
            <w:pPr>
              <w:spacing w:after="0"/>
              <w:rPr>
                <w:sz w:val="1"/>
                <w:szCs w:val="1"/>
                <w:color w:val="auto"/>
              </w:rPr>
            </w:pPr>
          </w:p>
        </w:tc>
      </w:tr>
      <w:tr>
        <w:trPr>
          <w:trHeight w:val="423"/>
        </w:trPr>
        <w:tc>
          <w:tcPr>
            <w:tcW w:w="3200" w:type="dxa"/>
            <w:vAlign w:val="bottom"/>
            <w:vMerge w:val="restart"/>
          </w:tcPr>
          <w:p>
            <w:pPr>
              <w:spacing w:after="0"/>
              <w:rPr>
                <w:sz w:val="20"/>
                <w:szCs w:val="20"/>
                <w:color w:val="auto"/>
              </w:rPr>
            </w:pPr>
            <w:r>
              <w:rPr>
                <w:rFonts w:ascii="Times New Roman" w:cs="Times New Roman" w:eastAsia="Times New Roman" w:hAnsi="Times New Roman"/>
                <w:sz w:val="25"/>
                <w:szCs w:val="25"/>
                <w:i w:val="1"/>
                <w:iCs w:val="1"/>
                <w:color w:val="32406B"/>
              </w:rPr>
              <w:t>Oppenheimer &amp; Co.</w:t>
            </w:r>
          </w:p>
        </w:tc>
        <w:tc>
          <w:tcPr>
            <w:tcW w:w="5140" w:type="dxa"/>
            <w:vAlign w:val="bottom"/>
          </w:tcPr>
          <w:p>
            <w:pPr>
              <w:jc w:val="center"/>
              <w:ind w:left="198"/>
              <w:spacing w:after="0"/>
              <w:rPr>
                <w:sz w:val="20"/>
                <w:szCs w:val="20"/>
                <w:color w:val="auto"/>
              </w:rPr>
            </w:pPr>
            <w:r>
              <w:rPr>
                <w:rFonts w:ascii="Times New Roman" w:cs="Times New Roman" w:eastAsia="Times New Roman" w:hAnsi="Times New Roman"/>
                <w:sz w:val="18"/>
                <w:szCs w:val="18"/>
                <w:i w:val="1"/>
                <w:iCs w:val="1"/>
                <w:color w:val="32406B"/>
                <w:w w:val="99"/>
              </w:rPr>
              <w:t>Co-Managers</w:t>
            </w:r>
          </w:p>
        </w:tc>
        <w:tc>
          <w:tcPr>
            <w:tcW w:w="29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i w:val="1"/>
                <w:iCs w:val="1"/>
                <w:color w:val="32406B"/>
              </w:rPr>
              <w:t>Kempen &amp; Co</w:t>
            </w:r>
          </w:p>
        </w:tc>
        <w:tc>
          <w:tcPr>
            <w:tcW w:w="0" w:type="dxa"/>
            <w:vAlign w:val="bottom"/>
          </w:tcPr>
          <w:p>
            <w:pPr>
              <w:spacing w:after="0"/>
              <w:rPr>
                <w:sz w:val="1"/>
                <w:szCs w:val="1"/>
                <w:color w:val="auto"/>
              </w:rPr>
            </w:pPr>
          </w:p>
        </w:tc>
      </w:tr>
      <w:tr>
        <w:trPr>
          <w:trHeight w:val="319"/>
        </w:trPr>
        <w:tc>
          <w:tcPr>
            <w:tcW w:w="3200" w:type="dxa"/>
            <w:vAlign w:val="bottom"/>
            <w:vMerge w:val="continue"/>
          </w:tcPr>
          <w:p>
            <w:pPr>
              <w:spacing w:after="0"/>
              <w:rPr>
                <w:sz w:val="24"/>
                <w:szCs w:val="24"/>
                <w:color w:val="auto"/>
              </w:rPr>
            </w:pPr>
          </w:p>
        </w:tc>
        <w:tc>
          <w:tcPr>
            <w:tcW w:w="51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200" w:type="dxa"/>
            <w:vAlign w:val="bottom"/>
          </w:tcPr>
          <w:p>
            <w:pPr>
              <w:spacing w:after="0"/>
              <w:rPr>
                <w:sz w:val="24"/>
                <w:szCs w:val="24"/>
                <w:color w:val="auto"/>
              </w:rPr>
            </w:pPr>
          </w:p>
        </w:tc>
        <w:tc>
          <w:tcPr>
            <w:tcW w:w="51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32406B"/>
              </w:rPr>
              <w:t>Prospectus dated February 4, 2021</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6" w:right="3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32406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258445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92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About This Prospectus</w:t>
              </w:r>
            </w:hyperlink>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32406B"/>
              </w:rPr>
              <w:t>Page</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380" w:type="dxa"/>
            <w:vAlign w:val="bottom"/>
            <w:tcBorders>
              <w:top w:val="single" w:sz="8" w:color="32406B"/>
            </w:tcBorders>
          </w:tcPr>
          <w:p>
            <w:pPr>
              <w:jc w:val="right"/>
              <w:spacing w:after="0" w:line="191" w:lineRule="exact"/>
              <w:rPr>
                <w:sz w:val="20"/>
                <w:szCs w:val="20"/>
                <w:color w:val="auto"/>
              </w:rPr>
            </w:pPr>
            <w:r>
              <w:rPr>
                <w:rFonts w:ascii="Times New Roman" w:cs="Times New Roman" w:eastAsia="Times New Roman" w:hAnsi="Times New Roman"/>
                <w:sz w:val="18"/>
                <w:szCs w:val="18"/>
                <w:color w:val="32406B"/>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Presentation of Financial and Other Information</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Trademarks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Market and Industry Data</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iii</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Prospectus Summary</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The Offering</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12</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Summary Consolidated Financial Data</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14</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Risk Factors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16</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Cautionary Statement Regarding Forward-Looking Statements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69</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Use of Proceeds</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71</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Dividend Policy</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72</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Capitalization</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73</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Dilution</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75</w:t>
            </w:r>
          </w:p>
        </w:tc>
        <w:tc>
          <w:tcPr>
            <w:tcW w:w="0" w:type="dxa"/>
            <w:vAlign w:val="bottom"/>
          </w:tcPr>
          <w:p>
            <w:pPr>
              <w:spacing w:after="0"/>
              <w:rPr>
                <w:sz w:val="1"/>
                <w:szCs w:val="1"/>
                <w:color w:val="auto"/>
              </w:rPr>
            </w:pPr>
          </w:p>
        </w:tc>
      </w:tr>
      <w:tr>
        <w:trPr>
          <w:trHeight w:val="216"/>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81">
              <w:r>
                <w:rPr>
                  <w:rFonts w:ascii="Times New Roman" w:cs="Times New Roman" w:eastAsia="Times New Roman" w:hAnsi="Times New Roman"/>
                  <w:sz w:val="18"/>
                  <w:szCs w:val="18"/>
                  <w:u w:val="single" w:color="auto"/>
                  <w:color w:val="0000EE"/>
                </w:rPr>
                <w:t>Selected Consolidated Financial Data</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77</w:t>
            </w:r>
          </w:p>
        </w:tc>
        <w:tc>
          <w:tcPr>
            <w:tcW w:w="0" w:type="dxa"/>
            <w:vAlign w:val="bottom"/>
          </w:tcPr>
          <w:p>
            <w:pPr>
              <w:spacing w:after="0"/>
              <w:rPr>
                <w:sz w:val="1"/>
                <w:szCs w:val="1"/>
                <w:color w:val="auto"/>
              </w:rPr>
            </w:pPr>
          </w:p>
        </w:tc>
      </w:tr>
      <w:tr>
        <w:trPr>
          <w:trHeight w:val="234"/>
        </w:trPr>
        <w:tc>
          <w:tcPr>
            <w:tcW w:w="492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Exchange Rate Information</w:t>
              </w:r>
            </w:hyperlink>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940" w:type="dxa"/>
            <w:vAlign w:val="bottom"/>
            <w:gridSpan w:val="4"/>
            <w:vMerge w:val="restart"/>
          </w:tcPr>
          <w:p>
            <w:pPr>
              <w:spacing w:after="0"/>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Management’s Discussion and Analysis Of Financial Condition</w:t>
              </w:r>
            </w:hyperlink>
          </w:p>
        </w:tc>
        <w:tc>
          <w:tcPr>
            <w:tcW w:w="480" w:type="dxa"/>
            <w:vAlign w:val="bottom"/>
            <w:tcBorders>
              <w:bottom w:val="single" w:sz="8" w:color="32406B"/>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32406B"/>
              </w:rPr>
              <w:t>Page</w:t>
            </w:r>
          </w:p>
        </w:tc>
        <w:tc>
          <w:tcPr>
            <w:tcW w:w="0" w:type="dxa"/>
            <w:vAlign w:val="bottom"/>
          </w:tcPr>
          <w:p>
            <w:pPr>
              <w:spacing w:after="0"/>
              <w:rPr>
                <w:sz w:val="1"/>
                <w:szCs w:val="1"/>
                <w:color w:val="auto"/>
              </w:rPr>
            </w:pPr>
          </w:p>
        </w:tc>
      </w:tr>
      <w:tr>
        <w:trPr>
          <w:trHeight w:val="155"/>
        </w:trPr>
        <w:tc>
          <w:tcPr>
            <w:tcW w:w="494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40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and Results Of Operations</w:t>
              </w:r>
            </w:hyperlink>
          </w:p>
        </w:tc>
        <w:tc>
          <w:tcPr>
            <w:tcW w:w="3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32406B"/>
              </w:rPr>
              <w:t>80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Business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94</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Management</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137</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Principal Shareholders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150</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Related Party Transactions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154</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61">
              <w:r>
                <w:rPr>
                  <w:rFonts w:ascii="Times New Roman" w:cs="Times New Roman" w:eastAsia="Times New Roman" w:hAnsi="Times New Roman"/>
                  <w:sz w:val="18"/>
                  <w:szCs w:val="18"/>
                  <w:u w:val="single" w:color="auto"/>
                  <w:color w:val="0000EE"/>
                </w:rPr>
                <w:t>Description of Share Capital and Articles of Association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157</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79">
              <w:r>
                <w:rPr>
                  <w:rFonts w:ascii="Times New Roman" w:cs="Times New Roman" w:eastAsia="Times New Roman" w:hAnsi="Times New Roman"/>
                  <w:sz w:val="18"/>
                  <w:szCs w:val="18"/>
                  <w:u w:val="single" w:color="auto"/>
                  <w:color w:val="0000EE"/>
                </w:rPr>
                <w:t>Ordinary Shares Eligible for Future Sale</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175</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Material United States and Dutch Income Tax Considerations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178</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Enforceability of Judgments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188</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Underwriting</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189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Expenses of the Offering</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198</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Legal Matters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199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Experts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199</w:t>
            </w:r>
          </w:p>
        </w:tc>
        <w:tc>
          <w:tcPr>
            <w:tcW w:w="0" w:type="dxa"/>
            <w:vAlign w:val="bottom"/>
          </w:tcPr>
          <w:p>
            <w:pPr>
              <w:spacing w:after="0"/>
              <w:rPr>
                <w:sz w:val="1"/>
                <w:szCs w:val="1"/>
                <w:color w:val="auto"/>
              </w:rPr>
            </w:pPr>
          </w:p>
        </w:tc>
      </w:tr>
      <w:tr>
        <w:trPr>
          <w:trHeight w:val="216"/>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Where You Can Find More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200</w:t>
            </w:r>
          </w:p>
        </w:tc>
        <w:tc>
          <w:tcPr>
            <w:tcW w:w="0" w:type="dxa"/>
            <w:vAlign w:val="bottom"/>
          </w:tcPr>
          <w:p>
            <w:pPr>
              <w:spacing w:after="0"/>
              <w:rPr>
                <w:sz w:val="1"/>
                <w:szCs w:val="1"/>
                <w:color w:val="auto"/>
              </w:rPr>
            </w:pPr>
          </w:p>
        </w:tc>
      </w:tr>
      <w:tr>
        <w:trPr>
          <w:trHeight w:val="234"/>
        </w:trPr>
        <w:tc>
          <w:tcPr>
            <w:tcW w:w="4940" w:type="dxa"/>
            <w:vAlign w:val="bottom"/>
            <w:gridSpan w:val="4"/>
          </w:tcPr>
          <w:p>
            <w:pPr>
              <w:spacing w:after="0"/>
              <w:rPr>
                <w:rFonts w:ascii="Times New Roman" w:cs="Times New Roman" w:eastAsia="Times New Roman" w:hAnsi="Times New Roman"/>
                <w:sz w:val="18"/>
                <w:szCs w:val="18"/>
                <w:u w:val="single" w:color="auto"/>
                <w:color w:val="0000EE"/>
              </w:rPr>
            </w:pPr>
            <w:hyperlink w:anchor="page205">
              <w:r>
                <w:rPr>
                  <w:rFonts w:ascii="Times New Roman" w:cs="Times New Roman" w:eastAsia="Times New Roman" w:hAnsi="Times New Roman"/>
                  <w:sz w:val="18"/>
                  <w:szCs w:val="18"/>
                  <w:u w:val="single" w:color="auto"/>
                  <w:color w:val="0000EE"/>
                </w:rPr>
                <w:t>Index to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316865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80"/>
          </w:cols>
          <w:pgMar w:left="320" w:top="455" w:right="35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Neither we nor the underwriters have authorized anyone to provide any information other than that contained in this prospectus or in any free writing prospectus prepared by or on behalf of us or to which we may have referred you. Neither we nor the underwriters take any responsibility for, or provide any assurance as to the reliability of, any other information that others may give you. Neither we nor the underwriters are making an offer to sell the ordinary shares in any jurisdiction where the offer or sale is not permitted. You should assume that the information appearing in this prospectus is accurate only as of the date on the front cover of this prospectus, regardless of the time of delivery of this prospectus or any sale of the ordinary shares. Our business, financial condition, results of operations and prospects may have changed since the date on the front cover of this prospectus.</w:t>
      </w:r>
    </w:p>
    <w:p>
      <w:pPr>
        <w:spacing w:after="0" w:line="18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ordinary shares and the distribution of this prospectus outside the United States.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i</w:t>
      </w:r>
    </w:p>
    <w:p>
      <w:pPr>
        <w:sectPr>
          <w:pgSz w:w="11900" w:h="16838" w:orient="portrait"/>
          <w:cols w:equalWidth="0" w:num="1">
            <w:col w:w="11220"/>
          </w:cols>
          <w:pgMar w:left="320" w:top="455" w:right="35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ABOUT THIS PROSPECTUS</w:t>
      </w:r>
    </w:p>
    <w:p>
      <w:pPr>
        <w:spacing w:after="0" w:line="22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Unless otherwise indicated or the context otherwise requires, all references in this prospectus to “Pharvaris,” “Pharvaris B.V.,” “Pharvaris N.V.,” the “Company,” “we,” “our,” “ours,” “us” or similar terms refer to (i) Pharvaris B.V., together with its subsidiaries prior to the conversion of Pharvaris B.V. into Pharvaris N.V. and (ii) Pharvaris N.V., together with its subsidiaries, after giving effect to the conversion of Pharvaris B.V. into Pharvaris N.V., which is expected to occur immediately prior to the consummation of this offering.</w:t>
      </w:r>
    </w:p>
    <w:p>
      <w:pPr>
        <w:spacing w:after="0" w:line="180"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The term “Series A preferred shares” refers to the Company’s convertible preferred shares A issued pursuant to the Share Subscription Agreement, dated as of March 31, 2016, between the Company and certain of its shareholders. The term “Series B preferred shares” refers to the Company’s convertible preferred shares B issued pursuant to the Share Subscription Agreement, dated as of July 25, 2019, between the Company and certain of its shareholders, as amended on July 29, 2020. The term “Series C preferred shares” refers to the Company’s convertible preferred shares C issued pursuant to the Share Subscription Agreement, dated as of November 3, 2020, between the Company and certain of its shareholders. The term “preferred shares” refers</w:t>
      </w:r>
    </w:p>
    <w:p>
      <w:pPr>
        <w:spacing w:after="0" w:line="3" w:lineRule="exact"/>
        <w:rPr>
          <w:sz w:val="20"/>
          <w:szCs w:val="20"/>
          <w:color w:val="auto"/>
        </w:rPr>
      </w:pPr>
    </w:p>
    <w:p>
      <w:pPr>
        <w:ind w:right="260" w:firstLine="8"/>
        <w:spacing w:after="0" w:line="253" w:lineRule="auto"/>
        <w:tabs>
          <w:tab w:leader="none" w:pos="215" w:val="left"/>
        </w:tabs>
        <w:numPr>
          <w:ilvl w:val="0"/>
          <w:numId w:val="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the Series A preferred shares, the Series B preferred shares and the Series C preferred shares, collectively, prior to the conversion of Pharvaris B.V. into Pharvaris N.V. or (ii) preferred shares after conversion of Pharvaris B.V. into Pharvaris N.V., which we may issue to a protective foundation if we decide to implement a protective foundation structure (see “Risk Factors—Dutch corporate law and our Articles of Association contain or may contain provisions that may discourage, delay or prevent a takeover attempt, which could adversely affect the price of our ordinary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PRESENTATION OF FINANCIAL AND OTHER INFORMATION</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We report under International Financial Reporting Standards, or IFRS, as issued by the International Accounting Standards Board, or the IASB. None of the consolidated financial statements in this prospectus were prepared in accordance with generally accepted accounting principles in the United States, or U.S. GAAP. We present our consolidated financial statements in euros and in accordance with IFRS. We have made rounding adjustments to some of the figures included in this prospectus. Accordingly, numerical figures shown as totals in some tables may not be an arithmetic aggregation of the figures that preceded them.</w:t>
      </w:r>
    </w:p>
    <w:p>
      <w:pPr>
        <w:spacing w:after="0" w:line="183"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Unless otherwise indicated, all references in this prospectus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76"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Solely for the convenience of the reader, certain euro amounts herein have been translated into U.S. dollars at the rate of €1.00 to $1.1705, the average exchange rate quoted as of September 30, 2020 by the European Central Bank. These translations should not be considered representations that any such amounts have been, could have been or could be converted into U.S. dollars at that or any other exchange rate as at that or any other date.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TRADEMARKS</w:t>
      </w:r>
    </w:p>
    <w:p>
      <w:pPr>
        <w:spacing w:after="0" w:line="22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32406B"/>
        </w:rPr>
        <w:t xml:space="preserve">All trademarks, trade names and service marks appearing in this prospectus are the property of their respective owners. Solely for convenience, the trademarks and trade names in this prospectus are referred to without the symbols </w:t>
      </w:r>
      <w:r>
        <w:rPr>
          <w:rFonts w:ascii="Times New Roman" w:cs="Times New Roman" w:eastAsia="Times New Roman" w:hAnsi="Times New Roman"/>
          <w:sz w:val="15"/>
          <w:szCs w:val="15"/>
          <w:color w:val="32406B"/>
        </w:rPr>
        <w:t>®</w:t>
      </w:r>
      <w:r>
        <w:rPr>
          <w:rFonts w:ascii="Times New Roman" w:cs="Times New Roman" w:eastAsia="Times New Roman" w:hAnsi="Times New Roman"/>
          <w:sz w:val="18"/>
          <w:szCs w:val="18"/>
          <w:color w:val="32406B"/>
        </w:rPr>
        <w:t xml:space="preserve"> and </w:t>
      </w:r>
      <w:r>
        <w:rPr>
          <w:rFonts w:ascii="Times New Roman" w:cs="Times New Roman" w:eastAsia="Times New Roman" w:hAnsi="Times New Roman"/>
          <w:sz w:val="15"/>
          <w:szCs w:val="15"/>
          <w:color w:val="32406B"/>
        </w:rPr>
        <w:t>™</w:t>
      </w:r>
      <w:r>
        <w:rPr>
          <w:rFonts w:ascii="Times New Roman" w:cs="Times New Roman" w:eastAsia="Times New Roman" w:hAnsi="Times New Roman"/>
          <w:sz w:val="18"/>
          <w:szCs w:val="18"/>
          <w:color w:val="32406B"/>
        </w:rPr>
        <w:t>,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ii</w:t>
      </w:r>
    </w:p>
    <w:p>
      <w:pPr>
        <w:sectPr>
          <w:pgSz w:w="11900" w:h="16838" w:orient="portrait"/>
          <w:cols w:equalWidth="0" w:num="1">
            <w:col w:w="11240"/>
          </w:cols>
          <w:pgMar w:left="32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32406B"/>
        </w:rPr>
        <w:t>MARKET AND INDUSTRY DATA</w:t>
      </w:r>
    </w:p>
    <w:p>
      <w:pPr>
        <w:spacing w:after="0" w:line="22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The information in this prospectus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32406B"/>
        </w:rPr>
        <w:t>iii</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04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32406B"/>
        </w:rPr>
        <w:t>PROSPECTUS SUMMARY</w:t>
      </w:r>
    </w:p>
    <w:p>
      <w:pPr>
        <w:spacing w:after="0" w:line="227" w:lineRule="exact"/>
        <w:rPr>
          <w:sz w:val="20"/>
          <w:szCs w:val="20"/>
          <w:color w:val="auto"/>
        </w:rPr>
      </w:pPr>
    </w:p>
    <w:p>
      <w:pPr>
        <w:ind w:left="200" w:right="120" w:firstLine="434"/>
        <w:spacing w:after="0" w:line="261" w:lineRule="auto"/>
        <w:rPr>
          <w:sz w:val="20"/>
          <w:szCs w:val="20"/>
          <w:color w:val="auto"/>
        </w:rPr>
      </w:pPr>
      <w:r>
        <w:rPr>
          <w:rFonts w:ascii="Times New Roman" w:cs="Times New Roman" w:eastAsia="Times New Roman" w:hAnsi="Times New Roman"/>
          <w:sz w:val="18"/>
          <w:szCs w:val="18"/>
          <w:i w:val="1"/>
          <w:iCs w:val="1"/>
          <w:color w:val="32406B"/>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consolidated financial statements and the notes thereto, included elsewhere in this prospectus, before deciding to invest in our ordinary shares.</w:t>
      </w: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32406B"/>
        </w:rPr>
        <w:t>Our Business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Overview</w:t>
      </w:r>
    </w:p>
    <w:p>
      <w:pPr>
        <w:spacing w:after="0" w:line="121" w:lineRule="exact"/>
        <w:rPr>
          <w:sz w:val="20"/>
          <w:szCs w:val="20"/>
          <w:color w:val="auto"/>
        </w:rPr>
      </w:pPr>
    </w:p>
    <w:p>
      <w:pPr>
        <w:ind w:left="200" w:firstLine="434"/>
        <w:spacing w:after="0" w:line="252" w:lineRule="auto"/>
        <w:rPr>
          <w:sz w:val="20"/>
          <w:szCs w:val="20"/>
          <w:color w:val="auto"/>
        </w:rPr>
      </w:pPr>
      <w:r>
        <w:rPr>
          <w:rFonts w:ascii="Times New Roman" w:cs="Times New Roman" w:eastAsia="Times New Roman" w:hAnsi="Times New Roman"/>
          <w:sz w:val="18"/>
          <w:szCs w:val="18"/>
          <w:color w:val="32406B"/>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88" w:lineRule="exact"/>
        <w:rPr>
          <w:sz w:val="20"/>
          <w:szCs w:val="20"/>
          <w:color w:val="auto"/>
        </w:rPr>
      </w:pPr>
    </w:p>
    <w:p>
      <w:pPr>
        <w:ind w:left="200" w:firstLine="434"/>
        <w:spacing w:after="0" w:line="274" w:lineRule="auto"/>
        <w:rPr>
          <w:sz w:val="20"/>
          <w:szCs w:val="20"/>
          <w:color w:val="auto"/>
        </w:rPr>
      </w:pPr>
      <w:r>
        <w:rPr>
          <w:rFonts w:ascii="Times New Roman" w:cs="Times New Roman" w:eastAsia="Times New Roman" w:hAnsi="Times New Roman"/>
          <w:sz w:val="17"/>
          <w:szCs w:val="17"/>
          <w:color w:val="32406B"/>
        </w:rPr>
        <w:t xml:space="preserve">PHA121 is a novel, highly potent inhibitor and selective small-molecule bradykinin B2-receptor antagonist and, to our knowledge, the only orally available bradykinin B2-receptor antagonist currently in development. PHA121 has been observed to be a potent inhibitor </w:t>
      </w:r>
      <w:r>
        <w:rPr>
          <w:rFonts w:ascii="Times New Roman" w:cs="Times New Roman" w:eastAsia="Times New Roman" w:hAnsi="Times New Roman"/>
          <w:sz w:val="17"/>
          <w:szCs w:val="17"/>
          <w:i w:val="1"/>
          <w:iCs w:val="1"/>
          <w:color w:val="32406B"/>
        </w:rPr>
        <w:t>in vitro</w:t>
      </w:r>
      <w:r>
        <w:rPr>
          <w:rFonts w:ascii="Times New Roman" w:cs="Times New Roman" w:eastAsia="Times New Roman" w:hAnsi="Times New Roman"/>
          <w:sz w:val="17"/>
          <w:szCs w:val="17"/>
          <w:color w:val="32406B"/>
        </w:rPr>
        <w:t xml:space="preserve"> as assessed using human recombinant bradykinin B2 receptors (150 pM); </w:t>
      </w:r>
      <w:r>
        <w:rPr>
          <w:rFonts w:ascii="Times New Roman" w:cs="Times New Roman" w:eastAsia="Times New Roman" w:hAnsi="Times New Roman"/>
          <w:sz w:val="17"/>
          <w:szCs w:val="17"/>
          <w:i w:val="1"/>
          <w:iCs w:val="1"/>
          <w:color w:val="32406B"/>
        </w:rPr>
        <w:t>ex vivo</w:t>
      </w:r>
      <w:r>
        <w:rPr>
          <w:rFonts w:ascii="Times New Roman" w:cs="Times New Roman" w:eastAsia="Times New Roman" w:hAnsi="Times New Roman"/>
          <w:sz w:val="17"/>
          <w:szCs w:val="17"/>
          <w:color w:val="32406B"/>
        </w:rPr>
        <w:t xml:space="preserve"> as studied against endogenous bradykinin B2 receptors in a human umbilical vein model (350 pM); and </w:t>
      </w:r>
      <w:r>
        <w:rPr>
          <w:rFonts w:ascii="Times New Roman" w:cs="Times New Roman" w:eastAsia="Times New Roman" w:hAnsi="Times New Roman"/>
          <w:sz w:val="17"/>
          <w:szCs w:val="17"/>
          <w:i w:val="1"/>
          <w:iCs w:val="1"/>
          <w:color w:val="32406B"/>
        </w:rPr>
        <w:t>in vivo</w:t>
      </w:r>
      <w:r>
        <w:rPr>
          <w:rFonts w:ascii="Times New Roman" w:cs="Times New Roman" w:eastAsia="Times New Roman" w:hAnsi="Times New Roman"/>
          <w:sz w:val="17"/>
          <w:szCs w:val="17"/>
          <w:color w:val="32406B"/>
        </w:rPr>
        <w:t xml:space="preserve"> in the human bradykinin-challenge model (170 pM).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PHA121 demonstrated 5000-fold selectivity for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1</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73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18"/>
          <w:szCs w:val="18"/>
          <w:color w:val="32406B"/>
        </w:rPr>
        <w:t>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 capsule designed to rapidly treat symptoms with a single dose. We are also developing PHA121 for the prophylactic setting as PHVS719, which is a small daily dose tablet with an extended release formulation designed for the patient to achieve a steady-state plasma concentration within 72 hours.</w:t>
      </w:r>
    </w:p>
    <w:p>
      <w:pPr>
        <w:spacing w:after="0" w:line="183" w:lineRule="exact"/>
        <w:rPr>
          <w:sz w:val="20"/>
          <w:szCs w:val="20"/>
          <w:color w:val="auto"/>
        </w:rPr>
      </w:pPr>
    </w:p>
    <w:p>
      <w:pPr>
        <w:ind w:left="200" w:right="20" w:firstLine="434"/>
        <w:spacing w:after="0" w:line="254" w:lineRule="auto"/>
        <w:rPr>
          <w:sz w:val="20"/>
          <w:szCs w:val="20"/>
          <w:color w:val="auto"/>
        </w:rPr>
      </w:pPr>
      <w:r>
        <w:rPr>
          <w:rFonts w:ascii="Times New Roman" w:cs="Times New Roman" w:eastAsia="Times New Roman" w:hAnsi="Times New Roman"/>
          <w:sz w:val="18"/>
          <w:szCs w:val="18"/>
          <w:color w:val="32406B"/>
        </w:rPr>
        <w:t xml:space="preserve">In our Phase 1 clinical trials to-date, we have observed rapid exposure and predictable linear pharmacokinetics, or PK, with and without food. In addition, we observed PHA121 to be a potent antagonist of the bradykinin B2 receptor,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 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8" w:lineRule="exact"/>
        <w:rPr>
          <w:sz w:val="20"/>
          <w:szCs w:val="20"/>
          <w:color w:val="auto"/>
        </w:rPr>
      </w:pPr>
    </w:p>
    <w:p>
      <w:pPr>
        <w:ind w:left="200" w:firstLine="434"/>
        <w:spacing w:after="0" w:line="255" w:lineRule="auto"/>
        <w:rPr>
          <w:sz w:val="20"/>
          <w:szCs w:val="20"/>
          <w:color w:val="auto"/>
        </w:rPr>
      </w:pPr>
      <w:r>
        <w:rPr>
          <w:rFonts w:ascii="Times New Roman" w:cs="Times New Roman" w:eastAsia="Times New Roman" w:hAnsi="Times New Roman"/>
          <w:sz w:val="18"/>
          <w:szCs w:val="18"/>
          <w:color w:val="32406B"/>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89" w:lineRule="exact"/>
        <w:rPr>
          <w:sz w:val="20"/>
          <w:szCs w:val="20"/>
          <w:color w:val="auto"/>
        </w:rPr>
      </w:pPr>
    </w:p>
    <w:p>
      <w:pPr>
        <w:ind w:left="200" w:firstLine="434"/>
        <w:spacing w:after="0" w:line="254" w:lineRule="auto"/>
        <w:rPr>
          <w:sz w:val="20"/>
          <w:szCs w:val="20"/>
          <w:color w:val="auto"/>
        </w:rPr>
      </w:pPr>
      <w:r>
        <w:rPr>
          <w:rFonts w:ascii="Times New Roman" w:cs="Times New Roman" w:eastAsia="Times New Roman" w:hAnsi="Times New Roman"/>
          <w:sz w:val="18"/>
          <w:szCs w:val="18"/>
          <w:color w:val="32406B"/>
        </w:rPr>
        <w:t>Global sales of treatments for HAE achieved approximately $2 billion in 2018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 esterase inhibitor, or C1-INH, activity or inhibiting plasma kallikrein. Currently all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are in need of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8" w:lineRule="exact"/>
        <w:rPr>
          <w:sz w:val="20"/>
          <w:szCs w:val="20"/>
          <w:color w:val="auto"/>
        </w:rPr>
      </w:pPr>
    </w:p>
    <w:p>
      <w:pPr>
        <w:ind w:left="200" w:right="340" w:firstLine="434"/>
        <w:spacing w:after="0" w:line="256" w:lineRule="auto"/>
        <w:rPr>
          <w:sz w:val="20"/>
          <w:szCs w:val="20"/>
          <w:color w:val="auto"/>
        </w:rPr>
      </w:pPr>
      <w:r>
        <w:rPr>
          <w:rFonts w:ascii="Times New Roman" w:cs="Times New Roman" w:eastAsia="Times New Roman" w:hAnsi="Times New Roman"/>
          <w:sz w:val="18"/>
          <w:szCs w:val="18"/>
          <w:color w:val="32406B"/>
        </w:rPr>
        <w:t>Based on results observed from our three completed and one ongoing clinical trials to-date, we believe our product candidates that contain PHA121 will demonstrate advantages and differentiation relative to currently approved HAE therapies and other oral therapies in clinical development. Namely, PHA121’s bradykinin-B2-receptor-inhibition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2</w:t>
      </w:r>
    </w:p>
    <w:p>
      <w:pPr>
        <w:sectPr>
          <w:pgSz w:w="11900" w:h="16838" w:orient="portrait"/>
          <w:cols w:equalWidth="0" w:num="1">
            <w:col w:w="11060"/>
          </w:cols>
          <w:pgMar w:left="320" w:top="455" w:right="5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99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spacing w:after="0" w:line="252" w:lineRule="auto"/>
        <w:rPr>
          <w:sz w:val="20"/>
          <w:szCs w:val="20"/>
          <w:color w:val="auto"/>
        </w:rPr>
      </w:pPr>
      <w:r>
        <w:rPr>
          <w:rFonts w:ascii="Times New Roman" w:cs="Times New Roman" w:eastAsia="Times New Roman" w:hAnsi="Times New Roman"/>
          <w:sz w:val="18"/>
          <w:szCs w:val="18"/>
          <w:color w:val="32406B"/>
        </w:rPr>
        <w:t>bradykinin challenge was validated as a surrogate assessment for dose selection in the original development program for icatibant, as reviewed by the Food and Drug Administration, or FDA, and the European Medicines Agency, or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 prophylactic treatment of HAE by achieving steady-state plasma concentrations within 72 hours. The BK-challenge data was generated in a Phase 1 clinical trial, and we do not yet have data from the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prospectus refers to the amount of drug required to produce a pharmacological effect of given intensity and is not a measure of therapeutic efficacy.</w:t>
      </w:r>
    </w:p>
    <w:p>
      <w:pPr>
        <w:spacing w:after="0" w:line="195" w:lineRule="exact"/>
        <w:rPr>
          <w:sz w:val="20"/>
          <w:szCs w:val="20"/>
          <w:color w:val="auto"/>
        </w:rPr>
      </w:pPr>
    </w:p>
    <w:p>
      <w:pPr>
        <w:ind w:left="200" w:right="340" w:firstLine="434"/>
        <w:spacing w:after="0" w:line="261" w:lineRule="auto"/>
        <w:rPr>
          <w:sz w:val="20"/>
          <w:szCs w:val="20"/>
          <w:color w:val="auto"/>
        </w:rPr>
      </w:pPr>
      <w:r>
        <w:rPr>
          <w:rFonts w:ascii="Times New Roman" w:cs="Times New Roman" w:eastAsia="Times New Roman" w:hAnsi="Times New Roman"/>
          <w:sz w:val="18"/>
          <w:szCs w:val="18"/>
          <w:color w:val="32406B"/>
        </w:rPr>
        <w:t>We are planning a Phase 2 clinical trial, RAPIDe-1, that will evaluate angioedema symptom relief within four hours of different doses of PHVS416 or placebo while treating acute attacks of patients. We anticipate having Phase 2 data from RAPIDe-1 in 2022. Additional trials may be required by the FDA, EMA or other regulators even if we receive positive data from RAPIDe-1. We are also planning to subsequently conduct a pivotal trial in the on-demand setting.</w:t>
      </w:r>
    </w:p>
    <w:p>
      <w:pPr>
        <w:spacing w:after="0" w:line="180"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32406B"/>
        </w:rPr>
        <w:t>We are similarly planning two clinical trials in the prophylactic setting. In the first, subjects will be randomized to receive PHVS416 or placebo for three months.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Differentiation of PHA121</w:t>
      </w:r>
    </w:p>
    <w:p>
      <w:pPr>
        <w:spacing w:after="0" w:line="121" w:lineRule="exact"/>
        <w:rPr>
          <w:sz w:val="20"/>
          <w:szCs w:val="20"/>
          <w:color w:val="auto"/>
        </w:rPr>
      </w:pPr>
    </w:p>
    <w:p>
      <w:pPr>
        <w:ind w:left="200" w:right="320" w:firstLine="434"/>
        <w:spacing w:after="0" w:line="282" w:lineRule="auto"/>
        <w:rPr>
          <w:sz w:val="20"/>
          <w:szCs w:val="20"/>
          <w:color w:val="auto"/>
        </w:rPr>
      </w:pPr>
      <w:r>
        <w:rPr>
          <w:rFonts w:ascii="Times New Roman" w:cs="Times New Roman" w:eastAsia="Times New Roman" w:hAnsi="Times New Roman"/>
          <w:sz w:val="18"/>
          <w:szCs w:val="18"/>
          <w:color w:val="32406B"/>
        </w:rPr>
        <w:t>We believe that PHA121, as the molecule underlying both PHVS416 and PHVS719, has the potential to be highly differentiated for both the on-demand and prophylactic settings with the key benefits below:</w:t>
      </w:r>
    </w:p>
    <w:p>
      <w:pPr>
        <w:spacing w:after="0" w:line="160" w:lineRule="exact"/>
        <w:rPr>
          <w:sz w:val="20"/>
          <w:szCs w:val="20"/>
          <w:color w:val="auto"/>
        </w:rPr>
      </w:pPr>
    </w:p>
    <w:p>
      <w:pPr>
        <w:ind w:left="200" w:right="100" w:firstLine="434"/>
        <w:spacing w:after="0" w:line="284" w:lineRule="auto"/>
        <w:rPr>
          <w:sz w:val="20"/>
          <w:szCs w:val="20"/>
          <w:color w:val="auto"/>
        </w:rPr>
      </w:pPr>
      <w:r>
        <w:rPr>
          <w:rFonts w:ascii="Times New Roman" w:cs="Times New Roman" w:eastAsia="Times New Roman" w:hAnsi="Times New Roman"/>
          <w:sz w:val="18"/>
          <w:szCs w:val="18"/>
          <w:i w:val="1"/>
          <w:iCs w:val="1"/>
          <w:color w:val="32406B"/>
        </w:rPr>
        <w:t>PHVS416</w:t>
      </w:r>
      <w:r>
        <w:rPr>
          <w:rFonts w:ascii="Times New Roman" w:cs="Times New Roman" w:eastAsia="Times New Roman" w:hAnsi="Times New Roman"/>
          <w:sz w:val="18"/>
          <w:szCs w:val="18"/>
          <w:color w:val="32406B"/>
        </w:rPr>
        <w:t>. We believe that PHVS416, an on-demand, rapid exposure soft capsule, has potential to be highly differentiated for patients suffering</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from acute HAE attacks with the following benefits: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48"/>
        </w:trPr>
        <w:tc>
          <w:tcPr>
            <w:tcW w:w="4000" w:type="dxa"/>
            <w:vAlign w:val="bottom"/>
            <w:tcBorders>
              <w:top w:val="single" w:sz="8" w:color="32406B"/>
            </w:tcBorders>
          </w:tcPr>
          <w:p>
            <w:pPr>
              <w:ind w:left="38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Borders>
              <w:top w:val="single" w:sz="8" w:color="32406B"/>
            </w:tcBorders>
          </w:tcPr>
          <w:p>
            <w:pPr>
              <w:ind w:left="140"/>
              <w:spacing w:after="0"/>
              <w:rPr>
                <w:sz w:val="20"/>
                <w:szCs w:val="20"/>
                <w:color w:val="auto"/>
              </w:rPr>
            </w:pPr>
            <w:r>
              <w:rPr>
                <w:rFonts w:ascii="Times New Roman" w:cs="Times New Roman" w:eastAsia="Times New Roman" w:hAnsi="Times New Roman"/>
                <w:sz w:val="18"/>
                <w:szCs w:val="18"/>
                <w:color w:val="32406B"/>
              </w:rPr>
              <w:t>Clinically validated mechanism of bradykinin-B2-receptor antagonism</w:t>
            </w:r>
          </w:p>
        </w:tc>
        <w:tc>
          <w:tcPr>
            <w:tcW w:w="0" w:type="dxa"/>
            <w:vAlign w:val="bottom"/>
          </w:tcPr>
          <w:p>
            <w:pPr>
              <w:spacing w:after="0"/>
              <w:rPr>
                <w:sz w:val="1"/>
                <w:szCs w:val="1"/>
                <w:color w:val="auto"/>
              </w:rPr>
            </w:pPr>
          </w:p>
        </w:tc>
      </w:tr>
      <w:tr>
        <w:trPr>
          <w:trHeight w:val="301"/>
        </w:trPr>
        <w:tc>
          <w:tcPr>
            <w:tcW w:w="4000" w:type="dxa"/>
            <w:vAlign w:val="bottom"/>
          </w:tcPr>
          <w:p>
            <w:pPr>
              <w:ind w:left="38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Utilizing same surrogate assessment for dose selection as the development program for</w:t>
            </w:r>
          </w:p>
        </w:tc>
        <w:tc>
          <w:tcPr>
            <w:tcW w:w="0" w:type="dxa"/>
            <w:vAlign w:val="bottom"/>
          </w:tcPr>
          <w:p>
            <w:pPr>
              <w:spacing w:after="0"/>
              <w:rPr>
                <w:sz w:val="1"/>
                <w:szCs w:val="1"/>
                <w:color w:val="auto"/>
              </w:rPr>
            </w:pPr>
          </w:p>
        </w:tc>
      </w:tr>
      <w:tr>
        <w:trPr>
          <w:trHeight w:val="234"/>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Complete Symptom Resolution</w:t>
            </w: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32406B"/>
              </w:rPr>
              <w:t>icatibant</w:t>
            </w:r>
          </w:p>
        </w:tc>
        <w:tc>
          <w:tcPr>
            <w:tcW w:w="0" w:type="dxa"/>
            <w:vAlign w:val="bottom"/>
          </w:tcPr>
          <w:p>
            <w:pPr>
              <w:spacing w:after="0"/>
              <w:rPr>
                <w:sz w:val="1"/>
                <w:szCs w:val="1"/>
                <w:color w:val="auto"/>
              </w:rPr>
            </w:pPr>
          </w:p>
        </w:tc>
      </w:tr>
      <w:tr>
        <w:trPr>
          <w:trHeight w:val="103"/>
        </w:trPr>
        <w:tc>
          <w:tcPr>
            <w:tcW w:w="4000" w:type="dxa"/>
            <w:vAlign w:val="bottom"/>
            <w:vMerge w:val="continue"/>
          </w:tcPr>
          <w:p>
            <w:pPr>
              <w:spacing w:after="0"/>
              <w:rPr>
                <w:sz w:val="8"/>
                <w:szCs w:val="8"/>
                <w:color w:val="auto"/>
              </w:rPr>
            </w:pPr>
          </w:p>
        </w:tc>
        <w:tc>
          <w:tcPr>
            <w:tcW w:w="6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More potent inhibitor than icatibant</w:t>
            </w:r>
          </w:p>
        </w:tc>
        <w:tc>
          <w:tcPr>
            <w:tcW w:w="0" w:type="dxa"/>
            <w:vAlign w:val="bottom"/>
          </w:tcPr>
          <w:p>
            <w:pPr>
              <w:spacing w:after="0"/>
              <w:rPr>
                <w:sz w:val="1"/>
                <w:szCs w:val="1"/>
                <w:color w:val="auto"/>
              </w:rPr>
            </w:pPr>
          </w:p>
        </w:tc>
      </w:tr>
      <w:tr>
        <w:trPr>
          <w:trHeight w:val="338"/>
        </w:trPr>
        <w:tc>
          <w:tcPr>
            <w:tcW w:w="4000" w:type="dxa"/>
            <w:vAlign w:val="bottom"/>
          </w:tcPr>
          <w:p>
            <w:pPr>
              <w:ind w:left="38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Longer half-life than icatibant</w:t>
            </w:r>
          </w:p>
        </w:tc>
        <w:tc>
          <w:tcPr>
            <w:tcW w:w="0" w:type="dxa"/>
            <w:vAlign w:val="bottom"/>
          </w:tcPr>
          <w:p>
            <w:pPr>
              <w:spacing w:after="0"/>
              <w:rPr>
                <w:sz w:val="1"/>
                <w:szCs w:val="1"/>
                <w:color w:val="auto"/>
              </w:rPr>
            </w:pPr>
          </w:p>
        </w:tc>
      </w:tr>
      <w:tr>
        <w:trPr>
          <w:trHeight w:val="95"/>
        </w:trPr>
        <w:tc>
          <w:tcPr>
            <w:tcW w:w="4000" w:type="dxa"/>
            <w:vAlign w:val="bottom"/>
            <w:tcBorders>
              <w:bottom w:val="single" w:sz="8" w:color="32406B"/>
            </w:tcBorders>
          </w:tcPr>
          <w:p>
            <w:pPr>
              <w:spacing w:after="0"/>
              <w:rPr>
                <w:sz w:val="8"/>
                <w:szCs w:val="8"/>
                <w:color w:val="auto"/>
              </w:rPr>
            </w:pPr>
          </w:p>
        </w:tc>
        <w:tc>
          <w:tcPr>
            <w:tcW w:w="6860" w:type="dxa"/>
            <w:vAlign w:val="bottom"/>
            <w:tcBorders>
              <w:bottom w:val="single" w:sz="8" w:color="32406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32406B"/>
        </w:rPr>
        <w:t>3</w:t>
      </w:r>
    </w:p>
    <w:p>
      <w:pPr>
        <w:sectPr>
          <w:pgSz w:w="11900" w:h="16838" w:orient="portrait"/>
          <w:cols w:equalWidth="0" w:num="1">
            <w:col w:w="11060"/>
          </w:cols>
          <w:pgMar w:left="320" w:top="455" w:right="5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4763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Rapid Onset of Activity</w:t>
            </w:r>
          </w:p>
        </w:tc>
        <w:tc>
          <w:tcPr>
            <w:tcW w:w="7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32406B"/>
              </w:rPr>
              <w:t>•   Exposure exceeds the anticipated threshold therapeutic plasma level (EC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in 15 minutes,</w:t>
            </w:r>
          </w:p>
        </w:tc>
        <w:tc>
          <w:tcPr>
            <w:tcW w:w="0" w:type="dxa"/>
            <w:vAlign w:val="bottom"/>
          </w:tcPr>
          <w:p>
            <w:pPr>
              <w:spacing w:after="0"/>
              <w:rPr>
                <w:sz w:val="1"/>
                <w:szCs w:val="1"/>
                <w:color w:val="auto"/>
              </w:rPr>
            </w:pPr>
          </w:p>
        </w:tc>
      </w:tr>
      <w:tr>
        <w:trPr>
          <w:trHeight w:val="167"/>
        </w:trPr>
        <w:tc>
          <w:tcPr>
            <w:tcW w:w="33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32406B"/>
              </w:rPr>
              <w:t>with or without food</w:t>
            </w:r>
          </w:p>
        </w:tc>
        <w:tc>
          <w:tcPr>
            <w:tcW w:w="0" w:type="dxa"/>
            <w:vAlign w:val="bottom"/>
          </w:tcPr>
          <w:p>
            <w:pPr>
              <w:spacing w:after="0"/>
              <w:rPr>
                <w:sz w:val="1"/>
                <w:szCs w:val="1"/>
                <w:color w:val="auto"/>
              </w:rPr>
            </w:pPr>
          </w:p>
        </w:tc>
      </w:tr>
      <w:tr>
        <w:trPr>
          <w:trHeight w:val="68"/>
        </w:trPr>
        <w:tc>
          <w:tcPr>
            <w:tcW w:w="3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3380" w:type="dxa"/>
            <w:vAlign w:val="bottom"/>
            <w:tcBorders>
              <w:bottom w:val="single" w:sz="8" w:color="32406B"/>
            </w:tcBorders>
          </w:tcPr>
          <w:p>
            <w:pPr>
              <w:spacing w:after="0"/>
              <w:rPr>
                <w:sz w:val="8"/>
                <w:szCs w:val="8"/>
                <w:color w:val="auto"/>
              </w:rPr>
            </w:pPr>
          </w:p>
        </w:tc>
        <w:tc>
          <w:tcPr>
            <w:tcW w:w="620" w:type="dxa"/>
            <w:vAlign w:val="bottom"/>
            <w:tcBorders>
              <w:bottom w:val="single" w:sz="8" w:color="32406B"/>
            </w:tcBorders>
          </w:tcPr>
          <w:p>
            <w:pPr>
              <w:spacing w:after="0"/>
              <w:rPr>
                <w:sz w:val="8"/>
                <w:szCs w:val="8"/>
                <w:color w:val="auto"/>
              </w:rPr>
            </w:pPr>
          </w:p>
        </w:tc>
        <w:tc>
          <w:tcPr>
            <w:tcW w:w="6860" w:type="dxa"/>
            <w:vAlign w:val="bottom"/>
            <w:tcBorders>
              <w:bottom w:val="single" w:sz="8" w:color="32406B"/>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No injection needed</w:t>
            </w:r>
          </w:p>
        </w:tc>
        <w:tc>
          <w:tcPr>
            <w:tcW w:w="0" w:type="dxa"/>
            <w:vAlign w:val="bottom"/>
          </w:tcPr>
          <w:p>
            <w:pPr>
              <w:spacing w:after="0"/>
              <w:rPr>
                <w:sz w:val="1"/>
                <w:szCs w:val="1"/>
                <w:color w:val="auto"/>
              </w:rPr>
            </w:pPr>
          </w:p>
        </w:tc>
      </w:tr>
      <w:tr>
        <w:trPr>
          <w:trHeight w:val="333"/>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Potential Reduced Treatment Burden /</w:t>
            </w:r>
          </w:p>
        </w:tc>
        <w:tc>
          <w:tcPr>
            <w:tcW w:w="7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32406B"/>
              </w:rPr>
              <w:t>•   Convenient oral formulation enables early treatment of acute HAE attacks</w:t>
            </w:r>
          </w:p>
        </w:tc>
        <w:tc>
          <w:tcPr>
            <w:tcW w:w="0" w:type="dxa"/>
            <w:vAlign w:val="bottom"/>
          </w:tcPr>
          <w:p>
            <w:pPr>
              <w:spacing w:after="0"/>
              <w:rPr>
                <w:sz w:val="1"/>
                <w:szCs w:val="1"/>
                <w:color w:val="auto"/>
              </w:rPr>
            </w:pPr>
          </w:p>
        </w:tc>
      </w:tr>
      <w:tr>
        <w:trPr>
          <w:trHeight w:val="86"/>
        </w:trPr>
        <w:tc>
          <w:tcPr>
            <w:tcW w:w="33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Enhanced Patient Convenience</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Capsule reduces treatment burden</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000"/>
        <w:spacing w:after="0"/>
        <w:tabs>
          <w:tab w:leader="none" w:pos="4320" w:val="left"/>
        </w:tabs>
        <w:rPr>
          <w:sz w:val="20"/>
          <w:szCs w:val="20"/>
          <w:color w:val="auto"/>
        </w:rPr>
      </w:pPr>
      <w:r>
        <w:rPr>
          <w:rFonts w:ascii="Times New Roman" w:cs="Times New Roman" w:eastAsia="Times New Roman" w:hAnsi="Times New Roman"/>
          <w:sz w:val="18"/>
          <w:szCs w:val="18"/>
          <w:color w:val="32406B"/>
        </w:rPr>
        <w:t>•</w:t>
        <w:tab/>
        <w:t>Potential lowest dosage of any oral HAE on-demand treatment</w:t>
      </w:r>
    </w:p>
    <w:p>
      <w:pPr>
        <w:spacing w:after="0" w:line="331" w:lineRule="exact"/>
        <w:rPr>
          <w:sz w:val="20"/>
          <w:szCs w:val="20"/>
          <w:color w:val="auto"/>
        </w:rPr>
      </w:pPr>
    </w:p>
    <w:p>
      <w:pPr>
        <w:ind w:left="200" w:right="500" w:firstLine="434"/>
        <w:spacing w:after="0" w:line="284" w:lineRule="auto"/>
        <w:rPr>
          <w:sz w:val="20"/>
          <w:szCs w:val="20"/>
          <w:color w:val="auto"/>
        </w:rPr>
      </w:pPr>
      <w:r>
        <w:rPr>
          <w:rFonts w:ascii="Times New Roman" w:cs="Times New Roman" w:eastAsia="Times New Roman" w:hAnsi="Times New Roman"/>
          <w:sz w:val="18"/>
          <w:szCs w:val="18"/>
          <w:i w:val="1"/>
          <w:iCs w:val="1"/>
          <w:color w:val="32406B"/>
        </w:rPr>
        <w:t xml:space="preserve">PHVS719. </w:t>
      </w:r>
      <w:r>
        <w:rPr>
          <w:rFonts w:ascii="Times New Roman" w:cs="Times New Roman" w:eastAsia="Times New Roman" w:hAnsi="Times New Roman"/>
          <w:sz w:val="18"/>
          <w:szCs w:val="18"/>
          <w:color w:val="32406B"/>
        </w:rPr>
        <w:t>We believe that PHVS719, a prophylactic extended-release tablet designed to be taken in small, daily doses, has potential to be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highly differentiated for HAE patients with the following benefits:</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Protection From Attacks</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Validated, proven mechanism to address all bradykinin, regardless of pathway</w:t>
            </w:r>
          </w:p>
        </w:tc>
        <w:tc>
          <w:tcPr>
            <w:tcW w:w="0" w:type="dxa"/>
            <w:vAlign w:val="bottom"/>
          </w:tcPr>
          <w:p>
            <w:pPr>
              <w:spacing w:after="0"/>
              <w:rPr>
                <w:sz w:val="1"/>
                <w:szCs w:val="1"/>
                <w:color w:val="auto"/>
              </w:rPr>
            </w:pPr>
          </w:p>
        </w:tc>
      </w:tr>
      <w:tr>
        <w:trPr>
          <w:trHeight w:val="54"/>
        </w:trPr>
        <w:tc>
          <w:tcPr>
            <w:tcW w:w="3500" w:type="dxa"/>
            <w:vAlign w:val="bottom"/>
            <w:tcBorders>
              <w:bottom w:val="single" w:sz="8" w:color="32406B"/>
            </w:tcBorders>
          </w:tcPr>
          <w:p>
            <w:pPr>
              <w:spacing w:after="0"/>
              <w:rPr>
                <w:sz w:val="4"/>
                <w:szCs w:val="4"/>
                <w:color w:val="auto"/>
              </w:rPr>
            </w:pPr>
          </w:p>
        </w:tc>
        <w:tc>
          <w:tcPr>
            <w:tcW w:w="500" w:type="dxa"/>
            <w:vAlign w:val="bottom"/>
            <w:tcBorders>
              <w:bottom w:val="single" w:sz="8" w:color="32406B"/>
            </w:tcBorders>
          </w:tcPr>
          <w:p>
            <w:pPr>
              <w:spacing w:after="0"/>
              <w:rPr>
                <w:sz w:val="4"/>
                <w:szCs w:val="4"/>
                <w:color w:val="auto"/>
              </w:rPr>
            </w:pPr>
          </w:p>
        </w:tc>
        <w:tc>
          <w:tcPr>
            <w:tcW w:w="6860" w:type="dxa"/>
            <w:vAlign w:val="bottom"/>
            <w:tcBorders>
              <w:bottom w:val="single" w:sz="8" w:color="32406B"/>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Ideal Release Profile for Prophylactic Use</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Reaches and maintains steady-state concentration within 72 hours</w:t>
            </w: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32406B"/>
              </w:rPr>
              <w:t>Appropriate pharmacokinetic profile with standard meals</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00" w:type="dxa"/>
            <w:vAlign w:val="bottom"/>
            <w:tcBorders>
              <w:bottom w:val="single" w:sz="8" w:color="32406B"/>
            </w:tcBorders>
          </w:tcPr>
          <w:p>
            <w:pPr>
              <w:spacing w:after="0"/>
              <w:rPr>
                <w:sz w:val="4"/>
                <w:szCs w:val="4"/>
                <w:color w:val="auto"/>
              </w:rPr>
            </w:pPr>
          </w:p>
        </w:tc>
        <w:tc>
          <w:tcPr>
            <w:tcW w:w="500" w:type="dxa"/>
            <w:vAlign w:val="bottom"/>
            <w:tcBorders>
              <w:bottom w:val="single" w:sz="8" w:color="32406B"/>
            </w:tcBorders>
          </w:tcPr>
          <w:p>
            <w:pPr>
              <w:spacing w:after="0"/>
              <w:rPr>
                <w:sz w:val="4"/>
                <w:szCs w:val="4"/>
                <w:color w:val="auto"/>
              </w:rPr>
            </w:pPr>
          </w:p>
        </w:tc>
        <w:tc>
          <w:tcPr>
            <w:tcW w:w="6860" w:type="dxa"/>
            <w:vAlign w:val="bottom"/>
            <w:tcBorders>
              <w:bottom w:val="single" w:sz="8" w:color="32406B"/>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00" w:type="dxa"/>
            <w:vAlign w:val="bottom"/>
          </w:tcPr>
          <w:p>
            <w:pPr>
              <w:spacing w:after="0"/>
              <w:rPr>
                <w:sz w:val="19"/>
                <w:szCs w:val="19"/>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Convenient oral daily dosing with extended-release tablet</w:t>
            </w:r>
          </w:p>
        </w:tc>
        <w:tc>
          <w:tcPr>
            <w:tcW w:w="0" w:type="dxa"/>
            <w:vAlign w:val="bottom"/>
          </w:tcPr>
          <w:p>
            <w:pPr>
              <w:spacing w:after="0"/>
              <w:rPr>
                <w:sz w:val="1"/>
                <w:szCs w:val="1"/>
                <w:color w:val="auto"/>
              </w:rPr>
            </w:pPr>
          </w:p>
        </w:tc>
      </w:tr>
      <w:tr>
        <w:trPr>
          <w:trHeight w:val="319"/>
        </w:trPr>
        <w:tc>
          <w:tcPr>
            <w:tcW w:w="350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Twice-daily dosing with the potential for once a day</w:t>
            </w:r>
          </w:p>
        </w:tc>
        <w:tc>
          <w:tcPr>
            <w:tcW w:w="0" w:type="dxa"/>
            <w:vAlign w:val="bottom"/>
          </w:tcPr>
          <w:p>
            <w:pPr>
              <w:spacing w:after="0"/>
              <w:rPr>
                <w:sz w:val="1"/>
                <w:szCs w:val="1"/>
                <w:color w:val="auto"/>
              </w:rPr>
            </w:pPr>
          </w:p>
        </w:tc>
      </w:tr>
      <w:tr>
        <w:trPr>
          <w:trHeight w:val="356"/>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Potential Reduced Treatment Burden /</w:t>
            </w: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Potential lowest dosage of any oral HAE treatment; ease of administration</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Enhanced Patient Convenience</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32406B"/>
              </w:rPr>
              <w:t>Well tolerated throughout therapeutic ranges as demonstrated by multiple clinical trials</w:t>
            </w: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60" w:type="dxa"/>
            <w:vAlign w:val="bottom"/>
          </w:tcPr>
          <w:p>
            <w:pPr>
              <w:ind w:left="160"/>
              <w:spacing w:after="0"/>
              <w:rPr>
                <w:sz w:val="20"/>
                <w:szCs w:val="20"/>
                <w:color w:val="auto"/>
              </w:rPr>
            </w:pPr>
            <w:r>
              <w:rPr>
                <w:rFonts w:ascii="Times New Roman" w:cs="Times New Roman" w:eastAsia="Times New Roman" w:hAnsi="Times New Roman"/>
                <w:sz w:val="18"/>
                <w:szCs w:val="18"/>
                <w:color w:val="32406B"/>
              </w:rPr>
              <w:t>to-date</w:t>
            </w:r>
          </w:p>
        </w:tc>
        <w:tc>
          <w:tcPr>
            <w:tcW w:w="0" w:type="dxa"/>
            <w:vAlign w:val="bottom"/>
          </w:tcPr>
          <w:p>
            <w:pPr>
              <w:spacing w:after="0"/>
              <w:rPr>
                <w:sz w:val="1"/>
                <w:szCs w:val="1"/>
                <w:color w:val="auto"/>
              </w:rPr>
            </w:pPr>
          </w:p>
        </w:tc>
      </w:tr>
      <w:tr>
        <w:trPr>
          <w:trHeight w:val="338"/>
        </w:trPr>
        <w:tc>
          <w:tcPr>
            <w:tcW w:w="350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No injection needed</w:t>
            </w:r>
          </w:p>
        </w:tc>
        <w:tc>
          <w:tcPr>
            <w:tcW w:w="0" w:type="dxa"/>
            <w:vAlign w:val="bottom"/>
          </w:tcPr>
          <w:p>
            <w:pPr>
              <w:spacing w:after="0"/>
              <w:rPr>
                <w:sz w:val="1"/>
                <w:szCs w:val="1"/>
                <w:color w:val="auto"/>
              </w:rPr>
            </w:pPr>
          </w:p>
        </w:tc>
      </w:tr>
      <w:tr>
        <w:trPr>
          <w:trHeight w:val="94"/>
        </w:trPr>
        <w:tc>
          <w:tcPr>
            <w:tcW w:w="3500" w:type="dxa"/>
            <w:vAlign w:val="bottom"/>
            <w:tcBorders>
              <w:bottom w:val="single" w:sz="8" w:color="32406B"/>
            </w:tcBorders>
          </w:tcPr>
          <w:p>
            <w:pPr>
              <w:spacing w:after="0"/>
              <w:rPr>
                <w:sz w:val="8"/>
                <w:szCs w:val="8"/>
                <w:color w:val="auto"/>
              </w:rPr>
            </w:pPr>
          </w:p>
        </w:tc>
        <w:tc>
          <w:tcPr>
            <w:tcW w:w="500" w:type="dxa"/>
            <w:vAlign w:val="bottom"/>
            <w:tcBorders>
              <w:bottom w:val="single" w:sz="8" w:color="32406B"/>
            </w:tcBorders>
          </w:tcPr>
          <w:p>
            <w:pPr>
              <w:spacing w:after="0"/>
              <w:rPr>
                <w:sz w:val="8"/>
                <w:szCs w:val="8"/>
                <w:color w:val="auto"/>
              </w:rPr>
            </w:pPr>
          </w:p>
        </w:tc>
        <w:tc>
          <w:tcPr>
            <w:tcW w:w="6860" w:type="dxa"/>
            <w:vAlign w:val="bottom"/>
            <w:tcBorders>
              <w:bottom w:val="single" w:sz="8" w:color="32406B"/>
            </w:tcBorders>
          </w:tcPr>
          <w:p>
            <w:pPr>
              <w:spacing w:after="0"/>
              <w:rPr>
                <w:sz w:val="8"/>
                <w:szCs w:val="8"/>
                <w:color w:val="auto"/>
              </w:rPr>
            </w:pPr>
          </w:p>
        </w:tc>
        <w:tc>
          <w:tcPr>
            <w:tcW w:w="0" w:type="dxa"/>
            <w:vAlign w:val="bottom"/>
          </w:tcPr>
          <w:p>
            <w:pPr>
              <w:spacing w:after="0"/>
              <w:rPr>
                <w:sz w:val="1"/>
                <w:szCs w:val="1"/>
                <w:color w:val="auto"/>
              </w:rPr>
            </w:pPr>
          </w:p>
        </w:tc>
      </w:tr>
      <w:tr>
        <w:trPr>
          <w:trHeight w:val="53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Our Pipeline</w:t>
            </w:r>
          </w:p>
        </w:tc>
        <w:tc>
          <w:tcPr>
            <w:tcW w:w="5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200" w:right="180" w:firstLine="434"/>
        <w:spacing w:after="0" w:line="266" w:lineRule="auto"/>
        <w:rPr>
          <w:sz w:val="20"/>
          <w:szCs w:val="20"/>
          <w:color w:val="auto"/>
        </w:rPr>
      </w:pPr>
      <w:r>
        <w:rPr>
          <w:rFonts w:ascii="Times New Roman" w:cs="Times New Roman" w:eastAsia="Times New Roman" w:hAnsi="Times New Roman"/>
          <w:sz w:val="18"/>
          <w:szCs w:val="18"/>
          <w:color w:val="32406B"/>
        </w:rPr>
        <w:t>We plan to develop separate products for on-demand and prophylactic use, PHVS416 and PHVS719 respectively, with both products utilizing the same active ingredient, PHA121. PHVS416 will be a soft-gel capsule, and PHVS719 will be an extended release tablet. We expect to commence our RAPIDe-1 Phase 2 clinical trial of PHVS416 for on-demand use in 2021. We are also planning to commence a Phase 2 clinical trial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32406B"/>
        </w:rPr>
        <w:t>4</w:t>
      </w:r>
    </w:p>
    <w:p>
      <w:pPr>
        <w:sectPr>
          <w:pgSz w:w="11900" w:h="16838" w:orient="portrait"/>
          <w:cols w:equalWidth="0" w:num="1">
            <w:col w:w="11060"/>
          </w:cols>
          <w:pgMar w:left="320" w:top="455" w:right="51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04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80"/>
        <w:spacing w:after="0" w:line="266" w:lineRule="auto"/>
        <w:rPr>
          <w:sz w:val="20"/>
          <w:szCs w:val="20"/>
          <w:color w:val="auto"/>
        </w:rPr>
      </w:pPr>
      <w:r>
        <w:rPr>
          <w:rFonts w:ascii="Times New Roman" w:cs="Times New Roman" w:eastAsia="Times New Roman" w:hAnsi="Times New Roman"/>
          <w:sz w:val="18"/>
          <w:szCs w:val="18"/>
          <w:color w:val="32406B"/>
        </w:rPr>
        <w:t>for prophylaxis in 2021. In this trial, we plan to assess twice-daily dosing of PHVS416 soft gel capsules for prophylactic use while we continue to advance the development of our extended-release formulation, PHVS719. A bridging study between our formulation of PHVS719 and PHVS416 in a Phase 1 clinical trial is planned in 2021 before conducting the trial of PHVS719 in the prophylactic setting.</w:t>
      </w: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32406B"/>
        </w:rPr>
        <w:t>Expansion of the Portfolio</w:t>
      </w:r>
    </w:p>
    <w:p>
      <w:pPr>
        <w:spacing w:after="0" w:line="121" w:lineRule="exact"/>
        <w:rPr>
          <w:sz w:val="20"/>
          <w:szCs w:val="20"/>
          <w:color w:val="auto"/>
        </w:rPr>
      </w:pPr>
    </w:p>
    <w:p>
      <w:pPr>
        <w:ind w:left="200" w:right="60" w:firstLine="434"/>
        <w:spacing w:after="0" w:line="256" w:lineRule="auto"/>
        <w:rPr>
          <w:sz w:val="20"/>
          <w:szCs w:val="20"/>
          <w:color w:val="auto"/>
        </w:rPr>
      </w:pPr>
      <w:r>
        <w:rPr>
          <w:rFonts w:ascii="Times New Roman" w:cs="Times New Roman" w:eastAsia="Times New Roman" w:hAnsi="Times New Roman"/>
          <w:sz w:val="18"/>
          <w:szCs w:val="18"/>
          <w:color w:val="32406B"/>
        </w:rPr>
        <w:t>Our ultimate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Our Team and Investors</w:t>
      </w:r>
    </w:p>
    <w:p>
      <w:pPr>
        <w:spacing w:after="0" w:line="121" w:lineRule="exact"/>
        <w:rPr>
          <w:sz w:val="20"/>
          <w:szCs w:val="20"/>
          <w:color w:val="auto"/>
        </w:rPr>
      </w:pPr>
    </w:p>
    <w:p>
      <w:pPr>
        <w:ind w:left="200" w:firstLine="434"/>
        <w:spacing w:after="0" w:line="268" w:lineRule="auto"/>
        <w:rPr>
          <w:sz w:val="20"/>
          <w:szCs w:val="20"/>
          <w:color w:val="auto"/>
        </w:rPr>
      </w:pPr>
      <w:r>
        <w:rPr>
          <w:rFonts w:ascii="Times New Roman" w:cs="Times New Roman" w:eastAsia="Times New Roman" w:hAnsi="Times New Roman"/>
          <w:sz w:val="17"/>
          <w:szCs w:val="17"/>
          <w:color w:val="32406B"/>
        </w:rPr>
        <w:t>We are led by a strong management team with extensive experience in the biopharmaceutical industry and rare disease drug development, most notably the development of drugs for the treatment of HAE. Our Chief Executive Officer, Berndt Modig, has extensive experience in the pharmaceutical industry, most recently as Chief Financial Officer of Prosensa Holding N.V. and Chief Financial Officer of Jerini AG, which developed and launched icatibant. Our Chief Scientific Officer and Chief Operating Officer, Jochen Knolle, Ph.D. has extensive experience in every aspect of drug discovery as the former Chief Science Officer and Head of R&amp;D at Jerini AG, former Vice President for Medicinal Chemistry and Structural Biology at Axys Pharmaceuticals Inc., and Hoechst AG and Hoechst-Marion-Roussel where he co-invented icatibant. Our Chief Medical Officer, Peng Lu, M.D., Ph.D. previously served as Vice President, Global Program Lead for Rare Diseases at Shire PLC, now Takeda Pharmaceutical Company Limited, where she led the development and successful approval of TAKHZYRO for the prevention of HAE attacks in the U.S., the EU and the rest of the world. Our Chief Early Development Officer, Anne Lesage, Ph.D. brings in deep expertise in drug discovery and GPCR pharmacology, has held various leadership positions at Janssen Pharmaceutica and is inventor on nine patents and author on 45 publications. Our Chief Business Officer, Morgan Conn, Ph.D. has extensive experience in the biopharmaceutical industry including as the Head of Business Development at PTC Therapeutics, Inc. where he was instrumental to a variety of financing events and corporate transactions with leading pharma, biotech, and academic organizations. In addition, we are backed by a group of renowned institutional investors and have raised over $163 million of capital since our inception, including our recent financing that closed on November 5, 2020. Our investors include LSP, Kurma Partners, Idinvest Partners, Foresite Capital, Bain Capital Life Sciences, venBio Partners, Venrock Partners, Viking Global Investors, General Atlantic, and Cormorant Asset Management.</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Our Strengths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32406B"/>
        </w:rPr>
        <w:t>Our company is built upon the following strengths:</w:t>
      </w:r>
    </w:p>
    <w:p>
      <w:pPr>
        <w:spacing w:after="0" w:line="131" w:lineRule="exact"/>
        <w:rPr>
          <w:sz w:val="20"/>
          <w:szCs w:val="20"/>
          <w:color w:val="auto"/>
        </w:rPr>
      </w:pPr>
    </w:p>
    <w:p>
      <w:pPr>
        <w:ind w:left="1160" w:right="40" w:hanging="534"/>
        <w:spacing w:after="0" w:line="312" w:lineRule="auto"/>
        <w:tabs>
          <w:tab w:leader="none" w:pos="1160" w:val="left"/>
        </w:tabs>
        <w:numPr>
          <w:ilvl w:val="0"/>
          <w:numId w:val="3"/>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45" w:lineRule="exact"/>
        <w:rPr>
          <w:rFonts w:ascii="Times New Roman" w:cs="Times New Roman" w:eastAsia="Times New Roman" w:hAnsi="Times New Roman"/>
          <w:sz w:val="17"/>
          <w:szCs w:val="17"/>
          <w:color w:val="32406B"/>
        </w:rPr>
      </w:pPr>
    </w:p>
    <w:p>
      <w:pPr>
        <w:ind w:left="1160" w:right="220" w:hanging="534"/>
        <w:spacing w:after="0" w:line="282" w:lineRule="auto"/>
        <w:tabs>
          <w:tab w:leader="none" w:pos="1160" w:val="left"/>
        </w:tabs>
        <w:numPr>
          <w:ilvl w:val="0"/>
          <w:numId w:val="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is an orally available product candidate with a clinically validated mechanism of action that addresses serious unmet medical need in HAE;</w:t>
      </w:r>
    </w:p>
    <w:p>
      <w:pPr>
        <w:spacing w:after="0" w:line="67" w:lineRule="exact"/>
        <w:rPr>
          <w:rFonts w:ascii="Times New Roman" w:cs="Times New Roman" w:eastAsia="Times New Roman" w:hAnsi="Times New Roman"/>
          <w:sz w:val="18"/>
          <w:szCs w:val="18"/>
          <w:color w:val="32406B"/>
        </w:rPr>
      </w:pPr>
    </w:p>
    <w:p>
      <w:pPr>
        <w:ind w:left="1160" w:right="40" w:hanging="534"/>
        <w:spacing w:after="0" w:line="282" w:lineRule="auto"/>
        <w:tabs>
          <w:tab w:leader="none" w:pos="1160" w:val="left"/>
        </w:tabs>
        <w:numPr>
          <w:ilvl w:val="0"/>
          <w:numId w:val="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has demonstrated physicochemical properties suitable to formulations as both an on-demand product candidate, PHVS416, and a distinct prophylactic product candidate, PHVS719;</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5</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24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160" w:right="200" w:hanging="534"/>
        <w:spacing w:after="0" w:line="266" w:lineRule="auto"/>
        <w:tabs>
          <w:tab w:leader="none" w:pos="1160" w:val="left"/>
        </w:tabs>
        <w:numPr>
          <w:ilvl w:val="0"/>
          <w:numId w:val="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81" w:lineRule="exact"/>
        <w:rPr>
          <w:rFonts w:ascii="Times New Roman" w:cs="Times New Roman" w:eastAsia="Times New Roman" w:hAnsi="Times New Roman"/>
          <w:sz w:val="18"/>
          <w:szCs w:val="18"/>
          <w:color w:val="32406B"/>
        </w:rPr>
      </w:pPr>
    </w:p>
    <w:p>
      <w:pPr>
        <w:ind w:left="1160" w:right="720" w:hanging="534"/>
        <w:spacing w:after="0" w:line="282" w:lineRule="auto"/>
        <w:tabs>
          <w:tab w:leader="none" w:pos="1160" w:val="left"/>
        </w:tabs>
        <w:numPr>
          <w:ilvl w:val="0"/>
          <w:numId w:val="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wholly own intellectual property – including allowed and in-process patent applications – covering PHA121 and additional molecules; and</w:t>
      </w:r>
    </w:p>
    <w:p>
      <w:pPr>
        <w:spacing w:after="0" w:line="67" w:lineRule="exact"/>
        <w:rPr>
          <w:rFonts w:ascii="Times New Roman" w:cs="Times New Roman" w:eastAsia="Times New Roman" w:hAnsi="Times New Roman"/>
          <w:sz w:val="18"/>
          <w:szCs w:val="18"/>
          <w:color w:val="32406B"/>
        </w:rPr>
      </w:pPr>
    </w:p>
    <w:p>
      <w:pPr>
        <w:ind w:left="1160" w:right="580" w:hanging="534"/>
        <w:spacing w:after="0" w:line="282" w:lineRule="auto"/>
        <w:tabs>
          <w:tab w:leader="none" w:pos="1160" w:val="left"/>
        </w:tabs>
        <w:numPr>
          <w:ilvl w:val="0"/>
          <w:numId w:val="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scientific experience allows us to leverage deep insight and experience in the bradykinin-B2-receptor pathway to expand our portfolio into other BK-mediated angioedema and BK-mediated diseases beyond angioedema.</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Our Strategy</w:t>
      </w:r>
    </w:p>
    <w:p>
      <w:pPr>
        <w:spacing w:after="0" w:line="121" w:lineRule="exact"/>
        <w:rPr>
          <w:sz w:val="20"/>
          <w:szCs w:val="20"/>
          <w:color w:val="auto"/>
        </w:rPr>
      </w:pPr>
    </w:p>
    <w:p>
      <w:pPr>
        <w:ind w:left="200" w:firstLine="434"/>
        <w:spacing w:after="0" w:line="256" w:lineRule="auto"/>
        <w:rPr>
          <w:sz w:val="20"/>
          <w:szCs w:val="20"/>
          <w:color w:val="auto"/>
        </w:rPr>
      </w:pPr>
      <w:r>
        <w:rPr>
          <w:rFonts w:ascii="Times New Roman" w:cs="Times New Roman" w:eastAsia="Times New Roman" w:hAnsi="Times New Roman"/>
          <w:sz w:val="18"/>
          <w:szCs w:val="18"/>
          <w:color w:val="32406B"/>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More importantly, our research shows that patients are not willing to accept significantly reduced efficacy or safety with a switch to oral therapy, and so we place a high degree of emphasis on advancing product candidates that we believe can be comparable to or improve upon existing approved therapies in both safety and efficacy.</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32406B"/>
        </w:rPr>
        <w:t>The key elements of our strategy include:</w:t>
      </w:r>
    </w:p>
    <w:p>
      <w:pPr>
        <w:spacing w:after="0" w:line="129" w:lineRule="exact"/>
        <w:rPr>
          <w:sz w:val="20"/>
          <w:szCs w:val="20"/>
          <w:color w:val="auto"/>
        </w:rPr>
      </w:pPr>
    </w:p>
    <w:p>
      <w:pPr>
        <w:ind w:left="1160" w:right="140" w:hanging="534"/>
        <w:spacing w:after="0" w:line="261" w:lineRule="auto"/>
        <w:tabs>
          <w:tab w:leader="none" w:pos="1160" w:val="left"/>
        </w:tabs>
        <w:numPr>
          <w:ilvl w:val="0"/>
          <w:numId w:val="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Continue to advance PHA121 through clinical development for on-demand treatment of HAE utilizing a fast-onset formulation, known as PHVS416</w:t>
      </w:r>
      <w:r>
        <w:rPr>
          <w:rFonts w:ascii="Times New Roman" w:cs="Times New Roman" w:eastAsia="Times New Roman" w:hAnsi="Times New Roman"/>
          <w:sz w:val="18"/>
          <w:szCs w:val="18"/>
          <w:color w:val="32406B"/>
        </w:rPr>
        <w:t>. We intend to develop and commercialize PHVS416 as a fast-acting, orally available, potent inhibitor and selective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treatment for acute HAE. If considered appropriate by the FDA, we plan to pursue an expedited regulatory pathway that could allow us to more quickly provide patients with a potentially more effective oral therapy that is also more convenient.</w:t>
      </w:r>
    </w:p>
    <w:p>
      <w:pPr>
        <w:spacing w:after="0" w:line="85" w:lineRule="exact"/>
        <w:rPr>
          <w:rFonts w:ascii="Times New Roman" w:cs="Times New Roman" w:eastAsia="Times New Roman" w:hAnsi="Times New Roman"/>
          <w:sz w:val="18"/>
          <w:szCs w:val="18"/>
          <w:color w:val="32406B"/>
        </w:rPr>
      </w:pPr>
    </w:p>
    <w:p>
      <w:pPr>
        <w:ind w:left="1160" w:right="100" w:hanging="534"/>
        <w:spacing w:after="0" w:line="258" w:lineRule="auto"/>
        <w:tabs>
          <w:tab w:leader="none" w:pos="1160" w:val="left"/>
        </w:tabs>
        <w:numPr>
          <w:ilvl w:val="0"/>
          <w:numId w:val="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Advance the development of PHA121 for prophylactic treatment of HAE utilizing an extended-release formulation, known as PHVS719</w:t>
      </w:r>
      <w:r>
        <w:rPr>
          <w:rFonts w:ascii="Times New Roman" w:cs="Times New Roman" w:eastAsia="Times New Roman" w:hAnsi="Times New Roman"/>
          <w:sz w:val="18"/>
          <w:szCs w:val="18"/>
          <w:color w:val="32406B"/>
        </w:rPr>
        <w:t>.</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We 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88" w:lineRule="exact"/>
        <w:rPr>
          <w:rFonts w:ascii="Times New Roman" w:cs="Times New Roman" w:eastAsia="Times New Roman" w:hAnsi="Times New Roman"/>
          <w:sz w:val="18"/>
          <w:szCs w:val="18"/>
          <w:color w:val="32406B"/>
        </w:rPr>
      </w:pPr>
    </w:p>
    <w:p>
      <w:pPr>
        <w:ind w:left="1160" w:right="40" w:hanging="534"/>
        <w:spacing w:after="0" w:line="256" w:lineRule="auto"/>
        <w:tabs>
          <w:tab w:leader="none" w:pos="1160" w:val="left"/>
        </w:tabs>
        <w:numPr>
          <w:ilvl w:val="0"/>
          <w:numId w:val="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Expand the range of bradykinin-mediated angioedema indications to which PHVS416 and PHVS719 can be applied. </w:t>
      </w:r>
      <w:r>
        <w:rPr>
          <w:rFonts w:ascii="Times New Roman" w:cs="Times New Roman" w:eastAsia="Times New Roman" w:hAnsi="Times New Roman"/>
          <w:sz w:val="18"/>
          <w:szCs w:val="18"/>
          <w:color w:val="32406B"/>
        </w:rPr>
        <w:t>In addition to Type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1 or Type 2 HAE, bradykinin is also an important mediator for other types of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88" w:lineRule="exact"/>
        <w:rPr>
          <w:rFonts w:ascii="Times New Roman" w:cs="Times New Roman" w:eastAsia="Times New Roman" w:hAnsi="Times New Roman"/>
          <w:sz w:val="18"/>
          <w:szCs w:val="18"/>
          <w:color w:val="32406B"/>
        </w:rPr>
      </w:pPr>
    </w:p>
    <w:p>
      <w:pPr>
        <w:ind w:left="1160" w:right="20" w:hanging="534"/>
        <w:spacing w:after="0" w:line="290" w:lineRule="auto"/>
        <w:tabs>
          <w:tab w:leader="none" w:pos="1160" w:val="left"/>
        </w:tabs>
        <w:numPr>
          <w:ilvl w:val="0"/>
          <w:numId w:val="5"/>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i w:val="1"/>
          <w:iCs w:val="1"/>
          <w:color w:val="32406B"/>
        </w:rPr>
        <w:t>Expand upon our expertise in the bradykinin-B2-receptor pathway</w:t>
      </w:r>
      <w:r>
        <w:rPr>
          <w:rFonts w:ascii="Times New Roman" w:cs="Times New Roman" w:eastAsia="Times New Roman" w:hAnsi="Times New Roman"/>
          <w:sz w:val="17"/>
          <w:szCs w:val="17"/>
          <w:color w:val="32406B"/>
        </w:rPr>
        <w:t>. We intend to leverage the strategic strengths, insight, and deep</w:t>
      </w:r>
      <w:r>
        <w:rPr>
          <w:rFonts w:ascii="Times New Roman" w:cs="Times New Roman" w:eastAsia="Times New Roman" w:hAnsi="Times New Roman"/>
          <w:sz w:val="17"/>
          <w:szCs w:val="17"/>
          <w:i w:val="1"/>
          <w:iCs w:val="1"/>
          <w:color w:val="32406B"/>
        </w:rPr>
        <w:t xml:space="preserve"> </w:t>
      </w:r>
      <w:r>
        <w:rPr>
          <w:rFonts w:ascii="Times New Roman" w:cs="Times New Roman" w:eastAsia="Times New Roman" w:hAnsi="Times New Roman"/>
          <w:sz w:val="17"/>
          <w:szCs w:val="17"/>
          <w:color w:val="32406B"/>
        </w:rPr>
        <w:t>experience of our team in the bradykinin-B2-receptor pathway to identify additional disease areas and indications with strong scientific rationale, high unmet medical need, a defined target population and significant differentiation potential. As such, we will seek to develop</w:t>
      </w: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6</w:t>
      </w:r>
    </w:p>
    <w:p>
      <w:pPr>
        <w:sectPr>
          <w:pgSz w:w="11900" w:h="16838" w:orient="portrait"/>
          <w:cols w:equalWidth="0" w:num="1">
            <w:col w:w="11040"/>
          </w:cols>
          <w:pgMar w:left="320" w:top="455"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055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0559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540"/>
        <w:spacing w:after="0" w:line="282" w:lineRule="auto"/>
        <w:rPr>
          <w:sz w:val="20"/>
          <w:szCs w:val="20"/>
          <w:color w:val="auto"/>
        </w:rPr>
      </w:pPr>
      <w:r>
        <w:rPr>
          <w:rFonts w:ascii="Times New Roman" w:cs="Times New Roman" w:eastAsia="Times New Roman" w:hAnsi="Times New Roman"/>
          <w:sz w:val="18"/>
          <w:szCs w:val="18"/>
          <w:color w:val="32406B"/>
        </w:rPr>
        <w:t>follow-on product candidates that serve additional BK-mediated diseases beyond angioedema, such as cardiovascular, allergy and immunology, neurological disease or others.</w:t>
      </w:r>
    </w:p>
    <w:p>
      <w:pPr>
        <w:spacing w:after="0" w:line="65" w:lineRule="exact"/>
        <w:rPr>
          <w:sz w:val="20"/>
          <w:szCs w:val="20"/>
          <w:color w:val="auto"/>
        </w:rPr>
      </w:pPr>
    </w:p>
    <w:p>
      <w:pPr>
        <w:ind w:left="1160" w:right="240" w:hanging="534"/>
        <w:spacing w:after="0" w:line="261" w:lineRule="auto"/>
        <w:tabs>
          <w:tab w:leader="none" w:pos="1160" w:val="left"/>
        </w:tabs>
        <w:numPr>
          <w:ilvl w:val="0"/>
          <w:numId w:val="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Commercialize our product candidates. </w:t>
      </w:r>
      <w:r>
        <w:rPr>
          <w:rFonts w:ascii="Times New Roman" w:cs="Times New Roman" w:eastAsia="Times New Roman" w:hAnsi="Times New Roman"/>
          <w:sz w:val="18"/>
          <w:szCs w:val="18"/>
          <w:color w:val="32406B"/>
        </w:rPr>
        <w:t>We intend to retain economic and commercial ownership of our current product candidates. If</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Recent Developments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32406B"/>
        </w:rPr>
        <w:t>Series C Financing</w:t>
      </w:r>
    </w:p>
    <w:p>
      <w:pPr>
        <w:spacing w:after="0" w:line="121"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8"/>
          <w:szCs w:val="18"/>
          <w:color w:val="32406B"/>
        </w:rPr>
        <w:t>On November 3, 2020, we entered into a subscription agreement pursuant to which we sold 5,826,279 Series C preferred shares for an aggregate investment amount of approximately $80,000,000. The Series C preferred shares were issued on November 5, 2020. See “Related Party Transactions —Transactions with Our Principal Shareholders.”</w:t>
      </w: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i w:val="1"/>
          <w:iCs w:val="1"/>
          <w:color w:val="32406B"/>
        </w:rPr>
        <w:t>COVID-19</w:t>
      </w:r>
    </w:p>
    <w:p>
      <w:pPr>
        <w:spacing w:after="0" w:line="121"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32406B"/>
        </w:rPr>
        <w:t>On January 30, 2020, the World Health Organization declared the outbreak of coronavirus (“COVID-19”) to be a public health emergency of international concern. The COVID-19 outbreak has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80"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32406B"/>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 interests of our employees and business partners. While the impact of COVID-19 on the Company’s operations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now completed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affect our operations.</w:t>
      </w:r>
    </w:p>
    <w:p>
      <w:pPr>
        <w:spacing w:after="0" w:line="194" w:lineRule="exact"/>
        <w:rPr>
          <w:sz w:val="20"/>
          <w:szCs w:val="20"/>
          <w:color w:val="auto"/>
        </w:rPr>
      </w:pPr>
    </w:p>
    <w:p>
      <w:pPr>
        <w:ind w:left="200" w:right="200" w:firstLine="434"/>
        <w:spacing w:after="0" w:line="258" w:lineRule="auto"/>
        <w:rPr>
          <w:sz w:val="20"/>
          <w:szCs w:val="20"/>
          <w:color w:val="auto"/>
        </w:rPr>
      </w:pPr>
      <w:r>
        <w:rPr>
          <w:rFonts w:ascii="Times New Roman" w:cs="Times New Roman" w:eastAsia="Times New Roman" w:hAnsi="Times New Roman"/>
          <w:sz w:val="18"/>
          <w:szCs w:val="18"/>
          <w:color w:val="32406B"/>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contract development and manufacturing organizations, or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83" w:lineRule="exact"/>
        <w:rPr>
          <w:sz w:val="20"/>
          <w:szCs w:val="20"/>
          <w:color w:val="auto"/>
        </w:rPr>
      </w:pPr>
    </w:p>
    <w:p>
      <w:pPr>
        <w:ind w:left="200" w:right="200" w:firstLine="434"/>
        <w:spacing w:after="0" w:line="266" w:lineRule="auto"/>
        <w:rPr>
          <w:sz w:val="20"/>
          <w:szCs w:val="20"/>
          <w:color w:val="auto"/>
        </w:rPr>
      </w:pPr>
      <w:r>
        <w:rPr>
          <w:rFonts w:ascii="Times New Roman" w:cs="Times New Roman" w:eastAsia="Times New Roman" w:hAnsi="Times New Roman"/>
          <w:sz w:val="18"/>
          <w:szCs w:val="18"/>
          <w:color w:val="32406B"/>
        </w:rPr>
        <w:t>The COVID-19 pandemic remains a rapidly evolving situation and we do not yet know the full extent of its potential impact on our business operations. The extent to which the COVID-19 pandemic impacts our business will depend on future developments, which are uncertain and cannot be predicted, including new information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7</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6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40"/>
        <w:spacing w:after="0" w:line="266" w:lineRule="auto"/>
        <w:rPr>
          <w:sz w:val="20"/>
          <w:szCs w:val="20"/>
          <w:color w:val="auto"/>
        </w:rPr>
      </w:pPr>
      <w:r>
        <w:rPr>
          <w:rFonts w:ascii="Times New Roman" w:cs="Times New Roman" w:eastAsia="Times New Roman" w:hAnsi="Times New Roman"/>
          <w:sz w:val="18"/>
          <w:szCs w:val="18"/>
          <w:color w:val="32406B"/>
        </w:rPr>
        <w:t>which may emerge concerning the severity of the COVID-19 pandemic and the actions to contain COVID-19 or treat its impact, among others. We will continue to closely monitor the effects of the pandemic. For additional information on risks posed by the COVID-19 pandemic, refer to the section titled “Risk Factors” included elsewhere in this prospectus.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Risks Associated with Our Business</w:t>
      </w:r>
    </w:p>
    <w:p>
      <w:pPr>
        <w:spacing w:after="0" w:line="121" w:lineRule="exact"/>
        <w:rPr>
          <w:sz w:val="20"/>
          <w:szCs w:val="20"/>
          <w:color w:val="auto"/>
        </w:rPr>
      </w:pPr>
    </w:p>
    <w:p>
      <w:pPr>
        <w:ind w:left="200" w:firstLine="434"/>
        <w:spacing w:after="0" w:line="266" w:lineRule="auto"/>
        <w:rPr>
          <w:sz w:val="20"/>
          <w:szCs w:val="20"/>
          <w:color w:val="auto"/>
        </w:rPr>
      </w:pPr>
      <w:r>
        <w:rPr>
          <w:rFonts w:ascii="Times New Roman" w:cs="Times New Roman" w:eastAsia="Times New Roman" w:hAnsi="Times New Roman"/>
          <w:sz w:val="18"/>
          <w:szCs w:val="18"/>
          <w:color w:val="32406B"/>
        </w:rPr>
        <w:t>Our business is subject to a number of risks of which you should be aware of before making an investment decision. These risks are discussed more fully in the “Risk Factors” section of this prospectus immediately following this prospectus summary. These risks include, but are not limited to, the following:</w:t>
      </w:r>
    </w:p>
    <w:p>
      <w:pPr>
        <w:spacing w:after="0" w:line="81" w:lineRule="exact"/>
        <w:rPr>
          <w:sz w:val="20"/>
          <w:szCs w:val="20"/>
          <w:color w:val="auto"/>
        </w:rPr>
      </w:pPr>
    </w:p>
    <w:p>
      <w:pPr>
        <w:ind w:left="1160" w:right="220" w:hanging="534"/>
        <w:spacing w:after="0" w:line="266"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81" w:lineRule="exact"/>
        <w:rPr>
          <w:rFonts w:ascii="Times New Roman" w:cs="Times New Roman" w:eastAsia="Times New Roman" w:hAnsi="Times New Roman"/>
          <w:sz w:val="18"/>
          <w:szCs w:val="18"/>
          <w:color w:val="32406B"/>
        </w:rPr>
      </w:pPr>
    </w:p>
    <w:p>
      <w:pPr>
        <w:ind w:left="1160" w:right="920" w:hanging="534"/>
        <w:spacing w:after="0" w:line="282"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we are unable to raise capital when needed or on acceptable terms, we may need to delay, reduce or terminate our product development programs and may be unable to continue as a going concern and could ultimately go into insolvency.</w:t>
      </w:r>
    </w:p>
    <w:p>
      <w:pPr>
        <w:spacing w:after="0" w:line="67" w:lineRule="exact"/>
        <w:rPr>
          <w:rFonts w:ascii="Times New Roman" w:cs="Times New Roman" w:eastAsia="Times New Roman" w:hAnsi="Times New Roman"/>
          <w:sz w:val="18"/>
          <w:szCs w:val="18"/>
          <w:color w:val="32406B"/>
        </w:rPr>
      </w:pPr>
    </w:p>
    <w:p>
      <w:pPr>
        <w:ind w:left="1160" w:right="740" w:hanging="534"/>
        <w:spacing w:after="0" w:line="282"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business and operations may be adversely affected by a variety of events outside our control, including, but not limited to, pandemics, epidemics or outbreaks of infectious diseases such as the recent COVID-19 pandemic.</w:t>
      </w:r>
    </w:p>
    <w:p>
      <w:pPr>
        <w:spacing w:after="0" w:line="67" w:lineRule="exact"/>
        <w:rPr>
          <w:rFonts w:ascii="Times New Roman" w:cs="Times New Roman" w:eastAsia="Times New Roman" w:hAnsi="Times New Roman"/>
          <w:sz w:val="18"/>
          <w:szCs w:val="18"/>
          <w:color w:val="32406B"/>
        </w:rPr>
      </w:pPr>
    </w:p>
    <w:p>
      <w:pPr>
        <w:ind w:left="1160" w:right="120" w:hanging="534"/>
        <w:spacing w:after="0" w:line="258"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are heavily dependent on the success of our product candidates PHVS416 and PHVS719, which are in early 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88" w:lineRule="exact"/>
        <w:rPr>
          <w:rFonts w:ascii="Times New Roman" w:cs="Times New Roman" w:eastAsia="Times New Roman" w:hAnsi="Times New Roman"/>
          <w:sz w:val="18"/>
          <w:szCs w:val="18"/>
          <w:color w:val="32406B"/>
        </w:rPr>
      </w:pPr>
    </w:p>
    <w:p>
      <w:pPr>
        <w:ind w:left="1160" w:right="100" w:hanging="534"/>
        <w:spacing w:after="0" w:line="255"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assessment, as well as modelling of our results from that trial with additional </w:t>
      </w:r>
      <w:r>
        <w:rPr>
          <w:rFonts w:ascii="Times New Roman" w:cs="Times New Roman" w:eastAsia="Times New Roman" w:hAnsi="Times New Roman"/>
          <w:sz w:val="18"/>
          <w:szCs w:val="18"/>
          <w:i w:val="1"/>
          <w:iCs w:val="1"/>
          <w:color w:val="32406B"/>
        </w:rPr>
        <w:t xml:space="preserve">in vitro </w:t>
      </w:r>
      <w:r>
        <w:rPr>
          <w:rFonts w:ascii="Times New Roman" w:cs="Times New Roman" w:eastAsia="Times New Roman" w:hAnsi="Times New Roman"/>
          <w:sz w:val="18"/>
          <w:szCs w:val="18"/>
          <w:color w:val="32406B"/>
        </w:rPr>
        <w:t>and</w:t>
      </w:r>
      <w:r>
        <w:rPr>
          <w:rFonts w:ascii="Times New Roman" w:cs="Times New Roman" w:eastAsia="Times New Roman" w:hAnsi="Times New Roman"/>
          <w:sz w:val="18"/>
          <w:szCs w:val="18"/>
          <w:i w:val="1"/>
          <w:iCs w:val="1"/>
          <w:color w:val="32406B"/>
        </w:rPr>
        <w:t xml:space="preserve"> in vivo </w:t>
      </w:r>
      <w:r>
        <w:rPr>
          <w:rFonts w:ascii="Times New Roman" w:cs="Times New Roman" w:eastAsia="Times New Roman" w:hAnsi="Times New Roman"/>
          <w:sz w:val="18"/>
          <w:szCs w:val="18"/>
          <w:color w:val="32406B"/>
        </w:rPr>
        <w:t>data and comparisons to published results for other currently available products from different trials. We may not be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94"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Clinical trials of our product candidates may not uncover all possible adverse effects that patients may experience.</w:t>
      </w:r>
    </w:p>
    <w:p>
      <w:pPr>
        <w:spacing w:after="0" w:line="130"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There can be no assurance that we will be able to obtain or, if obtained, maintain orphan drug status.</w:t>
      </w:r>
    </w:p>
    <w:p>
      <w:pPr>
        <w:spacing w:after="0" w:line="130" w:lineRule="exact"/>
        <w:rPr>
          <w:rFonts w:ascii="Times New Roman" w:cs="Times New Roman" w:eastAsia="Times New Roman" w:hAnsi="Times New Roman"/>
          <w:sz w:val="18"/>
          <w:szCs w:val="18"/>
          <w:color w:val="32406B"/>
        </w:rPr>
      </w:pPr>
    </w:p>
    <w:p>
      <w:pPr>
        <w:ind w:left="1160" w:right="80" w:hanging="534"/>
        <w:spacing w:after="0" w:line="261" w:lineRule="auto"/>
        <w:tabs>
          <w:tab w:leader="none" w:pos="1160" w:val="left"/>
        </w:tabs>
        <w:numPr>
          <w:ilvl w:val="0"/>
          <w:numId w:val="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32406B"/>
        </w:rPr>
        <w:t>8</w:t>
      </w:r>
    </w:p>
    <w:p>
      <w:pPr>
        <w:sectPr>
          <w:pgSz w:w="11900" w:h="16838" w:orient="portrait"/>
          <w:cols w:equalWidth="0" w:num="1">
            <w:col w:w="11020"/>
          </w:cols>
          <w:pgMar w:left="320" w:top="455" w:right="5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81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6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67"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Manufacturing issues may arise that could increase product and regulatory approval costs or delay commercialization of our products.</w:t>
      </w:r>
    </w:p>
    <w:p>
      <w:pPr>
        <w:spacing w:after="0" w:line="130"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market opportunities for our product candidates may also be smaller than currently anticipated, lowering our potential revenue.</w:t>
      </w:r>
    </w:p>
    <w:p>
      <w:pPr>
        <w:spacing w:after="0" w:line="130" w:lineRule="exact"/>
        <w:rPr>
          <w:rFonts w:ascii="Times New Roman" w:cs="Times New Roman" w:eastAsia="Times New Roman" w:hAnsi="Times New Roman"/>
          <w:sz w:val="18"/>
          <w:szCs w:val="18"/>
          <w:color w:val="32406B"/>
        </w:rPr>
      </w:pPr>
    </w:p>
    <w:p>
      <w:pPr>
        <w:ind w:left="1160" w:right="60" w:hanging="534"/>
        <w:spacing w:after="0" w:line="266"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1" w:lineRule="exact"/>
        <w:rPr>
          <w:rFonts w:ascii="Times New Roman" w:cs="Times New Roman" w:eastAsia="Times New Roman" w:hAnsi="Times New Roman"/>
          <w:sz w:val="18"/>
          <w:szCs w:val="18"/>
          <w:color w:val="32406B"/>
        </w:rPr>
      </w:pPr>
    </w:p>
    <w:p>
      <w:pPr>
        <w:ind w:left="1160" w:right="34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Governments and/or pricing authorities, especially in the European Union, often impose strict price and access controls, which may adversely affect our future profitability.</w:t>
      </w:r>
    </w:p>
    <w:p>
      <w:pPr>
        <w:spacing w:after="0" w:line="67" w:lineRule="exact"/>
        <w:rPr>
          <w:rFonts w:ascii="Times New Roman" w:cs="Times New Roman" w:eastAsia="Times New Roman" w:hAnsi="Times New Roman"/>
          <w:sz w:val="18"/>
          <w:szCs w:val="18"/>
          <w:color w:val="32406B"/>
        </w:rPr>
      </w:pPr>
    </w:p>
    <w:p>
      <w:pPr>
        <w:ind w:left="1160" w:right="340" w:hanging="534"/>
        <w:spacing w:after="0" w:line="266"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81" w:lineRule="exact"/>
        <w:rPr>
          <w:rFonts w:ascii="Times New Roman" w:cs="Times New Roman" w:eastAsia="Times New Roman" w:hAnsi="Times New Roman"/>
          <w:sz w:val="18"/>
          <w:szCs w:val="18"/>
          <w:color w:val="32406B"/>
        </w:rPr>
      </w:pPr>
    </w:p>
    <w:p>
      <w:pPr>
        <w:ind w:left="1160" w:right="54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may become exposed to costly and damaging liability claims, either when testing our product candidates in the clinic or after commercialization; and our product liability insurance may not cover all damages from such claims.</w:t>
      </w:r>
    </w:p>
    <w:p>
      <w:pPr>
        <w:spacing w:after="0" w:line="67" w:lineRule="exact"/>
        <w:rPr>
          <w:rFonts w:ascii="Times New Roman" w:cs="Times New Roman" w:eastAsia="Times New Roman" w:hAnsi="Times New Roman"/>
          <w:sz w:val="18"/>
          <w:szCs w:val="18"/>
          <w:color w:val="32406B"/>
        </w:rPr>
      </w:pPr>
    </w:p>
    <w:p>
      <w:pPr>
        <w:ind w:left="1160" w:right="240" w:hanging="534"/>
        <w:spacing w:after="0" w:line="266"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81" w:lineRule="exact"/>
        <w:rPr>
          <w:rFonts w:ascii="Times New Roman" w:cs="Times New Roman" w:eastAsia="Times New Roman" w:hAnsi="Times New Roman"/>
          <w:sz w:val="18"/>
          <w:szCs w:val="18"/>
          <w:color w:val="32406B"/>
        </w:rPr>
      </w:pPr>
    </w:p>
    <w:p>
      <w:pPr>
        <w:ind w:left="1160" w:right="22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67" w:lineRule="exact"/>
        <w:rPr>
          <w:rFonts w:ascii="Times New Roman" w:cs="Times New Roman" w:eastAsia="Times New Roman" w:hAnsi="Times New Roman"/>
          <w:sz w:val="18"/>
          <w:szCs w:val="18"/>
          <w:color w:val="32406B"/>
        </w:rPr>
      </w:pPr>
    </w:p>
    <w:p>
      <w:pPr>
        <w:ind w:left="1160" w:right="460" w:hanging="534"/>
        <w:spacing w:after="0" w:line="266"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81" w:lineRule="exact"/>
        <w:rPr>
          <w:rFonts w:ascii="Times New Roman" w:cs="Times New Roman" w:eastAsia="Times New Roman" w:hAnsi="Times New Roman"/>
          <w:sz w:val="18"/>
          <w:szCs w:val="18"/>
          <w:color w:val="32406B"/>
        </w:rPr>
      </w:pPr>
    </w:p>
    <w:p>
      <w:pPr>
        <w:ind w:left="1160" w:hanging="534"/>
        <w:spacing w:after="0" w:line="261"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85" w:lineRule="exact"/>
        <w:rPr>
          <w:rFonts w:ascii="Times New Roman" w:cs="Times New Roman" w:eastAsia="Times New Roman" w:hAnsi="Times New Roman"/>
          <w:sz w:val="18"/>
          <w:szCs w:val="18"/>
          <w:color w:val="32406B"/>
        </w:rPr>
      </w:pPr>
    </w:p>
    <w:p>
      <w:pPr>
        <w:jc w:val="both"/>
        <w:ind w:left="1160" w:right="340" w:hanging="534"/>
        <w:spacing w:after="0" w:line="266"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we fail to make required payments to AnalytiCon Discovery GmbH, or AnalytiCon, under the terms of the agreement pursuant to which we acquired certain of our core intellectual property, AnalytiCon may exercise remedies that would materially and adversely affect our business and results of operations.</w:t>
      </w:r>
    </w:p>
    <w:p>
      <w:pPr>
        <w:spacing w:after="0" w:line="81" w:lineRule="exact"/>
        <w:rPr>
          <w:rFonts w:ascii="Times New Roman" w:cs="Times New Roman" w:eastAsia="Times New Roman" w:hAnsi="Times New Roman"/>
          <w:sz w:val="18"/>
          <w:szCs w:val="18"/>
          <w:color w:val="32406B"/>
        </w:rPr>
      </w:pPr>
    </w:p>
    <w:p>
      <w:pPr>
        <w:ind w:left="1160" w:right="28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market price of our ordinary shares may be highly volatile, and you may not be able to resell our ordinary shares at or above the initial public offering price.</w:t>
      </w:r>
    </w:p>
    <w:p>
      <w:pPr>
        <w:spacing w:after="0" w:line="67" w:lineRule="exact"/>
        <w:rPr>
          <w:rFonts w:ascii="Times New Roman" w:cs="Times New Roman" w:eastAsia="Times New Roman" w:hAnsi="Times New Roman"/>
          <w:sz w:val="18"/>
          <w:szCs w:val="18"/>
          <w:color w:val="32406B"/>
        </w:rPr>
      </w:pPr>
    </w:p>
    <w:p>
      <w:pPr>
        <w:ind w:left="1160" w:right="20" w:hanging="534"/>
        <w:spacing w:after="0" w:line="282" w:lineRule="auto"/>
        <w:tabs>
          <w:tab w:leader="none" w:pos="1160" w:val="left"/>
        </w:tabs>
        <w:numPr>
          <w:ilvl w:val="0"/>
          <w:numId w:val="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do not currently intend to pay dividends on our securities and, consequently, your ability to achieve a return on your investment will depend on appreciation in the price of our ordinary shares.</w:t>
      </w:r>
    </w:p>
    <w:p>
      <w:pPr>
        <w:spacing w:after="0" w:line="200" w:lineRule="exact"/>
        <w:rPr>
          <w:sz w:val="20"/>
          <w:szCs w:val="20"/>
          <w:color w:val="auto"/>
        </w:rPr>
      </w:pPr>
    </w:p>
    <w:p>
      <w:pPr>
        <w:spacing w:after="0" w:line="3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32406B"/>
        </w:rPr>
        <w:t>9</w:t>
      </w:r>
    </w:p>
    <w:p>
      <w:pPr>
        <w:sectPr>
          <w:pgSz w:w="11900" w:h="16838" w:orient="portrait"/>
          <w:cols w:equalWidth="0" w:num="1">
            <w:col w:w="10980"/>
          </w:cols>
          <w:pgMar w:left="320" w:top="455" w:right="5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44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320" w:hanging="534"/>
        <w:spacing w:after="0" w:line="282" w:lineRule="auto"/>
        <w:tabs>
          <w:tab w:leader="none" w:pos="1160" w:val="left"/>
        </w:tabs>
        <w:numPr>
          <w:ilvl w:val="0"/>
          <w:numId w:val="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may be a passive foreign investment company, or a PFIC, which could result in adverse U.S. federal income tax consequences to U.S. investors.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Corporate Information</w:t>
      </w:r>
    </w:p>
    <w:p>
      <w:pPr>
        <w:spacing w:after="0" w:line="121"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8"/>
          <w:szCs w:val="18"/>
          <w:color w:val="32406B"/>
        </w:rPr>
        <w:t>We were incorporated pursuant to Dutch law as Pharvaris B.V. on September 30, 2015. Prior to the consummation of this offering, we intend to convert from Pharvaris B.V. into Pharvaris N.V., a Dutch public company with limited liability. Our principal executive offices are located at J.H. Oortweg 21, 2333 CH Leiden, The Netherlands. Our telephone number is +31 (0)71 203 6410.</w:t>
      </w:r>
    </w:p>
    <w:p>
      <w:pPr>
        <w:spacing w:after="0" w:line="176" w:lineRule="exact"/>
        <w:rPr>
          <w:sz w:val="20"/>
          <w:szCs w:val="20"/>
          <w:color w:val="auto"/>
        </w:rPr>
      </w:pPr>
    </w:p>
    <w:p>
      <w:pPr>
        <w:jc w:val="both"/>
        <w:ind w:left="200" w:firstLine="434"/>
        <w:spacing w:after="0" w:line="266" w:lineRule="auto"/>
        <w:rPr>
          <w:sz w:val="20"/>
          <w:szCs w:val="20"/>
          <w:color w:val="auto"/>
        </w:rPr>
      </w:pPr>
      <w:r>
        <w:rPr>
          <w:rFonts w:ascii="Times New Roman" w:cs="Times New Roman" w:eastAsia="Times New Roman" w:hAnsi="Times New Roman"/>
          <w:sz w:val="18"/>
          <w:szCs w:val="18"/>
          <w:color w:val="32406B"/>
        </w:rPr>
        <w:t xml:space="preserve">Investors should contact us for any inquiries through the address and telephone number of our principal executive offices. Our principal website is </w:t>
      </w:r>
      <w:r>
        <w:rPr>
          <w:rFonts w:ascii="Times New Roman" w:cs="Times New Roman" w:eastAsia="Times New Roman" w:hAnsi="Times New Roman"/>
          <w:sz w:val="18"/>
          <w:szCs w:val="18"/>
          <w:i w:val="1"/>
          <w:iCs w:val="1"/>
          <w:color w:val="32406B"/>
        </w:rPr>
        <w:t>www.pharvaris.com</w:t>
      </w:r>
      <w:r>
        <w:rPr>
          <w:rFonts w:ascii="Times New Roman" w:cs="Times New Roman" w:eastAsia="Times New Roman" w:hAnsi="Times New Roman"/>
          <w:sz w:val="18"/>
          <w:szCs w:val="18"/>
          <w:color w:val="32406B"/>
        </w:rPr>
        <w:t>. The information contained on, or accessible from, or hyperlinked to, our website is not a part of this prospectus and you should not consider information on our website to be part of this prospectus.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Implications of Being an “Emerging Growth Company” and a Foreign Private Issuer</w:t>
      </w:r>
    </w:p>
    <w:p>
      <w:pPr>
        <w:spacing w:after="0" w:line="121" w:lineRule="exact"/>
        <w:rPr>
          <w:sz w:val="20"/>
          <w:szCs w:val="20"/>
          <w:color w:val="auto"/>
        </w:rPr>
      </w:pPr>
    </w:p>
    <w:p>
      <w:pPr>
        <w:ind w:left="200" w:right="80" w:firstLine="434"/>
        <w:spacing w:after="0" w:line="266" w:lineRule="auto"/>
        <w:rPr>
          <w:sz w:val="20"/>
          <w:szCs w:val="20"/>
          <w:color w:val="auto"/>
        </w:rPr>
      </w:pPr>
      <w:r>
        <w:rPr>
          <w:rFonts w:ascii="Times New Roman" w:cs="Times New Roman" w:eastAsia="Times New Roman" w:hAnsi="Times New Roman"/>
          <w:sz w:val="18"/>
          <w:szCs w:val="18"/>
          <w:color w:val="32406B"/>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1" w:lineRule="exact"/>
        <w:rPr>
          <w:sz w:val="20"/>
          <w:szCs w:val="20"/>
          <w:color w:val="auto"/>
        </w:rPr>
      </w:pPr>
    </w:p>
    <w:p>
      <w:pPr>
        <w:ind w:left="1160" w:right="200" w:hanging="534"/>
        <w:spacing w:after="0" w:line="266" w:lineRule="auto"/>
        <w:tabs>
          <w:tab w:leader="none" w:pos="1160" w:val="left"/>
        </w:tabs>
        <w:numPr>
          <w:ilvl w:val="0"/>
          <w:numId w:val="1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inclusion of only two years of audited financial statements in addition to any required unaudited interim financial statements with correspondingly reduced “Management’s Discussion and Analysis of Financial Condition and Results of Operations” disclosure in the registration statement of which this prospectus forms a part;</w:t>
      </w:r>
    </w:p>
    <w:p>
      <w:pPr>
        <w:spacing w:after="0" w:line="81" w:lineRule="exact"/>
        <w:rPr>
          <w:rFonts w:ascii="Times New Roman" w:cs="Times New Roman" w:eastAsia="Times New Roman" w:hAnsi="Times New Roman"/>
          <w:sz w:val="18"/>
          <w:szCs w:val="18"/>
          <w:color w:val="32406B"/>
        </w:rPr>
      </w:pPr>
    </w:p>
    <w:p>
      <w:pPr>
        <w:ind w:left="1160" w:right="120" w:hanging="534"/>
        <w:spacing w:after="0" w:line="282" w:lineRule="auto"/>
        <w:tabs>
          <w:tab w:leader="none" w:pos="1160" w:val="left"/>
        </w:tabs>
        <w:numPr>
          <w:ilvl w:val="0"/>
          <w:numId w:val="1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 exception from compliance with the auditor attestation requirements of Section 404 of the Sarbanes Oxley Act of 2002, as amended, or the Sarbanes-Oxley Act;</w:t>
      </w:r>
    </w:p>
    <w:p>
      <w:pPr>
        <w:spacing w:after="0" w:line="67"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1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reduced disclosure about our executive compensation arrangements in our periodic reports and registration statements; and</w:t>
      </w:r>
    </w:p>
    <w:p>
      <w:pPr>
        <w:spacing w:after="0" w:line="130" w:lineRule="exact"/>
        <w:rPr>
          <w:rFonts w:ascii="Times New Roman" w:cs="Times New Roman" w:eastAsia="Times New Roman" w:hAnsi="Times New Roman"/>
          <w:sz w:val="18"/>
          <w:szCs w:val="18"/>
          <w:color w:val="32406B"/>
        </w:rPr>
      </w:pPr>
    </w:p>
    <w:p>
      <w:pPr>
        <w:ind w:left="1160" w:right="1000" w:hanging="534"/>
        <w:spacing w:after="0" w:line="282" w:lineRule="auto"/>
        <w:tabs>
          <w:tab w:leader="none" w:pos="1160" w:val="left"/>
        </w:tabs>
        <w:numPr>
          <w:ilvl w:val="0"/>
          <w:numId w:val="1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exemptions from the requirements of holding non-binding advisory votes on executive compensation and golden parachute arrangements.</w:t>
      </w:r>
    </w:p>
    <w:p>
      <w:pPr>
        <w:spacing w:after="0" w:line="162" w:lineRule="exact"/>
        <w:rPr>
          <w:sz w:val="20"/>
          <w:szCs w:val="20"/>
          <w:color w:val="auto"/>
        </w:rPr>
      </w:pPr>
    </w:p>
    <w:p>
      <w:pPr>
        <w:jc w:val="both"/>
        <w:ind w:left="200" w:right="60" w:firstLine="434"/>
        <w:spacing w:after="0" w:line="276" w:lineRule="auto"/>
        <w:rPr>
          <w:sz w:val="20"/>
          <w:szCs w:val="20"/>
          <w:color w:val="auto"/>
        </w:rPr>
      </w:pPr>
      <w:r>
        <w:rPr>
          <w:rFonts w:ascii="Times New Roman" w:cs="Times New Roman" w:eastAsia="Times New Roman" w:hAnsi="Times New Roman"/>
          <w:sz w:val="17"/>
          <w:szCs w:val="17"/>
          <w:color w:val="32406B"/>
        </w:rPr>
        <w:t>We may take advantage of these provisions until such time that we cease to qualify as an emerging growth company. We would cease to qualify as an emerging growth company upon the earliest of: (i) the last day of the fiscal year (A) in which we had more than $1.07 billion in annual revenue,</w:t>
      </w:r>
    </w:p>
    <w:p>
      <w:pPr>
        <w:spacing w:after="0" w:line="1" w:lineRule="exact"/>
        <w:rPr>
          <w:sz w:val="20"/>
          <w:szCs w:val="20"/>
          <w:color w:val="auto"/>
        </w:rPr>
      </w:pPr>
    </w:p>
    <w:p>
      <w:pPr>
        <w:ind w:left="200" w:right="40" w:hanging="6"/>
        <w:spacing w:after="0" w:line="253" w:lineRule="auto"/>
        <w:tabs>
          <w:tab w:leader="none" w:pos="485" w:val="left"/>
        </w:tabs>
        <w:numPr>
          <w:ilvl w:val="0"/>
          <w:numId w:val="1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are deemed to be a “large accelerated filer” under the rules of the SEC, or (C) following the fifth anniversary of the date of the completion of this offering (ii) the date on which we issue more than $1.0 billion of non-convertible debt over a three-year period. We may choose to take advantage of some but not all of these reduced reporting requirements. To the extent that we take advantage of these reduced reporting requirements, the information that we provide shareholders may be different than the information you might obtain from other public companies in which you hold equity interests.</w:t>
      </w:r>
    </w:p>
    <w:p>
      <w:pPr>
        <w:spacing w:after="0" w:line="187" w:lineRule="exact"/>
        <w:rPr>
          <w:sz w:val="20"/>
          <w:szCs w:val="20"/>
          <w:color w:val="auto"/>
        </w:rPr>
      </w:pPr>
    </w:p>
    <w:p>
      <w:pPr>
        <w:ind w:left="200" w:firstLine="434"/>
        <w:spacing w:after="0" w:line="261" w:lineRule="auto"/>
        <w:rPr>
          <w:sz w:val="20"/>
          <w:szCs w:val="20"/>
          <w:color w:val="auto"/>
        </w:rPr>
      </w:pPr>
      <w:r>
        <w:rPr>
          <w:rFonts w:ascii="Times New Roman" w:cs="Times New Roman" w:eastAsia="Times New Roman" w:hAnsi="Times New Roman"/>
          <w:sz w:val="18"/>
          <w:szCs w:val="18"/>
          <w:color w:val="32406B"/>
        </w:rPr>
        <w:t>In addition, under the JOBS Act, emerging growth companies can delay adopting new or revised accounting standards until such time as those standards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32406B"/>
        </w:rPr>
        <w:t>10</w:t>
      </w:r>
    </w:p>
    <w:p>
      <w:pPr>
        <w:sectPr>
          <w:pgSz w:w="11900" w:h="16838" w:orient="portrait"/>
          <w:cols w:equalWidth="0" w:num="1">
            <w:col w:w="11040"/>
          </w:cols>
          <w:pgMar w:left="320" w:top="455" w:right="5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475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34759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320" w:firstLine="434"/>
        <w:spacing w:after="0" w:line="261" w:lineRule="auto"/>
        <w:rPr>
          <w:sz w:val="20"/>
          <w:szCs w:val="20"/>
          <w:color w:val="auto"/>
        </w:rPr>
      </w:pPr>
      <w:r>
        <w:rPr>
          <w:rFonts w:ascii="Times New Roman" w:cs="Times New Roman" w:eastAsia="Times New Roman" w:hAnsi="Times New Roman"/>
          <w:sz w:val="18"/>
          <w:szCs w:val="18"/>
          <w:color w:val="32406B"/>
        </w:rPr>
        <w:t>Upon the consummation of this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 but not limited to:</w:t>
      </w:r>
    </w:p>
    <w:p>
      <w:pPr>
        <w:spacing w:after="0" w:line="85" w:lineRule="exact"/>
        <w:rPr>
          <w:sz w:val="20"/>
          <w:szCs w:val="20"/>
          <w:color w:val="auto"/>
        </w:rPr>
      </w:pPr>
    </w:p>
    <w:p>
      <w:pPr>
        <w:ind w:left="1160" w:hanging="534"/>
        <w:spacing w:after="0"/>
        <w:tabs>
          <w:tab w:leader="none" w:pos="1160" w:val="left"/>
        </w:tabs>
        <w:numPr>
          <w:ilvl w:val="0"/>
          <w:numId w:val="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rules under the Exchange Act requiring domestic filers to issue financial statements prepared under U.S. GAAP;</w:t>
      </w:r>
    </w:p>
    <w:p>
      <w:pPr>
        <w:spacing w:after="0" w:line="130" w:lineRule="exact"/>
        <w:rPr>
          <w:rFonts w:ascii="Times New Roman" w:cs="Times New Roman" w:eastAsia="Times New Roman" w:hAnsi="Times New Roman"/>
          <w:sz w:val="18"/>
          <w:szCs w:val="18"/>
          <w:color w:val="32406B"/>
        </w:rPr>
      </w:pPr>
    </w:p>
    <w:p>
      <w:pPr>
        <w:ind w:left="1160" w:hanging="534"/>
        <w:spacing w:after="0" w:line="282" w:lineRule="auto"/>
        <w:tabs>
          <w:tab w:leader="none" w:pos="1160" w:val="left"/>
        </w:tabs>
        <w:numPr>
          <w:ilvl w:val="0"/>
          <w:numId w:val="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32406B"/>
        </w:rPr>
      </w:pPr>
    </w:p>
    <w:p>
      <w:pPr>
        <w:ind w:left="1160" w:right="180" w:hanging="534"/>
        <w:spacing w:after="0" w:line="282" w:lineRule="auto"/>
        <w:tabs>
          <w:tab w:leader="none" w:pos="1160" w:val="left"/>
        </w:tabs>
        <w:numPr>
          <w:ilvl w:val="0"/>
          <w:numId w:val="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32406B"/>
        </w:rPr>
      </w:pPr>
    </w:p>
    <w:p>
      <w:pPr>
        <w:ind w:left="1160" w:right="20" w:hanging="534"/>
        <w:spacing w:after="0" w:line="282" w:lineRule="auto"/>
        <w:tabs>
          <w:tab w:leader="none" w:pos="1160" w:val="left"/>
        </w:tabs>
        <w:numPr>
          <w:ilvl w:val="0"/>
          <w:numId w:val="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162" w:lineRule="exact"/>
        <w:rPr>
          <w:sz w:val="20"/>
          <w:szCs w:val="20"/>
          <w:color w:val="auto"/>
        </w:rPr>
      </w:pPr>
    </w:p>
    <w:p>
      <w:pPr>
        <w:ind w:left="200" w:right="80" w:firstLine="434"/>
        <w:spacing w:after="0" w:line="261" w:lineRule="auto"/>
        <w:rPr>
          <w:sz w:val="20"/>
          <w:szCs w:val="20"/>
          <w:color w:val="auto"/>
        </w:rPr>
      </w:pPr>
      <w:r>
        <w:rPr>
          <w:rFonts w:ascii="Times New Roman" w:cs="Times New Roman" w:eastAsia="Times New Roman" w:hAnsi="Times New Roman"/>
          <w:sz w:val="18"/>
          <w:szCs w:val="18"/>
          <w:color w:val="32406B"/>
        </w:rPr>
        <w:t>We may take advantage of these exemptions until such time as we are no longer a foreign private issuer. We would cease to be a foreign private issuer at such time as (i) more than 50% of our outstanding voting securities are held by U.S. residents and (ii)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80" w:lineRule="exact"/>
        <w:rPr>
          <w:sz w:val="20"/>
          <w:szCs w:val="20"/>
          <w:color w:val="auto"/>
        </w:rPr>
      </w:pPr>
    </w:p>
    <w:p>
      <w:pPr>
        <w:ind w:left="200" w:right="100" w:firstLine="434"/>
        <w:spacing w:after="0" w:line="261" w:lineRule="auto"/>
        <w:rPr>
          <w:sz w:val="20"/>
          <w:szCs w:val="20"/>
          <w:color w:val="auto"/>
        </w:rPr>
      </w:pPr>
      <w:r>
        <w:rPr>
          <w:rFonts w:ascii="Times New Roman" w:cs="Times New Roman" w:eastAsia="Times New Roman" w:hAnsi="Times New Roman"/>
          <w:sz w:val="18"/>
          <w:szCs w:val="18"/>
          <w:color w:val="32406B"/>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32406B"/>
        </w:rPr>
        <w:t>11</w:t>
      </w:r>
    </w:p>
    <w:p>
      <w:pPr>
        <w:sectPr>
          <w:pgSz w:w="11900" w:h="16838" w:orient="portrait"/>
          <w:cols w:equalWidth="0" w:num="1">
            <w:col w:w="11040"/>
          </w:cols>
          <w:pgMar w:left="320" w:top="455" w:right="5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90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0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32406B"/>
              </w:rPr>
              <w:t>THE OFFERING</w:t>
            </w:r>
          </w:p>
        </w:tc>
        <w:tc>
          <w:tcPr>
            <w:tcW w:w="4500" w:type="dxa"/>
            <w:vAlign w:val="bottom"/>
          </w:tcPr>
          <w:p>
            <w:pPr>
              <w:spacing w:after="0"/>
              <w:rPr>
                <w:sz w:val="20"/>
                <w:szCs w:val="20"/>
                <w:color w:val="auto"/>
              </w:rPr>
            </w:pPr>
          </w:p>
        </w:tc>
      </w:tr>
      <w:tr>
        <w:trPr>
          <w:trHeight w:val="45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32406B"/>
              </w:rPr>
              <w:t>Ordinary shares offered by us</w:t>
            </w: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8,270,500 ordinary shares.</w:t>
            </w: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32406B"/>
              </w:rPr>
              <w:t>Option to purchase additional ordinary shares</w:t>
            </w: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We have granted the underwriters an option to purchase up to an</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w w:val="99"/>
              </w:rPr>
              <w:t>additional 1,240,575 ordinary shares from us within 30 days of the date</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of this prospectus in connection with the offering solely to cover</w:t>
            </w:r>
          </w:p>
        </w:tc>
      </w:tr>
      <w:tr>
        <w:trPr>
          <w:trHeight w:val="234"/>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overallotments.</w:t>
            </w: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32406B"/>
              </w:rPr>
              <w:t>Ordinary shares to be outstanding after this offering</w:t>
            </w: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31,839,776 ordinary shares (or 33,080,351 ordinary shares if the</w:t>
            </w:r>
          </w:p>
        </w:tc>
      </w:tr>
      <w:tr>
        <w:trPr>
          <w:trHeight w:val="234"/>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underwriters exercise in full their overallotment option).</w:t>
            </w: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32406B"/>
              </w:rPr>
              <w:t>Use of proceeds</w:t>
            </w: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w w:val="99"/>
              </w:rPr>
              <w:t>We estimate that we will receive net proceeds of approximately $151.3</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million (€129.3 million) (or approximately $174.4 million (€149.0</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million) if the underwriters exercise in full their overallotment option),</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after deducting the underwriting discounts and commissions and</w:t>
            </w:r>
          </w:p>
        </w:tc>
      </w:tr>
      <w:tr>
        <w:trPr>
          <w:trHeight w:val="234"/>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estimated offering expenses.</w:t>
            </w:r>
          </w:p>
        </w:tc>
      </w:tr>
      <w:tr>
        <w:trPr>
          <w:trHeight w:val="306"/>
        </w:trPr>
        <w:tc>
          <w:tcPr>
            <w:tcW w:w="4240" w:type="dxa"/>
            <w:vAlign w:val="bottom"/>
          </w:tcPr>
          <w:p>
            <w:pPr>
              <w:spacing w:after="0"/>
              <w:rPr>
                <w:sz w:val="24"/>
                <w:szCs w:val="24"/>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We currently expect to use the net proceeds from this offering as</w:t>
            </w:r>
          </w:p>
        </w:tc>
      </w:tr>
      <w:tr>
        <w:trPr>
          <w:trHeight w:val="234"/>
        </w:trPr>
        <w:tc>
          <w:tcPr>
            <w:tcW w:w="4240" w:type="dxa"/>
            <w:vAlign w:val="bottom"/>
          </w:tcPr>
          <w:p>
            <w:pPr>
              <w:spacing w:after="0"/>
              <w:rPr>
                <w:sz w:val="20"/>
                <w:szCs w:val="20"/>
                <w:color w:val="auto"/>
              </w:rPr>
            </w:pPr>
          </w:p>
        </w:tc>
        <w:tc>
          <w:tcPr>
            <w:tcW w:w="2060" w:type="dxa"/>
            <w:vAlign w:val="bottom"/>
          </w:tcPr>
          <w:p>
            <w:pPr>
              <w:ind w:left="1420"/>
              <w:spacing w:after="0"/>
              <w:rPr>
                <w:sz w:val="20"/>
                <w:szCs w:val="20"/>
                <w:color w:val="auto"/>
              </w:rPr>
            </w:pPr>
            <w:r>
              <w:rPr>
                <w:rFonts w:ascii="Times New Roman" w:cs="Times New Roman" w:eastAsia="Times New Roman" w:hAnsi="Times New Roman"/>
                <w:sz w:val="18"/>
                <w:szCs w:val="18"/>
                <w:color w:val="32406B"/>
              </w:rPr>
              <w:t>follows:</w:t>
            </w:r>
          </w:p>
        </w:tc>
        <w:tc>
          <w:tcPr>
            <w:tcW w:w="4500" w:type="dxa"/>
            <w:vAlign w:val="bottom"/>
          </w:tcPr>
          <w:p>
            <w:pPr>
              <w:spacing w:after="0"/>
              <w:rPr>
                <w:sz w:val="20"/>
                <w:szCs w:val="20"/>
                <w:color w:val="auto"/>
              </w:rPr>
            </w:pPr>
          </w:p>
        </w:tc>
      </w:tr>
      <w:tr>
        <w:trPr>
          <w:trHeight w:val="306"/>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Times New Roman" w:cs="Times New Roman" w:eastAsia="Times New Roman" w:hAnsi="Times New Roman"/>
                <w:sz w:val="18"/>
                <w:szCs w:val="18"/>
                <w:color w:val="32406B"/>
              </w:rPr>
              <w:t>•</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32406B"/>
              </w:rPr>
              <w:t>approximately $50 million (€43 million) to develop our</w:t>
            </w:r>
          </w:p>
        </w:tc>
      </w:tr>
      <w:tr>
        <w:trPr>
          <w:trHeight w:val="234"/>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32406B"/>
              </w:rPr>
              <w:t>product candidate PHVS416;</w:t>
            </w:r>
          </w:p>
        </w:tc>
      </w:tr>
      <w:tr>
        <w:trPr>
          <w:trHeight w:val="306"/>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Times New Roman" w:cs="Times New Roman" w:eastAsia="Times New Roman" w:hAnsi="Times New Roman"/>
                <w:sz w:val="18"/>
                <w:szCs w:val="18"/>
                <w:color w:val="32406B"/>
              </w:rPr>
              <w:t>•</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32406B"/>
              </w:rPr>
              <w:t>approximately $61 million (€52 million) to develop our</w:t>
            </w:r>
          </w:p>
        </w:tc>
      </w:tr>
      <w:tr>
        <w:trPr>
          <w:trHeight w:val="234"/>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32406B"/>
              </w:rPr>
              <w:t>product candidate PHVS719;</w:t>
            </w:r>
          </w:p>
        </w:tc>
      </w:tr>
      <w:tr>
        <w:trPr>
          <w:trHeight w:val="306"/>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Times New Roman" w:cs="Times New Roman" w:eastAsia="Times New Roman" w:hAnsi="Times New Roman"/>
                <w:sz w:val="18"/>
                <w:szCs w:val="18"/>
                <w:color w:val="32406B"/>
              </w:rPr>
              <w:t>•</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32406B"/>
              </w:rPr>
              <w:t>approximately $12 million (€10 million) for additional</w:t>
            </w:r>
          </w:p>
        </w:tc>
      </w:tr>
      <w:tr>
        <w:trPr>
          <w:trHeight w:val="234"/>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32406B"/>
              </w:rPr>
              <w:t>clinical development and product discovery; and</w:t>
            </w:r>
          </w:p>
        </w:tc>
      </w:tr>
      <w:tr>
        <w:trPr>
          <w:trHeight w:val="324"/>
        </w:trPr>
        <w:tc>
          <w:tcPr>
            <w:tcW w:w="4240" w:type="dxa"/>
            <w:vAlign w:val="bottom"/>
          </w:tcPr>
          <w:p>
            <w:pPr>
              <w:spacing w:after="0"/>
              <w:rPr>
                <w:sz w:val="24"/>
                <w:szCs w:val="24"/>
                <w:color w:val="auto"/>
              </w:rPr>
            </w:pPr>
          </w:p>
        </w:tc>
        <w:tc>
          <w:tcPr>
            <w:tcW w:w="2060" w:type="dxa"/>
            <w:vAlign w:val="bottom"/>
          </w:tcPr>
          <w:p>
            <w:pPr>
              <w:ind w:left="1780"/>
              <w:spacing w:after="0"/>
              <w:rPr>
                <w:sz w:val="20"/>
                <w:szCs w:val="20"/>
                <w:color w:val="auto"/>
              </w:rPr>
            </w:pPr>
            <w:r>
              <w:rPr>
                <w:rFonts w:ascii="Times New Roman" w:cs="Times New Roman" w:eastAsia="Times New Roman" w:hAnsi="Times New Roman"/>
                <w:sz w:val="18"/>
                <w:szCs w:val="18"/>
                <w:color w:val="32406B"/>
              </w:rPr>
              <w:t>•</w:t>
            </w:r>
          </w:p>
        </w:tc>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32406B"/>
              </w:rPr>
              <w:t>the remainder for general corporate purposes.</w:t>
            </w:r>
          </w:p>
        </w:tc>
      </w:tr>
      <w:tr>
        <w:trPr>
          <w:trHeight w:val="324"/>
        </w:trPr>
        <w:tc>
          <w:tcPr>
            <w:tcW w:w="4240" w:type="dxa"/>
            <w:vAlign w:val="bottom"/>
          </w:tcPr>
          <w:p>
            <w:pPr>
              <w:spacing w:after="0"/>
              <w:rPr>
                <w:sz w:val="24"/>
                <w:szCs w:val="24"/>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See “Use of Proceeds.”</w:t>
            </w:r>
          </w:p>
        </w:tc>
      </w:tr>
      <w:tr>
        <w:trPr>
          <w:trHeight w:val="30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32406B"/>
              </w:rPr>
              <w:t>Directed share program</w:t>
            </w: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w w:val="99"/>
              </w:rPr>
              <w:t>At our request, the underwriters have reserved up to 5% of the ordinary</w:t>
            </w:r>
          </w:p>
        </w:tc>
      </w:tr>
      <w:tr>
        <w:trPr>
          <w:trHeight w:val="216"/>
        </w:trPr>
        <w:tc>
          <w:tcPr>
            <w:tcW w:w="4240" w:type="dxa"/>
            <w:vAlign w:val="bottom"/>
          </w:tcPr>
          <w:p>
            <w:pPr>
              <w:spacing w:after="0"/>
              <w:rPr>
                <w:sz w:val="18"/>
                <w:szCs w:val="18"/>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rPr>
              <w:t>shares offered by this prospectus, for sale at the initial public offering</w:t>
            </w:r>
          </w:p>
        </w:tc>
      </w:tr>
      <w:tr>
        <w:trPr>
          <w:trHeight w:val="234"/>
        </w:trPr>
        <w:tc>
          <w:tcPr>
            <w:tcW w:w="4240" w:type="dxa"/>
            <w:vAlign w:val="bottom"/>
          </w:tcPr>
          <w:p>
            <w:pPr>
              <w:spacing w:after="0"/>
              <w:rPr>
                <w:sz w:val="20"/>
                <w:szCs w:val="20"/>
                <w:color w:val="auto"/>
              </w:rPr>
            </w:pPr>
          </w:p>
        </w:tc>
        <w:tc>
          <w:tcPr>
            <w:tcW w:w="65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32406B"/>
                <w:w w:val="99"/>
              </w:rPr>
              <w:t>price through a directed share program to certain individuals, including</w:t>
            </w:r>
          </w:p>
        </w:tc>
      </w:tr>
    </w:tbl>
    <w:p>
      <w:pPr>
        <w:ind w:left="5860"/>
        <w:spacing w:after="0"/>
        <w:rPr>
          <w:sz w:val="20"/>
          <w:szCs w:val="20"/>
          <w:color w:val="auto"/>
        </w:rPr>
      </w:pPr>
      <w:r>
        <w:rPr>
          <w:rFonts w:ascii="Times New Roman" w:cs="Times New Roman" w:eastAsia="Times New Roman" w:hAnsi="Times New Roman"/>
          <w:sz w:val="18"/>
          <w:szCs w:val="18"/>
          <w:color w:val="32406B"/>
        </w:rPr>
        <w:t>our directors, officers, employees, and certain friends and family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members of these persons. The sales will be made at our direction by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Morgan Stanley &amp; Co. LLC and its affiliates through a directed share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program. The number of ordinary shares available for sale to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general public in this offering will be reduced to the extent that these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individuals purchase such reserved shares. Any reserved shares that are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not so purchased will be offered by the underwriters to the general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public on the same terms as the other ordinary shares offered by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32406B"/>
        </w:rPr>
        <w:t>12</w:t>
      </w:r>
    </w:p>
    <w:p>
      <w:pPr>
        <w:sectPr>
          <w:pgSz w:w="11900" w:h="16838" w:orient="portrait"/>
          <w:cols w:equalWidth="0" w:num="1">
            <w:col w:w="11000"/>
          </w:cols>
          <w:pgMar w:left="320" w:top="455" w:right="5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45300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4530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this prospectus. Shares purchased through the directed share program</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32406B"/>
        </w:rPr>
        <w:t>will not be subject to lockup restrictions with the underwriters, except</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in the case of shares purchased by any of our directors, officers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employees.</w:t>
      </w:r>
    </w:p>
    <w:p>
      <w:pPr>
        <w:spacing w:after="0" w:line="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For additional information, see the section titled “Underwriting—</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32406B"/>
        </w:rPr>
        <w:t>Directed Share Program.”</w:t>
      </w:r>
    </w:p>
    <w:p>
      <w:pPr>
        <w:sectPr>
          <w:pgSz w:w="11900" w:h="16838" w:orient="portrait"/>
          <w:cols w:equalWidth="0" w:num="1">
            <w:col w:w="11020"/>
          </w:cols>
          <w:pgMar w:left="320" w:top="455" w:right="559" w:bottom="1440" w:gutter="0" w:footer="0" w:header="0"/>
        </w:sectPr>
      </w:pPr>
    </w:p>
    <w:p>
      <w:pPr>
        <w:spacing w:after="0" w:line="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32406B"/>
        </w:rPr>
        <w:t>Nasdaq Stock Exchange Listing</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32406B"/>
        </w:rPr>
        <w:t>Our ordinary shares have been approved for listing on the Nasdaq Global Select Market under the symbol “PHVS.”</w:t>
      </w:r>
    </w:p>
    <w:p>
      <w:pPr>
        <w:spacing w:after="0" w:line="67" w:lineRule="exact"/>
        <w:rPr>
          <w:sz w:val="20"/>
          <w:szCs w:val="20"/>
          <w:color w:val="auto"/>
        </w:rPr>
      </w:pPr>
    </w:p>
    <w:p>
      <w:pPr>
        <w:sectPr>
          <w:pgSz w:w="11900" w:h="16838" w:orient="portrait"/>
          <w:cols w:equalWidth="0" w:num="2">
            <w:col w:w="5140" w:space="720"/>
            <w:col w:w="5160"/>
          </w:cols>
          <w:pgMar w:left="320" w:top="455" w:right="55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32406B"/>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32406B"/>
        </w:rPr>
        <w:t>See “Risk Factors” and the other information included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prospectus for a discussion of factors you should consider before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deciding to invest in our ordinary shares.</w:t>
      </w:r>
    </w:p>
    <w:p>
      <w:pPr>
        <w:spacing w:after="0" w:line="200" w:lineRule="exact"/>
        <w:rPr>
          <w:sz w:val="20"/>
          <w:szCs w:val="20"/>
          <w:color w:val="auto"/>
        </w:rPr>
      </w:pPr>
    </w:p>
    <w:p>
      <w:pPr>
        <w:sectPr>
          <w:pgSz w:w="11900" w:h="16838" w:orient="portrait"/>
          <w:cols w:equalWidth="0" w:num="2">
            <w:col w:w="5140" w:space="720"/>
            <w:col w:w="5160"/>
          </w:cols>
          <w:pgMar w:left="320" w:top="455" w:right="559" w:bottom="1440" w:gutter="0" w:footer="0" w:header="0"/>
          <w:type w:val="continuous"/>
        </w:sectPr>
      </w:pPr>
    </w:p>
    <w:p>
      <w:pPr>
        <w:spacing w:after="0" w:line="7" w:lineRule="exact"/>
        <w:rPr>
          <w:sz w:val="20"/>
          <w:szCs w:val="20"/>
          <w:color w:val="auto"/>
        </w:rPr>
      </w:pPr>
    </w:p>
    <w:p>
      <w:pPr>
        <w:jc w:val="both"/>
        <w:ind w:left="200" w:firstLine="434"/>
        <w:spacing w:after="0" w:line="266" w:lineRule="auto"/>
        <w:rPr>
          <w:sz w:val="20"/>
          <w:szCs w:val="20"/>
          <w:color w:val="auto"/>
        </w:rPr>
      </w:pPr>
      <w:r>
        <w:rPr>
          <w:rFonts w:ascii="Times New Roman" w:cs="Times New Roman" w:eastAsia="Times New Roman" w:hAnsi="Times New Roman"/>
          <w:sz w:val="18"/>
          <w:szCs w:val="18"/>
          <w:color w:val="32406B"/>
        </w:rPr>
        <w:t>The number of our outstanding ordinary shares after this offering is based on 23,569,276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excludes:</w:t>
      </w:r>
    </w:p>
    <w:p>
      <w:pPr>
        <w:spacing w:after="0" w:line="81" w:lineRule="exact"/>
        <w:rPr>
          <w:sz w:val="20"/>
          <w:szCs w:val="20"/>
          <w:color w:val="auto"/>
        </w:rPr>
      </w:pPr>
    </w:p>
    <w:p>
      <w:pPr>
        <w:ind w:left="1160" w:right="100" w:hanging="534"/>
        <w:spacing w:after="0" w:line="282" w:lineRule="auto"/>
        <w:tabs>
          <w:tab w:leader="none" w:pos="1160" w:val="left"/>
        </w:tabs>
        <w:numPr>
          <w:ilvl w:val="0"/>
          <w:numId w:val="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1,572,295 of our ordinary shares issuable upon the exercise of options outstanding as of January 1, 2021 at a weighted average exercise price of €2.22 per ordinary share;</w:t>
      </w:r>
    </w:p>
    <w:p>
      <w:pPr>
        <w:spacing w:after="0" w:line="67" w:lineRule="exact"/>
        <w:rPr>
          <w:rFonts w:ascii="Times New Roman" w:cs="Times New Roman" w:eastAsia="Times New Roman" w:hAnsi="Times New Roman"/>
          <w:sz w:val="18"/>
          <w:szCs w:val="18"/>
          <w:color w:val="32406B"/>
        </w:rPr>
      </w:pPr>
    </w:p>
    <w:p>
      <w:pPr>
        <w:ind w:left="1160" w:right="80" w:hanging="534"/>
        <w:spacing w:after="0" w:line="282" w:lineRule="auto"/>
        <w:tabs>
          <w:tab w:leader="none" w:pos="1160" w:val="left"/>
        </w:tabs>
        <w:numPr>
          <w:ilvl w:val="0"/>
          <w:numId w:val="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1,193,474 of our ordinary shares covered by additional option awards available for future issuance under our equity incentive plan as of January 1, 2021;</w:t>
      </w:r>
    </w:p>
    <w:p>
      <w:pPr>
        <w:spacing w:after="0" w:line="67"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154,945 restricted stock units, or RSUs, held by Senior Management and other employees as of February 1, 2021; and</w:t>
      </w:r>
    </w:p>
    <w:p>
      <w:pPr>
        <w:spacing w:after="0" w:line="130" w:lineRule="exact"/>
        <w:rPr>
          <w:rFonts w:ascii="Times New Roman" w:cs="Times New Roman" w:eastAsia="Times New Roman" w:hAnsi="Times New Roman"/>
          <w:sz w:val="18"/>
          <w:szCs w:val="18"/>
          <w:color w:val="32406B"/>
        </w:rPr>
      </w:pPr>
    </w:p>
    <w:p>
      <w:pPr>
        <w:ind w:left="1160" w:right="80" w:hanging="534"/>
        <w:spacing w:after="0" w:line="282" w:lineRule="auto"/>
        <w:tabs>
          <w:tab w:leader="none" w:pos="1160" w:val="left"/>
        </w:tabs>
        <w:numPr>
          <w:ilvl w:val="0"/>
          <w:numId w:val="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options to purchase an aggregate of 873,000 ordinary shares pursuant to grants contemplated in connection with this offering, as further described below, or the IPO Grants.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32406B"/>
        </w:rPr>
        <w:t>Unless otherwise indicated, all information contained in this prospectus also reflects and assumes:</w:t>
      </w:r>
    </w:p>
    <w:p>
      <w:pPr>
        <w:spacing w:after="0" w:line="131" w:lineRule="exact"/>
        <w:rPr>
          <w:sz w:val="20"/>
          <w:szCs w:val="20"/>
          <w:color w:val="auto"/>
        </w:rPr>
      </w:pPr>
    </w:p>
    <w:p>
      <w:pPr>
        <w:ind w:left="1160" w:hanging="534"/>
        <w:spacing w:after="0"/>
        <w:tabs>
          <w:tab w:leader="none" w:pos="1160" w:val="left"/>
        </w:tabs>
        <w:numPr>
          <w:ilvl w:val="0"/>
          <w:numId w:val="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 exercise by the underwriters of their overallotment option; and</w:t>
      </w:r>
    </w:p>
    <w:p>
      <w:pPr>
        <w:spacing w:after="0" w:line="130"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0"/>
          <w:numId w:val="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 exercise of the options described above.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32406B"/>
        </w:rPr>
        <w:t>13</w:t>
      </w:r>
    </w:p>
    <w:p>
      <w:pPr>
        <w:sectPr>
          <w:pgSz w:w="11900" w:h="16838" w:orient="portrait"/>
          <w:cols w:equalWidth="0" w:num="1">
            <w:col w:w="11020"/>
          </w:cols>
          <w:pgMar w:left="320" w:top="455" w:right="55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424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32406B"/>
        </w:rPr>
        <w:t>SUMMARY CONSOLIDATED FINANCIAL DATA</w:t>
      </w:r>
    </w:p>
    <w:p>
      <w:pPr>
        <w:spacing w:after="0" w:line="229" w:lineRule="exact"/>
        <w:rPr>
          <w:sz w:val="20"/>
          <w:szCs w:val="20"/>
          <w:color w:val="auto"/>
        </w:rPr>
      </w:pPr>
    </w:p>
    <w:p>
      <w:pPr>
        <w:ind w:left="200" w:right="220" w:firstLine="434"/>
        <w:spacing w:after="0" w:line="266" w:lineRule="auto"/>
        <w:rPr>
          <w:sz w:val="20"/>
          <w:szCs w:val="20"/>
          <w:color w:val="auto"/>
        </w:rPr>
      </w:pPr>
      <w:r>
        <w:rPr>
          <w:rFonts w:ascii="Times New Roman" w:cs="Times New Roman" w:eastAsia="Times New Roman" w:hAnsi="Times New Roman"/>
          <w:sz w:val="18"/>
          <w:szCs w:val="18"/>
          <w:color w:val="32406B"/>
        </w:rPr>
        <w:t>The following summary consolidated financial data of the Company should be read in conjunction with the sections entitled “Selected Consolidated Financial Data” and “Management’s Discussion and Analysis of Financial Condition and Results of Operations” and our consolidated financial statements, including the notes thereto, included elsewhere in this prospectus.</w:t>
      </w:r>
    </w:p>
    <w:p>
      <w:pPr>
        <w:spacing w:after="0" w:line="176" w:lineRule="exact"/>
        <w:rPr>
          <w:sz w:val="20"/>
          <w:szCs w:val="20"/>
          <w:color w:val="auto"/>
        </w:rPr>
      </w:pPr>
    </w:p>
    <w:p>
      <w:pPr>
        <w:ind w:left="200" w:firstLine="434"/>
        <w:spacing w:after="0" w:line="253" w:lineRule="auto"/>
        <w:rPr>
          <w:sz w:val="20"/>
          <w:szCs w:val="20"/>
          <w:color w:val="auto"/>
        </w:rPr>
      </w:pPr>
      <w:r>
        <w:rPr>
          <w:rFonts w:ascii="Times New Roman" w:cs="Times New Roman" w:eastAsia="Times New Roman" w:hAnsi="Times New Roman"/>
          <w:sz w:val="18"/>
          <w:szCs w:val="18"/>
          <w:color w:val="32406B"/>
        </w:rPr>
        <w:t>The consolidated statement of profit or loss and other comprehensive income (loss) for the years ended December 31, 2019 and 2018 are derived from our audited consolidated financial statements and the related notes thereto included elsewhere in this prospectus. The consolidated statement of profit or loss and other comprehensive income (loss) for the nine months ended September 30, 2020 and 2019 and the statement of financial position data as of September 30, 2020 are derived from our unaudited condensed consolidated financial statements and the related notes thereto included elsewhere in this prospectus. We have prepared the unaudited condensed consolidated financial statements on the same basis as the audited consolidated financial statements, and the unaudited financial data include, in our opinion, all adjustments, consisting only of normal recurring adjustments that we consider necessary for a fair statement of our consolidated financial position and results of operations for these periods. Our historical results are not necessarily indicative of results expected for future periods and our operating results for the nine months ended September 30, 2020 are not necessarily indicative of the results that may be expected for the entire year ending December 31, 2020. You should read this section together with our consolidated financial statements and the related notes and “Management’s Discussion and Analysis of Financial Condition and Results of Operations” included elsewhere in this prospectus.</w:t>
      </w:r>
    </w:p>
    <w:p>
      <w:pPr>
        <w:spacing w:after="0" w:line="192" w:lineRule="exact"/>
        <w:rPr>
          <w:sz w:val="20"/>
          <w:szCs w:val="20"/>
          <w:color w:val="auto"/>
        </w:rPr>
      </w:pPr>
    </w:p>
    <w:p>
      <w:pPr>
        <w:ind w:left="200" w:right="300" w:firstLine="434"/>
        <w:spacing w:after="0" w:line="282" w:lineRule="auto"/>
        <w:rPr>
          <w:sz w:val="20"/>
          <w:szCs w:val="20"/>
          <w:color w:val="auto"/>
        </w:rPr>
      </w:pPr>
      <w:r>
        <w:rPr>
          <w:rFonts w:ascii="Times New Roman" w:cs="Times New Roman" w:eastAsia="Times New Roman" w:hAnsi="Times New Roman"/>
          <w:sz w:val="18"/>
          <w:szCs w:val="18"/>
          <w:color w:val="32406B"/>
        </w:rPr>
        <w:t>We maintain our books and records in euros, and we prepare our consolidated financial statements in accordance with IFRS, as issued by the IASB.</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Consolidated Statements of Profit or Loss and Other Comprehensive Income (Loss)</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23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60" w:type="dxa"/>
            <w:vAlign w:val="bottom"/>
            <w:gridSpan w:val="4"/>
          </w:tcPr>
          <w:p>
            <w:pPr>
              <w:jc w:val="right"/>
              <w:ind w:right="90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232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(11,797,986)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(3,154,877)</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(5,684,562)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(3,645,413)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(3,447,208)</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(1,409,972)</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(2,325,719)</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(668,121)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(15,245,194)</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(4,564,849)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(8,010,281)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(4,313,534)</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(176,602)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(3,927)</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(16,881)</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(15,421,796)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(8,027,162)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Income tax expense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for the year, net of tax</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(15,421,796)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(8,027,162)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Loss attributable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(15,421,796)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(8,027,162)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attributable to:</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(15,421,796)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(8,027,162)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Loss per share attributable to equity holders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Basic and diluted loss per share</w:t>
            </w:r>
            <w:r>
              <w:rPr>
                <w:rFonts w:ascii="Times New Roman" w:cs="Times New Roman" w:eastAsia="Times New Roman" w:hAnsi="Times New Roman"/>
                <w:sz w:val="15"/>
                <w:szCs w:val="15"/>
                <w:color w:val="32406B"/>
              </w:rPr>
              <w:t>(1)(2)</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(3.18)</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(0.94)</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(1.66)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(0.89)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32406B"/>
              </w:rPr>
              <w:t>As adjusted basic and diluted loss per share</w:t>
            </w:r>
            <w:r>
              <w:rPr>
                <w:rFonts w:ascii="Times New Roman" w:cs="Times New Roman" w:eastAsia="Times New Roman" w:hAnsi="Times New Roman"/>
                <w:sz w:val="15"/>
                <w:szCs w:val="15"/>
                <w:color w:val="32406B"/>
              </w:rPr>
              <w:t>(3)</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(0.65)</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(0.19)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(0.34)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(0.18)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20" w:right="200" w:hanging="426"/>
        <w:spacing w:after="0" w:line="282" w:lineRule="auto"/>
        <w:tabs>
          <w:tab w:leader="none" w:pos="620" w:val="left"/>
        </w:tabs>
        <w:numPr>
          <w:ilvl w:val="0"/>
          <w:numId w:val="1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Basic loss per share is calculated by dividing the loss attributable to equity holders of the Company by the weighted average number of issued and outstanding ordinary shares during the year.</w:t>
      </w:r>
    </w:p>
    <w:p>
      <w:pPr>
        <w:spacing w:after="0" w:line="200" w:lineRule="exact"/>
        <w:rPr>
          <w:sz w:val="20"/>
          <w:szCs w:val="20"/>
          <w:color w:val="auto"/>
        </w:rPr>
      </w:pP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32406B"/>
        </w:rPr>
        <w:t>14</w:t>
      </w:r>
    </w:p>
    <w:p>
      <w:pPr>
        <w:sectPr>
          <w:pgSz w:w="11900" w:h="16838" w:orient="portrait"/>
          <w:cols w:equalWidth="0" w:num="1">
            <w:col w:w="11060"/>
          </w:cols>
          <w:pgMar w:left="320" w:top="455"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467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3467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right="480" w:hanging="426"/>
        <w:spacing w:after="0" w:line="257" w:lineRule="auto"/>
        <w:tabs>
          <w:tab w:leader="none" w:pos="620" w:val="left"/>
        </w:tabs>
        <w:numPr>
          <w:ilvl w:val="0"/>
          <w:numId w:val="1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Diluted loss per share is calculated by adjusting the weighted average number of ordinary shares outstanding to assume conversion of all dilutive potential ordinary shares. Because the Company is loss making, all of its potential ordinary shares had an antidilutive effect and thus have been excluded from the computation of diluted loss per share.</w:t>
      </w:r>
    </w:p>
    <w:p>
      <w:pPr>
        <w:spacing w:after="0" w:line="1" w:lineRule="exact"/>
        <w:rPr>
          <w:rFonts w:ascii="Times New Roman" w:cs="Times New Roman" w:eastAsia="Times New Roman" w:hAnsi="Times New Roman"/>
          <w:sz w:val="18"/>
          <w:szCs w:val="18"/>
          <w:color w:val="32406B"/>
        </w:rPr>
      </w:pPr>
    </w:p>
    <w:p>
      <w:pPr>
        <w:ind w:left="620" w:right="480" w:hanging="426"/>
        <w:spacing w:after="0" w:line="290" w:lineRule="auto"/>
        <w:tabs>
          <w:tab w:leader="none" w:pos="620" w:val="left"/>
        </w:tabs>
        <w:numPr>
          <w:ilvl w:val="0"/>
          <w:numId w:val="16"/>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The unaudited as adjusted net loss per share data gives effect to the closing of our Series C financing and the conversion of all of our outstanding preferred shares and is based on 23,569,276 ordinary shares outstanding immediately prior to the consummation of this offering.</w:t>
      </w:r>
    </w:p>
    <w:p>
      <w:pPr>
        <w:spacing w:after="0" w:line="157" w:lineRule="exact"/>
        <w:rPr>
          <w:rFonts w:ascii="Times New Roman" w:cs="Times New Roman" w:eastAsia="Times New Roman" w:hAnsi="Times New Roman"/>
          <w:sz w:val="17"/>
          <w:szCs w:val="17"/>
          <w:color w:val="32406B"/>
        </w:rPr>
      </w:pPr>
    </w:p>
    <w:p>
      <w:pPr>
        <w:ind w:left="620"/>
        <w:spacing w:after="0"/>
        <w:rPr>
          <w:rFonts w:ascii="Times New Roman" w:cs="Times New Roman" w:eastAsia="Times New Roman" w:hAnsi="Times New Roman"/>
          <w:sz w:val="17"/>
          <w:szCs w:val="17"/>
          <w:color w:val="32406B"/>
        </w:rPr>
      </w:pPr>
      <w:r>
        <w:rPr>
          <w:rFonts w:ascii="Times New Roman" w:cs="Times New Roman" w:eastAsia="Times New Roman" w:hAnsi="Times New Roman"/>
          <w:sz w:val="18"/>
          <w:szCs w:val="18"/>
          <w:color w:val="32406B"/>
        </w:rPr>
        <w:t>The following table presents our summary statement of financial position as of September 30, 2020:</w:t>
      </w:r>
    </w:p>
    <w:p>
      <w:pPr>
        <w:spacing w:after="0" w:line="130" w:lineRule="exact"/>
        <w:rPr>
          <w:rFonts w:ascii="Times New Roman" w:cs="Times New Roman" w:eastAsia="Times New Roman" w:hAnsi="Times New Roman"/>
          <w:sz w:val="17"/>
          <w:szCs w:val="17"/>
          <w:color w:val="32406B"/>
        </w:rPr>
      </w:pPr>
    </w:p>
    <w:p>
      <w:pPr>
        <w:ind w:left="1160" w:hanging="534"/>
        <w:spacing w:after="0"/>
        <w:tabs>
          <w:tab w:leader="none" w:pos="1160" w:val="left"/>
        </w:tabs>
        <w:numPr>
          <w:ilvl w:val="1"/>
          <w:numId w:val="1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actual basis;</w:t>
      </w:r>
    </w:p>
    <w:p>
      <w:pPr>
        <w:spacing w:after="0" w:line="130" w:lineRule="exact"/>
        <w:rPr>
          <w:rFonts w:ascii="Times New Roman" w:cs="Times New Roman" w:eastAsia="Times New Roman" w:hAnsi="Times New Roman"/>
          <w:sz w:val="18"/>
          <w:szCs w:val="18"/>
          <w:color w:val="32406B"/>
        </w:rPr>
      </w:pPr>
    </w:p>
    <w:p>
      <w:pPr>
        <w:ind w:left="1160" w:hanging="534"/>
        <w:spacing w:after="0"/>
        <w:tabs>
          <w:tab w:leader="none" w:pos="1160" w:val="left"/>
        </w:tabs>
        <w:numPr>
          <w:ilvl w:val="1"/>
          <w:numId w:val="1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as adjusted basis to give effect to the closing of our Series C financing;</w:t>
      </w:r>
    </w:p>
    <w:p>
      <w:pPr>
        <w:spacing w:after="0" w:line="130" w:lineRule="exact"/>
        <w:rPr>
          <w:rFonts w:ascii="Times New Roman" w:cs="Times New Roman" w:eastAsia="Times New Roman" w:hAnsi="Times New Roman"/>
          <w:sz w:val="18"/>
          <w:szCs w:val="18"/>
          <w:color w:val="32406B"/>
        </w:rPr>
      </w:pPr>
    </w:p>
    <w:p>
      <w:pPr>
        <w:jc w:val="both"/>
        <w:ind w:left="1160" w:right="620" w:hanging="534"/>
        <w:spacing w:after="0" w:line="282" w:lineRule="auto"/>
        <w:tabs>
          <w:tab w:leader="none" w:pos="1160" w:val="left"/>
        </w:tabs>
        <w:numPr>
          <w:ilvl w:val="1"/>
          <w:numId w:val="1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as further adjusted basis to also give effect to the conversion of all of our preferred shares into ordinary shares and the sale of ordinary shares by us in the offering, after deducting the underwriting discounts and commissions and estimated offering expenses.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32406B"/>
        </w:rPr>
        <w:t>Consolidated Statements of Financial Position Data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32406B"/>
              </w:rPr>
              <w:t>As of September 30, 2020</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32406B"/>
              </w:rPr>
              <w:t>Actual</w:t>
            </w:r>
          </w:p>
        </w:tc>
        <w:tc>
          <w:tcPr>
            <w:tcW w:w="160" w:type="dxa"/>
            <w:vAlign w:val="bottom"/>
          </w:tcPr>
          <w:p>
            <w:pPr>
              <w:spacing w:after="0"/>
              <w:rPr>
                <w:sz w:val="10"/>
                <w:szCs w:val="10"/>
                <w:color w:val="auto"/>
              </w:rPr>
            </w:pPr>
          </w:p>
        </w:tc>
        <w:tc>
          <w:tcPr>
            <w:tcW w:w="148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32406B"/>
              </w:rPr>
              <w:t>As Adjusted</w:t>
            </w:r>
          </w:p>
        </w:tc>
        <w:tc>
          <w:tcPr>
            <w:tcW w:w="98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32406B"/>
              </w:rPr>
              <w:t>As Further</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32406B"/>
              </w:rPr>
              <w:t>Adjusted</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98"/>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Cash and cash equivalents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41,948,476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109,131,809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238,419,550</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32406B"/>
              </w:rPr>
              <w:t>Total assets</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43,054,251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110,237,584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239,525,325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Total liabilities</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4,364,129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4,364,129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4,364,129</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32406B"/>
              </w:rPr>
              <w:t>Total equity</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38,690,122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105,873,455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235,161,195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0" w:type="dxa"/>
            <w:vAlign w:val="bottom"/>
            <w:tcBorders>
              <w:bottom w:val="single" w:sz="8" w:color="32406B"/>
            </w:tcBorders>
          </w:tcPr>
          <w:p>
            <w:pPr>
              <w:spacing w:after="0"/>
              <w:rPr>
                <w:sz w:val="19"/>
                <w:szCs w:val="19"/>
                <w:color w:val="auto"/>
              </w:rPr>
            </w:pPr>
          </w:p>
        </w:tc>
        <w:tc>
          <w:tcPr>
            <w:tcW w:w="3620" w:type="dxa"/>
            <w:vAlign w:val="bottom"/>
            <w:tcBorders>
              <w:bottom w:val="single" w:sz="8" w:color="32406B"/>
            </w:tcBorders>
          </w:tcPr>
          <w:p>
            <w:pPr>
              <w:spacing w:after="0"/>
              <w:rPr>
                <w:sz w:val="19"/>
                <w:szCs w:val="19"/>
                <w:color w:val="auto"/>
              </w:rPr>
            </w:pPr>
          </w:p>
        </w:tc>
        <w:tc>
          <w:tcPr>
            <w:tcW w:w="3540" w:type="dxa"/>
            <w:vAlign w:val="bottom"/>
            <w:tcBorders>
              <w:bottom w:val="single" w:sz="8" w:color="32406B"/>
            </w:tcBorders>
          </w:tcPr>
          <w:p>
            <w:pPr>
              <w:spacing w:after="0"/>
              <w:rPr>
                <w:sz w:val="19"/>
                <w:szCs w:val="19"/>
                <w:color w:val="auto"/>
              </w:rPr>
            </w:pPr>
          </w:p>
        </w:tc>
        <w:tc>
          <w:tcPr>
            <w:tcW w:w="1000" w:type="dxa"/>
            <w:vAlign w:val="bottom"/>
            <w:tcBorders>
              <w:bottom w:val="single" w:sz="8" w:color="32406B"/>
            </w:tcBorders>
          </w:tcPr>
          <w:p>
            <w:pPr>
              <w:spacing w:after="0"/>
              <w:rPr>
                <w:sz w:val="19"/>
                <w:szCs w:val="19"/>
                <w:color w:val="auto"/>
              </w:rPr>
            </w:pPr>
          </w:p>
        </w:tc>
        <w:tc>
          <w:tcPr>
            <w:tcW w:w="160" w:type="dxa"/>
            <w:vAlign w:val="bottom"/>
            <w:tcBorders>
              <w:bottom w:val="single" w:sz="8" w:color="32406B"/>
            </w:tcBorders>
          </w:tcPr>
          <w:p>
            <w:pPr>
              <w:spacing w:after="0"/>
              <w:rPr>
                <w:sz w:val="19"/>
                <w:szCs w:val="19"/>
                <w:color w:val="auto"/>
              </w:rPr>
            </w:pPr>
          </w:p>
        </w:tc>
        <w:tc>
          <w:tcPr>
            <w:tcW w:w="1140" w:type="dxa"/>
            <w:vAlign w:val="bottom"/>
            <w:tcBorders>
              <w:bottom w:val="single" w:sz="8" w:color="32406B"/>
            </w:tcBorders>
          </w:tcPr>
          <w:p>
            <w:pPr>
              <w:spacing w:after="0"/>
              <w:rPr>
                <w:sz w:val="19"/>
                <w:szCs w:val="19"/>
                <w:color w:val="auto"/>
              </w:rPr>
            </w:pPr>
          </w:p>
        </w:tc>
        <w:tc>
          <w:tcPr>
            <w:tcW w:w="160" w:type="dxa"/>
            <w:vAlign w:val="bottom"/>
            <w:tcBorders>
              <w:bottom w:val="single" w:sz="8" w:color="32406B"/>
            </w:tcBorders>
          </w:tcPr>
          <w:p>
            <w:pPr>
              <w:spacing w:after="0"/>
              <w:rPr>
                <w:sz w:val="19"/>
                <w:szCs w:val="19"/>
                <w:color w:val="auto"/>
              </w:rPr>
            </w:pPr>
          </w:p>
        </w:tc>
        <w:tc>
          <w:tcPr>
            <w:tcW w:w="180" w:type="dxa"/>
            <w:vAlign w:val="bottom"/>
            <w:tcBorders>
              <w:bottom w:val="single" w:sz="8" w:color="32406B"/>
            </w:tcBorders>
          </w:tcPr>
          <w:p>
            <w:pPr>
              <w:spacing w:after="0"/>
              <w:rPr>
                <w:sz w:val="19"/>
                <w:szCs w:val="19"/>
                <w:color w:val="auto"/>
              </w:rPr>
            </w:pPr>
          </w:p>
        </w:tc>
        <w:tc>
          <w:tcPr>
            <w:tcW w:w="980" w:type="dxa"/>
            <w:vAlign w:val="bottom"/>
            <w:tcBorders>
              <w:bottom w:val="single" w:sz="8" w:color="32406B"/>
            </w:tcBorders>
          </w:tcPr>
          <w:p>
            <w:pPr>
              <w:spacing w:after="0"/>
              <w:rPr>
                <w:sz w:val="19"/>
                <w:szCs w:val="19"/>
                <w:color w:val="auto"/>
              </w:rPr>
            </w:pPr>
          </w:p>
        </w:tc>
        <w:tc>
          <w:tcPr>
            <w:tcW w:w="80" w:type="dxa"/>
            <w:vAlign w:val="bottom"/>
            <w:tcBorders>
              <w:bottom w:val="single" w:sz="8" w:color="32406B"/>
            </w:tcBorders>
          </w:tcPr>
          <w:p>
            <w:pPr>
              <w:spacing w:after="0"/>
              <w:rPr>
                <w:sz w:val="19"/>
                <w:szCs w:val="19"/>
                <w:color w:val="auto"/>
              </w:rPr>
            </w:pPr>
          </w:p>
        </w:tc>
        <w:tc>
          <w:tcPr>
            <w:tcW w:w="180" w:type="dxa"/>
            <w:vAlign w:val="bottom"/>
            <w:tcBorders>
              <w:bottom w:val="single" w:sz="8" w:color="32406B"/>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54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32406B"/>
              </w:rPr>
              <w:t>15</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2406B"/>
        </w:rPr>
        <w:t>RISK FACTORS</w:t>
      </w:r>
    </w:p>
    <w:p>
      <w:pPr>
        <w:spacing w:after="0" w:line="227"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You should carefully consider the risks and uncertainties described below and the other information in this prospectus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Financial Position</w:t>
      </w:r>
    </w:p>
    <w:p>
      <w:pPr>
        <w:spacing w:after="0" w:line="117" w:lineRule="exact"/>
        <w:rPr>
          <w:sz w:val="20"/>
          <w:szCs w:val="20"/>
          <w:color w:val="auto"/>
        </w:rPr>
      </w:pPr>
    </w:p>
    <w:p>
      <w:pPr>
        <w:ind w:left="4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and associated private placements. We expect to continue to incur significant expenses and increasing operating losses for the foreseeable future.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continue clinical development of our current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seek to identify additional product candidates and initiate clinical trials for such additional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acquire or in-license other products and technologies or enter into collaboration arrangements with regards to product discovery;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seek marketing approvals for our product candidates that successfully complete clinical trials;</w:t>
      </w:r>
    </w:p>
    <w:p>
      <w:pPr>
        <w:spacing w:after="0" w:line="130" w:lineRule="exact"/>
        <w:rPr>
          <w:rFonts w:ascii="Times New Roman" w:cs="Times New Roman" w:eastAsia="Times New Roman" w:hAnsi="Times New Roman"/>
          <w:sz w:val="18"/>
          <w:szCs w:val="18"/>
          <w:color w:val="32406B"/>
        </w:rPr>
      </w:pPr>
    </w:p>
    <w:p>
      <w:pPr>
        <w:ind w:left="1000" w:right="540" w:hanging="547"/>
        <w:spacing w:after="0" w:line="282" w:lineRule="auto"/>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establish a sales, commercialization and distribution infrastructure to commercialize any products for which we may obtain marketing approval;</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maintain, expand and protect our intellectual property portfolio;</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hire additional personnel;</w:t>
      </w:r>
    </w:p>
    <w:p>
      <w:pPr>
        <w:spacing w:after="0" w:line="130" w:lineRule="exact"/>
        <w:rPr>
          <w:rFonts w:ascii="Times New Roman" w:cs="Times New Roman" w:eastAsia="Times New Roman" w:hAnsi="Times New Roman"/>
          <w:sz w:val="18"/>
          <w:szCs w:val="18"/>
          <w:color w:val="32406B"/>
        </w:rPr>
      </w:pPr>
    </w:p>
    <w:p>
      <w:pPr>
        <w:ind w:left="1000" w:right="80" w:hanging="547"/>
        <w:spacing w:after="0" w:line="282" w:lineRule="auto"/>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add operational, financial and management information systems and personnel, including personnel to support our product development and planned future commercialization efforts;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continue to incur increased costs as a result of operating as a public company.</w:t>
      </w:r>
    </w:p>
    <w:p>
      <w:pPr>
        <w:spacing w:after="0" w:line="225"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preclinical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16</w:t>
      </w:r>
    </w:p>
    <w:p>
      <w:pPr>
        <w:sectPr>
          <w:pgSz w:w="11900" w:h="16838" w:orient="portrait"/>
          <w:cols w:equalWidth="0" w:num="1">
            <w:col w:w="11200"/>
          </w:cols>
          <w:pgMar w:left="320" w:top="455" w:right="3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We expect our expenses to increase in parallel with our ongoing activities, particularly as we continue our discovery and preclinical development collaborations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19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67" w:lineRule="exact"/>
        <w:rPr>
          <w:sz w:val="20"/>
          <w:szCs w:val="20"/>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and cost of our discovery and preclinical development;</w:t>
      </w:r>
    </w:p>
    <w:p>
      <w:pPr>
        <w:spacing w:after="0" w:line="130" w:lineRule="exact"/>
        <w:rPr>
          <w:rFonts w:ascii="Times New Roman" w:cs="Times New Roman" w:eastAsia="Times New Roman" w:hAnsi="Times New Roman"/>
          <w:sz w:val="18"/>
          <w:szCs w:val="18"/>
          <w:color w:val="32406B"/>
        </w:rPr>
      </w:pPr>
    </w:p>
    <w:p>
      <w:pPr>
        <w:ind w:left="1000" w:right="540" w:hanging="547"/>
        <w:spacing w:after="0" w:line="282" w:lineRule="auto"/>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and cost of our clinical trials, including payments of patient cost, clinical investigator cost and payments to CROs that are assisting with our sponsored clinical trials, and other research and development activities;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and timing of obtaining regulatory approval to commence further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costs associated with any future investigator-sponsored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filing, prosecuting, defending and enforcing any patent applications, claims, patents and other intellectual property rights;</w:t>
      </w:r>
    </w:p>
    <w:p>
      <w:pPr>
        <w:spacing w:after="0" w:line="130" w:lineRule="exact"/>
        <w:rPr>
          <w:rFonts w:ascii="Times New Roman" w:cs="Times New Roman" w:eastAsia="Times New Roman" w:hAnsi="Times New Roman"/>
          <w:sz w:val="18"/>
          <w:szCs w:val="18"/>
          <w:color w:val="32406B"/>
        </w:rPr>
      </w:pPr>
    </w:p>
    <w:p>
      <w:pPr>
        <w:ind w:left="1000" w:right="280" w:hanging="547"/>
        <w:spacing w:after="0" w:line="282" w:lineRule="auto"/>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and timing of obtaining sufficient quantities of our product candidates for clinical trials by establishing our contracted and/or own production capacities;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costs and capital expenditures associated with process optimizations and preclinical and clinical manufacturing;</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terms and timing of any collaborative, licensing and other arrangements that we may establish;</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acquiring or licensing additional products or technologies, if any;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preparing for launch and commercialization of our product candidates;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operating as a public company in the United States.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resulting from the COVID-19 pandemic or other factors, could adversely impact our ability to access capital as and when needed. If we are unable to obtain sufficient funding in a timely manner or on commercially acceptable terms, we may have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w:t>
      </w:r>
    </w:p>
    <w:p>
      <w:pPr>
        <w:sectPr>
          <w:pgSz w:w="11900" w:h="16838" w:orient="portrait"/>
          <w:cols w:equalWidth="0" w:num="1">
            <w:col w:w="11220"/>
          </w:cols>
          <w:pgMar w:left="320" w:top="455" w:right="3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32406B"/>
        </w:rPr>
        <w:t>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291"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Raising additional capital may cause dilution to our existing shareholders, restrict our operations or require us to relinquish rights to our product candidates or technologies.</w:t>
      </w:r>
    </w:p>
    <w:p>
      <w:pPr>
        <w:spacing w:after="0" w:line="51"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8"/>
          <w:szCs w:val="18"/>
          <w:color w:val="32406B"/>
        </w:rPr>
        <w:t>We may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Exchange rate fluctuations could negatively affect our financial condition.</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Our consolidated financial statements are presented in euros. We mainly operate via our Dutch and Swiss entities, but we also conduct business in North America and the United Kingdom. Therefore, we have expenses denominated in U.S. dollars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and the euro and the British pound sterling, which may have a significant impact on our reported results of operations and cash flows from period to period.</w:t>
      </w:r>
    </w:p>
    <w:p>
      <w:pPr>
        <w:spacing w:after="0" w:line="287" w:lineRule="exact"/>
        <w:rPr>
          <w:sz w:val="20"/>
          <w:szCs w:val="20"/>
          <w:color w:val="auto"/>
        </w:rPr>
      </w:pPr>
    </w:p>
    <w:p>
      <w:pPr>
        <w:ind w:left="460"/>
        <w:spacing w:after="0" w:line="262" w:lineRule="auto"/>
        <w:rPr>
          <w:sz w:val="20"/>
          <w:szCs w:val="20"/>
          <w:color w:val="auto"/>
        </w:rPr>
      </w:pPr>
      <w:r>
        <w:rPr>
          <w:rFonts w:ascii="Times New Roman" w:cs="Times New Roman" w:eastAsia="Times New Roman" w:hAnsi="Times New Roman"/>
          <w:sz w:val="18"/>
          <w:szCs w:val="18"/>
          <w:b w:val="1"/>
          <w:bCs w:val="1"/>
          <w:i w:val="1"/>
          <w:iCs w:val="1"/>
          <w:color w:val="32406B"/>
        </w:rPr>
        <w:t>We have identified material weaknesses in our internal control over financial reporting. If we are unable to successfully remediate these material weaknesses and to maintain an effective system of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72"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Section 404 of the Sarbanes-Oxley Act requires management of public companies to develop and implement internal control over financial reporting to evaluate the effectiveness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18</w:t>
      </w:r>
    </w:p>
    <w:p>
      <w:pPr>
        <w:sectPr>
          <w:pgSz w:w="11900" w:h="16838" w:orient="portrait"/>
          <w:cols w:equalWidth="0" w:num="1">
            <w:col w:w="11200"/>
          </w:cols>
          <w:pgMar w:left="320" w:top="455" w:right="3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2406B"/>
        </w:rPr>
        <w:t>thereof.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consolidated financial statements for the fiscal year ended December 31, 2019, we concluded that there were material weaknesses in the design of our internal control over financial reporting across the principles for each component of the COSO framework at the entity level (i.e. control environment, risk assessment, monitoring, information &amp; communication and control activities) and accordingly, across our business and IT processes. The material weaknesses that we identified related to:</w:t>
      </w:r>
    </w:p>
    <w:p>
      <w:pPr>
        <w:spacing w:after="0" w:line="93" w:lineRule="exact"/>
        <w:rPr>
          <w:sz w:val="20"/>
          <w:szCs w:val="20"/>
          <w:color w:val="auto"/>
        </w:rPr>
      </w:pPr>
    </w:p>
    <w:p>
      <w:pPr>
        <w:jc w:val="both"/>
        <w:ind w:left="1000" w:right="280" w:hanging="547"/>
        <w:spacing w:after="0" w:line="266" w:lineRule="auto"/>
        <w:tabs>
          <w:tab w:leader="none" w:pos="1000" w:val="left"/>
        </w:tabs>
        <w:numPr>
          <w:ilvl w:val="0"/>
          <w:numId w:val="1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1"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lack of maintaining a sufficient complement of personnel commensurate with our accounting and reporting requirements, and able to:</w:t>
      </w:r>
    </w:p>
    <w:p>
      <w:pPr>
        <w:spacing w:after="0" w:line="27" w:lineRule="exact"/>
        <w:rPr>
          <w:rFonts w:ascii="Times New Roman" w:cs="Times New Roman" w:eastAsia="Times New Roman" w:hAnsi="Times New Roman"/>
          <w:sz w:val="18"/>
          <w:szCs w:val="18"/>
          <w:color w:val="32406B"/>
        </w:rPr>
      </w:pPr>
    </w:p>
    <w:p>
      <w:pPr>
        <w:ind w:left="1000" w:right="20"/>
        <w:spacing w:after="0" w:line="253" w:lineRule="auto"/>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8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32406B"/>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 We also did not have controls in place to monitor control activities and identify control deficiencies. Currently, we have only three designated finance employees. 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 material weaknesses or that other material weakness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94"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32406B"/>
        </w:rPr>
        <w:t>Our management will be required to assess the effectiveness of our internal controls over financial reporting on an annual basis pursuant to SOX 404(a), beginning with our Form 20-F for the year ended December 31, 2022. However, for as long as we are an “emerging growth company” under the JOBS Act, our independent registered public accounting firm will not be required to attest to the effectiveness of our internal control over financial reporting pursuant to Section 404(b). We could be an “emerging growth company” for up to five years following this offering.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will be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require us to incur the expense of remediation and investors may lose confidence in the accuracy and completeness of our financial reports which could cause the market price of our ordinary shares to decline and also restrict our future access to the capital markets. We could be also subject to sanctions or investigations by Nasdaq, the SEC or other regulatory authorities.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19</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Our tax liability may be materially different from what is reflected in our income tax provisions and related balance sheet accounts.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We are subject to taxation in the Netherlands, Switzerland and other jurisdictions. Our future effective income tax rate will be impacted by a number of factors, including the geographic composition of our worldwide taxable income and our ability to allocate debt and expenses effectively.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anti-tax avoidance measures proposed by the European Committee) or successfully challenge the manner in which our income taxes are currently recognized or calculated or the transfer pricing policies employed by us (including policies set forth in any advance pricing agreements entered into with any taxing authorities), our effective income tax rate could increase, which would adversely impact our cash flow and profitability. Furthermore, in many of these jurisdictions,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Our ability to use our net operating losses to offset future taxable income may be subject to certain limitations.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ability to use our net operating losses, or NOLs, in the Netherlands and Switzerland is currently limited and may be further limited. In particular,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 use of NOLs is subject to limitation in Switzerland, and may expire if unused after a seven-year period. Furthermore, as a result of Dutch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income tax law, tax loss carry-forwards were generally subject to a time limitation of nine years from the year these tax losses were incurred but legislation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has been enacted that decreased the carry-forwards time limitation of tax losses incurred after December 31, 2018 from nine years to six years.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October 5, 2020, the Dutch Government has submitted a legislative proposal to the Dutch Parliament to limit the amount of tax losses that can be taken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account in a profitable year. Pursuant to the proposal, as of January 1, 2022 both the carry forward and carry back loss relief will be limited to 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taxable profit to the extent it exceeds EUR 1 million, calculated per financial year. Further, tax losses will remain available to be used against future taxable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profits for an indefinite period. Considering that no grandfathering rule has been proposed, it is expected that this will apply to tax losses incurred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2022 and also to tax losses that are available for carry forward in 2022 pursuant to the currently applicable rules. This means that, if the legislative proposal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is adopted, the final year in which tax losses incurred in year-end December 31, 2013 can be used in full against profits is the financial year 2021 and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losses incurred in subsequent years will be carry-forward indefinitely but subject to the new limitation as of January 1,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the Development and Clinical Testing of Our Product Candidates</w:t>
      </w:r>
    </w:p>
    <w:p>
      <w:pPr>
        <w:spacing w:after="0" w:line="117" w:lineRule="exact"/>
        <w:rPr>
          <w:sz w:val="20"/>
          <w:szCs w:val="20"/>
          <w:color w:val="auto"/>
        </w:rPr>
      </w:pPr>
    </w:p>
    <w:p>
      <w:pPr>
        <w:ind w:left="46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are heavily dependent on the success of our product candidates PHVS416 and PHVS719 , which are in early stage development and have not yet been assessed for efficacy in a clinical trial. We cannot give any assurance that either product candidate, or any other compounds in development, will successfully complete clinical trials, receive regulatory approval, be commercialized or be differentiated in the market.</w:t>
      </w:r>
    </w:p>
    <w:p>
      <w:pPr>
        <w:spacing w:after="0" w:line="67"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PHVS416 and PHVS719, and as a result, our business currently depends heavily on the successful development, regulatory approval and commercialization of these product candidates. We have not yet tested our product candidates in patients with HAE, and to-date we only have data from pre-clinical studies and Phase 1 clinical trials in healthy volunteers. We have not conducted a head-to-head comparison of icatibant or any other drug candidate to PHA121 in a clinical trial. We have compared the published data for icatibant to data from our Phase 1 clinical trial of PHA121. Accordingly, the value of comparisons to icatibant in this prospectus may be limited because they are not derived from a head-to-head trial and they are from trials that were conducted under different protocols at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20</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32406B"/>
        </w:rPr>
        <w:t>different sites and at different times. Without head-to-head data, we will be unable to make comparative claims for our product candidates, if approved. Future clinical trials may not confirm our analyses to-date. The development of PHVS416 and PHVS719 has been and will continue to be a time-consuming and costly process, and may leave us with insufficient resources to advance other programs and product candidates. We cannot be certain that any PHA121-containing product candidate, including PHVS416 and PHVS719, will receive regulatory approval or be successfully commercialized, even if we receive regulatory approval. The research, testing, manufacturing, safety, efficacy, labeling, approval, sale, advertising promotion, commercialization and distribution of our product candidates are, and will remain, subject to comprehensive regulation by the FDA in the United States, the European Union and the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preclinical and clinical data and supporting information to establish the drug candidate’s safety and effectiveness for each desired indication. The preclinical and clinical development of our product candidates is susceptible to the 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PHVS416 and PHVS719 or any other product candidate in the United States, Europe or other jurisdictions will prevent us from commercializing and marketing these products in such jurisdictions.</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296"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Our business and operations may be adversely affected by a variety of events outside our control, including pandemics, epidemics or outbreaks of infectious diseases, such as the recent COVID-19 pandemic.</w:t>
      </w:r>
    </w:p>
    <w:p>
      <w:pPr>
        <w:spacing w:after="0" w:line="51"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32406B"/>
        </w:rPr>
        <w:t>A wide variety of events beyond our control, including natural or man-made disasters, power shortages, fires, extreme weather conditions, pandemics, epidemics or outbreaks of infectious diseases, political unrest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For instance, the spread of COVID-19 has impacted the global economy and impacted our operations, including through interruptions of our, or delays to, clinical trial activities, regulatory reviews, manufacturing activities and supply chain. The COVID-19 outbreak has delayed, and may continue to delay, enrollment in our clinical trials due to prioritization of hospital resources toward the outbreak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21</w:t>
      </w:r>
    </w:p>
    <w:p>
      <w:pPr>
        <w:sectPr>
          <w:pgSz w:w="11900" w:h="16838" w:orient="portrait"/>
          <w:cols w:equalWidth="0" w:num="1">
            <w:col w:w="11220"/>
          </w:cols>
          <w:pgMar w:left="320" w:top="455"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32406B"/>
        </w:rPr>
        <w:t>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For example, we experienced an approximate two-month delay in starting the enrollment of our now completed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affect our operations.</w:t>
      </w:r>
    </w:p>
    <w:p>
      <w:pPr>
        <w:spacing w:after="0" w:line="187" w:lineRule="exact"/>
        <w:rPr>
          <w:sz w:val="20"/>
          <w:szCs w:val="20"/>
          <w:color w:val="auto"/>
        </w:rPr>
      </w:pPr>
    </w:p>
    <w:p>
      <w:pPr>
        <w:jc w:val="both"/>
        <w:ind w:right="60" w:firstLine="449"/>
        <w:spacing w:after="0" w:line="257" w:lineRule="auto"/>
        <w:rPr>
          <w:sz w:val="20"/>
          <w:szCs w:val="20"/>
          <w:color w:val="auto"/>
        </w:rPr>
      </w:pPr>
      <w:r>
        <w:rPr>
          <w:rFonts w:ascii="Times New Roman" w:cs="Times New Roman" w:eastAsia="Times New Roman" w:hAnsi="Times New Roman"/>
          <w:sz w:val="18"/>
          <w:szCs w:val="18"/>
          <w:color w:val="32406B"/>
        </w:rPr>
        <w:t>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and the inability of our CDMOs to provide supplies of our product candidates for our planned clinical trials, on a timely basis or at all.</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32406B"/>
        </w:rPr>
        <w:t>Further, it may impact the ability of our CROs, including non-clinical CROs, to provide services to support our clinical program.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The extent to which the COVID-19 pandemic impacts our business will depend on future developments, which are uncertain and cannot be predicted, including new information which may emerge concerning the severity of the COVID-19 pandemic and the actions to contain COVID-19 or treat its impact, among others. If we are unable to meet our milestones it might jeopardize our funding opportunities.</w:t>
      </w:r>
    </w:p>
    <w:p>
      <w:pPr>
        <w:spacing w:after="0" w:line="188"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In addition, the COVID-19 pandemic has already caused, and is likely to result in further, significant disruptions and uncertainties in global financial markets, which may reduce our ability to access capital on favorable terms or at all. A recession, depression or other sustained adverse market event resulting from the spread of COVID-19 could also materially and adversely affect our business and the value of our ordinary shares. The ultimate impact of the COVID-19 pandemic or a similar health epidemic is uncertain and subject to change. To the extent the COVID-19 pandemic adversely affects our business and financial results, it may also have the effect of heightening many of the other risks described in this “Risk Factors” section, such as those relating to our clinical and preclinical development operations, manufacturing activities, the supply chain for our ongoing and planned clinical trials and our ability and need to raise additional capital to support our operations.</w:t>
      </w:r>
    </w:p>
    <w:p>
      <w:pPr>
        <w:spacing w:after="0" w:line="293" w:lineRule="exact"/>
        <w:rPr>
          <w:sz w:val="20"/>
          <w:szCs w:val="20"/>
          <w:color w:val="auto"/>
        </w:rPr>
      </w:pPr>
    </w:p>
    <w:p>
      <w:pPr>
        <w:ind w:left="46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Disruptions at FDA, EMA and other government agencies caused by funding shortages or global health concerns such as COVID-19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The ability of the FDA, EMA and other comparable government agencies to review and clear or approve new products can be affected by a variety of factors, including government budget and funding levels, statutory, regulatory, and policy changes,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For instance, in response to COVID-19, on March 10, 2020, the FDA announced its intention to postpone most foreign inspections of manufacturing facilities and products. Foreign pre-approval and for-cause inspection assignments that are not deemed mission-critical remain temporarily postponed, while those deemed “mission-critical” are being considered for inspection on a case-by-case basis. Regulatory authorities outside the United States may adopt similar restrictions or other policy measures in response to the COVID-19 pandemic. In addition, regulatory agencies have generally reduced face-to-face interactions relative to the pre-pandemic situation which may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22</w:t>
      </w:r>
    </w:p>
    <w:p>
      <w:pPr>
        <w:sectPr>
          <w:pgSz w:w="11900" w:h="16838" w:orient="portrait"/>
          <w:cols w:equalWidth="0" w:num="1">
            <w:col w:w="11240"/>
          </w:cols>
          <w:pgMar w:left="320" w:top="45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32406B"/>
        </w:rPr>
        <w:t>impact our ability to reach consensus with regulators. If a prolonged government shutdown occurs, or if global health concerns continue to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not be able to design and develop an extended-release formulation.</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Our current strategy includes developing an extended-release formulation for the PHA121 prophylactic indication. We have not yet identified a specific extended-release formulation. If we pursue this development strategy, we expect to file for and obtain patents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 release formulations and there can be no assurance that we would be able to obtain rights to such patents on attractive financial terms, if at all.</w:t>
      </w:r>
    </w:p>
    <w:p>
      <w:pPr>
        <w:spacing w:after="0" w:line="293"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32406B"/>
        </w:rPr>
        <w:t>We may experience setbacks in our clinical trials, including delays in commencing, conducting or completing our clinical trials. Moreover, we have established proof-of-mechanism for PHA121 and have designed and advanced our future clinical development program based on a clinical trial that assessed a surrogate endpoint, as well as modelling of our results from that trial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9"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 xml:space="preserve">Clinical trials are expensive and complex. Each trial can take many years to complete and have uncertain outcomes. Failure of a product can occur at any stage of the testing, including later phases of clinical trials despite having progressed through preclinical and early phase clinical trials, for a variety of reasons, such as changes in formulation of the product, differences in patient populations, changes in trial and manufacturing protocols and complexities of larger, multi-center trials, among others. The results from preclinical or early phase clinical trials of a product candidate may not predict the results that will be obtained in later phase clinical trials of the product candidate. For example, we have established proof-of-mechanism for PHA121 and have designed and advanced our future clinical development program based on a clinical trial that assessed a surrogate assessment, as well as modelling of our results from that trial with additional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23</w:t>
      </w:r>
    </w:p>
    <w:p>
      <w:pPr>
        <w:sectPr>
          <w:pgSz w:w="11900" w:h="16838" w:orient="portrait"/>
          <w:cols w:equalWidth="0" w:num="1">
            <w:col w:w="11220"/>
          </w:cols>
          <w:pgMar w:left="320" w:top="455" w:right="3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32406B"/>
        </w:rPr>
        <w:t>We have, and may continue to experience numerous setbacks during, or as a result of, the clinical trial process that experienced could delay or prevent the commencement, conduct and completion of clinical trials or the commercialization of our current and any future programs, such as:</w:t>
      </w:r>
    </w:p>
    <w:p>
      <w:pPr>
        <w:spacing w:after="0" w:line="67" w:lineRule="exact"/>
        <w:rPr>
          <w:sz w:val="20"/>
          <w:szCs w:val="20"/>
          <w:color w:val="auto"/>
        </w:rPr>
      </w:pPr>
    </w:p>
    <w:p>
      <w:pPr>
        <w:ind w:left="1000" w:right="220" w:hanging="547"/>
        <w:spacing w:after="0" w:line="266" w:lineRule="auto"/>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delays in reaching a consensus with regulatory agencies on the design or implementation of our clinical trials, including with respect to our strategy for sharing Phase 1 data between PHVS416 and PHVS719 programs and designs for improving the efficiency of our clinical development path;</w:t>
      </w:r>
    </w:p>
    <w:p>
      <w:pPr>
        <w:spacing w:after="0" w:line="81"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delays in obtaining regulatory approval or ethics committee approval to commence a clinical trial;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delays in reaching agreement on acceptable terms with prospective contract research organizations, or CROs, and clinical trial sites;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failure of CROs to adequately supervise investigators;</w:t>
      </w:r>
    </w:p>
    <w:p>
      <w:pPr>
        <w:spacing w:after="0" w:line="130" w:lineRule="exact"/>
        <w:rPr>
          <w:rFonts w:ascii="Times New Roman" w:cs="Times New Roman" w:eastAsia="Times New Roman" w:hAnsi="Times New Roman"/>
          <w:sz w:val="18"/>
          <w:szCs w:val="18"/>
          <w:color w:val="32406B"/>
        </w:rPr>
      </w:pPr>
    </w:p>
    <w:p>
      <w:pPr>
        <w:ind w:left="1000" w:right="280" w:hanging="547"/>
        <w:spacing w:after="0" w:line="282" w:lineRule="auto"/>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failure to recruit sufficient investigators or recruit and enroll sufficient subjects for our clinical trials in a timely manner or at all, including due to the COVID-19 pandemic;</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 or failure in having subjects complete a trial or return for post-treatment follow-up, including due to the COVID-19 pandemic;</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failure to obtain and maintain the required institutional review board, or IRB, or ethics committee approval at each clinical trial site;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clinical sites or investigators deviating from trial protocol or dropping out of a trial;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lack of adequate funding to continue a clinical trial;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delays in sufficiently developing, characterizing or controlling a manufacturing process suitable for advanced clinical trials;</w:t>
      </w:r>
    </w:p>
    <w:p>
      <w:pPr>
        <w:spacing w:after="0" w:line="130" w:lineRule="exact"/>
        <w:rPr>
          <w:rFonts w:ascii="Times New Roman" w:cs="Times New Roman" w:eastAsia="Times New Roman" w:hAnsi="Times New Roman"/>
          <w:sz w:val="18"/>
          <w:szCs w:val="18"/>
          <w:color w:val="32406B"/>
        </w:rPr>
      </w:pPr>
    </w:p>
    <w:p>
      <w:pPr>
        <w:ind w:left="1000" w:right="160" w:hanging="547"/>
        <w:spacing w:after="0" w:line="282" w:lineRule="auto"/>
        <w:tabs>
          <w:tab w:leader="none" w:pos="1000" w:val="left"/>
        </w:tabs>
        <w:numPr>
          <w:ilvl w:val="0"/>
          <w:numId w:val="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clinical trials of our product candidates producing negative or inconclusive results, which may result in our deciding, or regulators requiring us, to conduct additional clinical trials or abandon product development programs; or</w:t>
      </w:r>
    </w:p>
    <w:p>
      <w:pPr>
        <w:spacing w:after="0" w:line="67" w:lineRule="exact"/>
        <w:rPr>
          <w:rFonts w:ascii="Times New Roman" w:cs="Times New Roman" w:eastAsia="Times New Roman" w:hAnsi="Times New Roman"/>
          <w:sz w:val="18"/>
          <w:szCs w:val="18"/>
          <w:color w:val="32406B"/>
        </w:rPr>
      </w:pPr>
    </w:p>
    <w:p>
      <w:pPr>
        <w:ind w:left="1000" w:right="380" w:hanging="547"/>
        <w:spacing w:after="0" w:line="312" w:lineRule="auto"/>
        <w:tabs>
          <w:tab w:leader="none" w:pos="1000" w:val="left"/>
        </w:tabs>
        <w:numPr>
          <w:ilvl w:val="0"/>
          <w:numId w:val="20"/>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140"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9"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32406B"/>
        </w:rPr>
        <w:t>If we suffer any material delays, negative results or other setbacks in our clinical trials or if our clinical trials are put on clinical hold or terminated, we may incur increased costs or be unable to continue development of PHA121, including our product candidates PHVS416 and PHVS719, which could have a material adverse effect on our business, financial condition, results of operations and prospects.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24</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We may not be able to initiate or continue clinical trials for our product candidates if we are unable to locate and enroll a sufficient number of eligible patients to participate in these trials to demonstrate safety and efficacy. We are currently conducting early phase clinical trials, with a Phase 2 trial in the on-demand setting to commence first and provide critical data for dose selection for the prophylaxis indication.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97" w:lineRule="exact"/>
        <w:rPr>
          <w:sz w:val="20"/>
          <w:szCs w:val="20"/>
          <w:color w:val="auto"/>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eligibility criteria for the study in question;</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perceived risks and benefits of the product candidate under study;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efforts to facilitate timely enrollment in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availability of existing or experimental treatments affecting our ability to recruit patients;</w:t>
      </w:r>
    </w:p>
    <w:p>
      <w:pPr>
        <w:spacing w:after="0" w:line="130" w:lineRule="exact"/>
        <w:rPr>
          <w:rFonts w:ascii="Times New Roman" w:cs="Times New Roman" w:eastAsia="Times New Roman" w:hAnsi="Times New Roman"/>
          <w:sz w:val="18"/>
          <w:szCs w:val="18"/>
          <w:color w:val="32406B"/>
        </w:rPr>
      </w:pPr>
    </w:p>
    <w:p>
      <w:pPr>
        <w:ind w:left="1000" w:right="20" w:hanging="547"/>
        <w:spacing w:after="0" w:line="282" w:lineRule="auto"/>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inability to identify and maintain a sufficient number of trial sites, many of which may already be engaged in other clinical trial programs, including some that may be for the same disease indication;</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patient referral practices of physicians;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proximity and availability of clinical trial sites for prospective patients;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any delays and difficulties in enrollment due to the COVID-19 pandemic;</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ambiguous or negative interim results of our clinical trials, or results that are inconsistent with earlier results;</w:t>
      </w:r>
    </w:p>
    <w:p>
      <w:pPr>
        <w:spacing w:after="0" w:line="130" w:lineRule="exact"/>
        <w:rPr>
          <w:rFonts w:ascii="Times New Roman" w:cs="Times New Roman" w:eastAsia="Times New Roman" w:hAnsi="Times New Roman"/>
          <w:sz w:val="18"/>
          <w:szCs w:val="18"/>
          <w:color w:val="32406B"/>
        </w:rPr>
      </w:pPr>
    </w:p>
    <w:p>
      <w:pPr>
        <w:ind w:left="1000" w:right="240" w:hanging="547"/>
        <w:spacing w:after="0" w:line="266" w:lineRule="auto"/>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feedback from the FDA, EMA and any comparable foreign regulatory authority, data safety monitoring boards, or a comparable foreign regulatory authority, or results from earlier stage or concurrent preclinical studies and clinical trials, that might require modifications to the protocol;</w:t>
      </w:r>
    </w:p>
    <w:p>
      <w:pPr>
        <w:spacing w:after="0" w:line="81" w:lineRule="exact"/>
        <w:rPr>
          <w:rFonts w:ascii="Times New Roman" w:cs="Times New Roman" w:eastAsia="Times New Roman" w:hAnsi="Times New Roman"/>
          <w:sz w:val="18"/>
          <w:szCs w:val="18"/>
          <w:color w:val="32406B"/>
        </w:rPr>
      </w:pPr>
    </w:p>
    <w:p>
      <w:pPr>
        <w:ind w:left="1000" w:right="40" w:hanging="547"/>
        <w:spacing w:after="0" w:line="282" w:lineRule="auto"/>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decisions by the FDA, EMA and any comparable foreign regulatory authority or us, or recommendations by data safety monitoring boards, to suspend or terminate clinical trials at any time for safety issues or for any other reason;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unacceptable risk-benefit profile, perceived or actual, or unforeseen safety issues or adverse effects.</w:t>
      </w:r>
    </w:p>
    <w:p>
      <w:pPr>
        <w:spacing w:after="0" w:line="225" w:lineRule="exact"/>
        <w:rPr>
          <w:sz w:val="20"/>
          <w:szCs w:val="20"/>
          <w:color w:val="auto"/>
        </w:rPr>
      </w:pPr>
    </w:p>
    <w:p>
      <w:pPr>
        <w:jc w:val="both"/>
        <w:ind w:right="280" w:firstLine="449"/>
        <w:spacing w:after="0" w:line="266" w:lineRule="auto"/>
        <w:rPr>
          <w:sz w:val="20"/>
          <w:szCs w:val="20"/>
          <w:color w:val="auto"/>
        </w:rPr>
      </w:pPr>
      <w:r>
        <w:rPr>
          <w:rFonts w:ascii="Times New Roman" w:cs="Times New Roman" w:eastAsia="Times New Roman" w:hAnsi="Times New Roman"/>
          <w:sz w:val="18"/>
          <w:szCs w:val="18"/>
          <w:color w:val="32406B"/>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Clinical trials of our product candidates may not uncover all possible adverse effects that patients may experience.</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and the duration of exposure to the product candidate. As a result of such limitations, we cannot be sure that all side effects of our product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25</w:t>
      </w:r>
    </w:p>
    <w:p>
      <w:pPr>
        <w:sectPr>
          <w:pgSz w:w="11900" w:h="16838" w:orient="portrait"/>
          <w:cols w:equalWidth="0" w:num="1">
            <w:col w:w="11240"/>
          </w:cols>
          <w:pgMar w:left="320" w:top="455"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32406B"/>
        </w:rPr>
        <w:t>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pacing w:after="0" w:line="18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287" w:lineRule="exact"/>
        <w:rPr>
          <w:sz w:val="20"/>
          <w:szCs w:val="20"/>
          <w:color w:val="auto"/>
        </w:rPr>
      </w:pPr>
    </w:p>
    <w:p>
      <w:pPr>
        <w:ind w:left="46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67"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32406B"/>
        </w:rPr>
        <w:t>Clinical testing is expensive and can take many years to complete, and its outcome is inherently uncertain. Failure can occur at any time during the clinical trial process. Although product candidates may demonstrate promising results in early clinical (human) trials and preclinical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prospectus we discuss the potency of PHA121 as shown in preclinical and Phase 1 clinical trials.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The results of preclinical studies and early clinical trials, as well as data from interim analysis of ongoing clinical trials, may not be predictive of the results of ongoing or future clinical trials. 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preclinical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297" w:lineRule="exact"/>
        <w:rPr>
          <w:sz w:val="20"/>
          <w:szCs w:val="20"/>
          <w:color w:val="auto"/>
        </w:rPr>
      </w:pPr>
    </w:p>
    <w:p>
      <w:pPr>
        <w:ind w:left="46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may not be able to conduct, or contract others to conduct, animal testing in the future, which could harm our research and development activities.</w:t>
      </w:r>
    </w:p>
    <w:p>
      <w:pPr>
        <w:spacing w:after="0" w:line="5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26</w:t>
      </w:r>
    </w:p>
    <w:p>
      <w:pPr>
        <w:sectPr>
          <w:pgSz w:w="11900" w:h="16838" w:orient="portrait"/>
          <w:cols w:equalWidth="0" w:num="1">
            <w:col w:w="11220"/>
          </w:cols>
          <w:pgMar w:left="320" w:top="455" w:right="3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32406B"/>
        </w:rPr>
        <w:t>activities through protests and other means. To the extent the activities of these groups are successful, our research and development activities may be interrupted or delayed.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Regulatory Approval of Our Clinical Development Programs and Our Product Candidates</w:t>
      </w:r>
    </w:p>
    <w:p>
      <w:pPr>
        <w:spacing w:after="0" w:line="117"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Clinical development is subject to extensive regulation, which can be costly and time-consuming to comply with, and we may not obtain approvals for performing clinical trials or for marketing any of our product candidates.</w:t>
      </w:r>
    </w:p>
    <w:p>
      <w:pPr>
        <w:spacing w:after="0" w:line="51" w:lineRule="exact"/>
        <w:rPr>
          <w:sz w:val="20"/>
          <w:szCs w:val="20"/>
          <w:color w:val="auto"/>
        </w:rPr>
      </w:pPr>
    </w:p>
    <w:p>
      <w:pPr>
        <w:ind w:right="340" w:firstLine="449"/>
        <w:spacing w:after="0" w:line="266" w:lineRule="auto"/>
        <w:rPr>
          <w:sz w:val="20"/>
          <w:szCs w:val="20"/>
          <w:color w:val="auto"/>
        </w:rPr>
      </w:pPr>
      <w:r>
        <w:rPr>
          <w:rFonts w:ascii="Times New Roman" w:cs="Times New Roman" w:eastAsia="Times New Roman" w:hAnsi="Times New Roman"/>
          <w:sz w:val="18"/>
          <w:szCs w:val="18"/>
          <w:color w:val="32406B"/>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with or market our product candidates.</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Since the 1990s, many companies have tried but failed to discover oral B2 antagonists, as the bradykinin-B2-receptor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PHVS416 and PHVS719. As discussed under “—Risks Related to the Development and Clinical Testing of Our Product Candidates— 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w:t>
      </w:r>
      <w:r>
        <w:rPr>
          <w:rFonts w:ascii="Times New Roman" w:cs="Times New Roman" w:eastAsia="Times New Roman" w:hAnsi="Times New Roman"/>
          <w:sz w:val="18"/>
          <w:szCs w:val="18"/>
          <w:i w:val="1"/>
          <w:iCs w:val="1"/>
          <w:color w:val="32406B"/>
        </w:rPr>
        <w:t>s</w:t>
      </w:r>
      <w:r>
        <w:rPr>
          <w:rFonts w:ascii="Times New Roman" w:cs="Times New Roman" w:eastAsia="Times New Roman" w:hAnsi="Times New Roman"/>
          <w:sz w:val="18"/>
          <w:szCs w:val="18"/>
          <w:color w:val="32406B"/>
        </w:rPr>
        <w:t>,” we or our partners may experience any number of unfavorable outcomes during or as a result of preclinical studies and clinical trials which could delay or prevent regulatory approval of our product candidates, or negatively impact our management’s credibility, our value and our operating results.</w:t>
      </w:r>
    </w:p>
    <w:p>
      <w:pPr>
        <w:spacing w:after="0" w:line="194"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32406B"/>
        </w:rPr>
        <w:t>We may invest substantial time and resources in preclinical studies, clinical trials, manufacturing and the preparation and submission of various regulatory applications without any assurance that we will obtain regulatory approval or recoup our investment. The FDA and other regulatory authorities exercise substantial discretion with respect to the development and approval of drug product candidates. The number, size and design of preclinical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93" w:lineRule="exact"/>
        <w:rPr>
          <w:sz w:val="20"/>
          <w:szCs w:val="20"/>
          <w:color w:val="auto"/>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manufacturing related issues or concerns;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concerns relating to the product candidate’s safety or efficacy;</w:t>
      </w:r>
    </w:p>
    <w:p>
      <w:pPr>
        <w:spacing w:after="0" w:line="130" w:lineRule="exact"/>
        <w:rPr>
          <w:rFonts w:ascii="Times New Roman" w:cs="Times New Roman" w:eastAsia="Times New Roman" w:hAnsi="Times New Roman"/>
          <w:sz w:val="18"/>
          <w:szCs w:val="18"/>
          <w:color w:val="32406B"/>
        </w:rPr>
      </w:pPr>
    </w:p>
    <w:p>
      <w:pPr>
        <w:ind w:left="1000" w:right="240" w:hanging="547"/>
        <w:spacing w:after="0" w:line="282" w:lineRule="auto"/>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concerns relating to the design, control or conduct of preclinical studies and clinical trials including the use of placebo or active controls in blinded studies;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negative or ambiguous results of any preclinical or clinical trial;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concerns relating to the sufficiency of clinical trial results;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failure of more advanced clinical results to confirm positive results from preclinical studies or earlier clinical trials; or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development or observation of unexpected safety issues, adverse events or adverse side effects.</w:t>
      </w:r>
    </w:p>
    <w:p>
      <w:pPr>
        <w:spacing w:after="0" w:line="225"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Should any of these or other factors affecting our development programs or product candidates occur, regulatory approval of our product candidates could be denied, delayed or have conditions placed upon it. Failure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27</w:t>
      </w:r>
    </w:p>
    <w:p>
      <w:pPr>
        <w:sectPr>
          <w:pgSz w:w="11900" w:h="16838" w:orient="portrait"/>
          <w:cols w:equalWidth="0" w:num="1">
            <w:col w:w="11240"/>
          </w:cols>
          <w:pgMar w:left="320" w:top="455"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32406B"/>
        </w:rPr>
        <w:t>to obtain regulatory approval in a timely manner, in a limited manner or at all would have a material adverse effect on our business, financial condition, results of operations or prospects.</w:t>
      </w:r>
    </w:p>
    <w:p>
      <w:pPr>
        <w:spacing w:after="0" w:line="162"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Additionally, effective as of January 31, 2020, the United Kingdom withdrew from the European Union, a process referred to as “Brexit”. Since a significant proportion of the regulatory framework in the United Kingdom is derived from European Union directives and regulations, the final resolution of the withdrawal of the United Kingdom from the European Union could materially impact the regulatory regime with respect to the approval of any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of our product candidates, which could significantly and materially harm our business.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There can be no assurance that we will be able to obtain or, if obtained, maintain orphan drug status.</w:t>
      </w:r>
    </w:p>
    <w:p>
      <w:pPr>
        <w:spacing w:after="0" w:line="12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We currently do not have orphan drug designations in respect of our PHVS416 and PHVS719 product candidates. There is no assurance that we will be able to obtain orphan drug designations for our product candidates in indications that are important to our business or if obtained, to gain orphan drug exclusivity for our product candidates in indications that are important for our business.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9"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32406B"/>
        </w:rPr>
        <w:t>Even if we obtain orphan drug exclusivity for a product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obtaining and maintaining market exclusivity for any future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EMA or the FDA determines that the request for designation was materially defective. If we fail to obtain or maintain orphan exclusivity for any future products, or if the commercial value of market exclusivity is diminished, our competitive position or financial and commercial prospects could be materially adversely affected.</w:t>
      </w:r>
    </w:p>
    <w:p>
      <w:pPr>
        <w:spacing w:after="0" w:line="292"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67"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If any of our product candidates are approved for commercialization by the FDA or another regulatory authority, we would be subject to extensive regulatory requirements over, among other things, product manufacturing, testing, labeling, packaging, storage, advertising, 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28</w:t>
      </w:r>
    </w:p>
    <w:p>
      <w:pPr>
        <w:sectPr>
          <w:pgSz w:w="11900" w:h="16838" w:orient="portrait"/>
          <w:cols w:equalWidth="0" w:num="1">
            <w:col w:w="11200"/>
          </w:cols>
          <w:pgMar w:left="320" w:top="455" w:right="3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32406B"/>
        </w:rPr>
        <w:t>and corresponding maintenance of records and documents. In addition, we would be subject to other requirements regarding the distribution of drug samples to physicians. We and our suppliers,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3"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The FDA, or other regulatory authorities, may also impose significant limitations on the uses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8"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32406B"/>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new drug application, or NDA, and financial penalties. If we are subject to any of these sanctions, our competitive position or financial and commercial prospects could be materially adversely affected.</w:t>
      </w:r>
    </w:p>
    <w:p>
      <w:pPr>
        <w:spacing w:after="0" w:line="298" w:lineRule="exact"/>
        <w:rPr>
          <w:sz w:val="20"/>
          <w:szCs w:val="20"/>
          <w:color w:val="auto"/>
        </w:rPr>
      </w:pPr>
    </w:p>
    <w:p>
      <w:pPr>
        <w:ind w:left="4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5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post-commercialization testing or restrict or regulate post-approval activities and affect our ability, or the ability of our future collaborators, to profitably sell any product candidates for which we obtain marketing approval.</w:t>
      </w:r>
    </w:p>
    <w:p>
      <w:pPr>
        <w:spacing w:after="0" w:line="180"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32406B"/>
        </w:rPr>
        <w:t>Among policy makers and payors in various jurisdictions, there is significant interest in promoting changes in healthcare systems with the stated goals of containing healthcare costs, improving quality and/or expanding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29</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32406B"/>
        </w:rPr>
        <w:t>access. For example,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Since its enactment there have been judicial, Presidential and Congressional challenges to certain aspects of the ACA, and we expect there will be additional challenges and amendments to the ACA. While Congress has not enacted legislation to comprehensively repeal the ACA, at least two bills affecting the implementation of the ACA have been signed into law, including the repeal, effective January 1, 2019, of the tax based shared responsibility payment imposed by the ACA on certain individuals who fail to maintain qualifying health coverage for all or part of a year, which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heard oral arguments on the case on November 10, 2020 and the case is expected to be decided in 2021.</w:t>
      </w:r>
    </w:p>
    <w:p>
      <w:pPr>
        <w:spacing w:after="0" w:line="194" w:lineRule="exact"/>
        <w:rPr>
          <w:sz w:val="20"/>
          <w:szCs w:val="20"/>
          <w:color w:val="auto"/>
        </w:rPr>
      </w:pPr>
    </w:p>
    <w:p>
      <w:pPr>
        <w:ind w:right="140" w:firstLine="449"/>
        <w:spacing w:after="0" w:line="254" w:lineRule="auto"/>
        <w:rPr>
          <w:sz w:val="20"/>
          <w:szCs w:val="20"/>
          <w:color w:val="auto"/>
        </w:rPr>
      </w:pPr>
      <w:r>
        <w:rPr>
          <w:rFonts w:ascii="Times New Roman" w:cs="Times New Roman" w:eastAsia="Times New Roman" w:hAnsi="Times New Roman"/>
          <w:sz w:val="18"/>
          <w:szCs w:val="18"/>
          <w:color w:val="32406B"/>
        </w:rPr>
        <w:t>Further,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additional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pacing w:after="0" w:line="192" w:lineRule="exact"/>
        <w:rPr>
          <w:sz w:val="20"/>
          <w:szCs w:val="20"/>
          <w:color w:val="auto"/>
        </w:rPr>
      </w:pPr>
    </w:p>
    <w:p>
      <w:pPr>
        <w:ind w:right="160" w:firstLine="449"/>
        <w:spacing w:after="0" w:line="255" w:lineRule="auto"/>
        <w:rPr>
          <w:sz w:val="20"/>
          <w:szCs w:val="20"/>
          <w:color w:val="auto"/>
        </w:rPr>
      </w:pPr>
      <w:r>
        <w:rPr>
          <w:rFonts w:ascii="Times New Roman" w:cs="Times New Roman" w:eastAsia="Times New Roman" w:hAnsi="Times New Roman"/>
          <w:sz w:val="18"/>
          <w:szCs w:val="18"/>
          <w:color w:val="32406B"/>
        </w:rPr>
        <w:t>In addition, other legislative changes have been proposed and adopted in the United States since the ACA was enacted. These changes include the Budget Control Act of 2011, which, among other things, led to aggregate reductions to Medicare payments to providers of up to 2% per financial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In January 2013, the American Taxpayer Relief Act of 2012 was signed into law,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Further, in the United States, there has been heightened governmental scrutiny recently over the manner in which drug manufacturers set prices for their marketed products. For instance,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economically-comparable member country of the Organisation for Economic Co-operation and Development. The U.S. Congress has also continued to conduct inquiries into the prescription drug industry’s pricing practices. At the state level in the United States, legislatures are also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30</w:t>
      </w:r>
    </w:p>
    <w:p>
      <w:pPr>
        <w:sectPr>
          <w:pgSz w:w="11900" w:h="16838" w:orient="portrait"/>
          <w:cols w:equalWidth="0" w:num="1">
            <w:col w:w="11240"/>
          </w:cols>
          <w:pgMar w:left="32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increasingly passing legislation and states are implementing regulations designed to control spending on, and patient out of pocket costs for, drug products.</w:t>
      </w:r>
    </w:p>
    <w:p>
      <w:pPr>
        <w:spacing w:after="0" w:line="225"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7"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These efforts and other healthcare reform measures that may be adopted in the future may result in more rigorous coverage criteria and in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0"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Operations</w:t>
      </w:r>
    </w:p>
    <w:p>
      <w:pPr>
        <w:spacing w:after="0" w:line="117"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5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Because we have limited resources and access to capital to fund our operations, we must decide which product candidates to pursue and the amount of resources to allocate to each product candidate. As such, we are currently primarily focused on the development of PHVS416 and PHVS719.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293" w:lineRule="exact"/>
        <w:rPr>
          <w:sz w:val="20"/>
          <w:szCs w:val="20"/>
          <w:color w:val="auto"/>
        </w:rPr>
      </w:pPr>
    </w:p>
    <w:p>
      <w:pPr>
        <w:jc w:val="both"/>
        <w:ind w:left="46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we cannot manufacture our product candidates in sufficient amounts, with CDMOs or ourselves, at acceptable costs and on a timely basis, we may be unable to supply sufficient product candidates for preclinical or clinical trials or to support commercialization of our product candidates, if approved.</w:t>
      </w:r>
    </w:p>
    <w:p>
      <w:pPr>
        <w:spacing w:after="0" w:line="67"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32406B"/>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3"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In addition, we currently rely on a single CDMO for the production of certain of our product candidates and, as a result, face certain additional risks relating to our manufacturing operations. A single significant disruptive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31</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32406B"/>
        </w:rPr>
        <w:t>event at the manufacturing operations of our CDMO can have a material adverse effect on our business, prospects, financial condition and results of operations. In addition, our CDMO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 was unable to meet our demand for our product candidates or their services, we could experience delays in our research and development activities, planned clinical trials or commercialization of approved products. In the first quarter of 2021, we learned that our CDMO discovered a packaging issue with certain batches of packaging of soft capsules for our RAPIDe-1 trial. The CDMO is currently investigating the issue, and the start of the trial may be affected. We continue to anticipate that we will commence the RAPIDe-1 trial for on-demand treatment of HAE attacks in 2021 and that it will read out in 2022.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92"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32406B"/>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pacing w:after="0" w:line="1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expect that development of our own manufacturing facilities could provide us with enhanced control of material supply for our product candidates for the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7"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32406B"/>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Manufacturing issues may arise that could increase product and regulatory approval costs or delay commercialization of our products.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32</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32406B"/>
        </w:rPr>
        <w:t>increases in our operating expenses, or failure to obtain or maintain approval for our products. Our reliance on third-party manufacturers entails risks, including the following:</w:t>
      </w:r>
    </w:p>
    <w:p>
      <w:pPr>
        <w:spacing w:after="0" w:line="67" w:lineRule="exact"/>
        <w:rPr>
          <w:sz w:val="20"/>
          <w:szCs w:val="20"/>
          <w:color w:val="auto"/>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inability to meet our product specifications, including product formulation, and quality requirements consistently;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delay or inability to procure or expand sufficient manufacturing capacity;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manufacturing and product quality issues, including those related to scale-up of manufacturing;</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failure to comply with cGMP and similar quality standards;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termination or nonrenewal of manufacturing agreements with third parties in a manner or at a time that is costly or damaging to us;</w:t>
      </w:r>
    </w:p>
    <w:p>
      <w:pPr>
        <w:spacing w:after="0" w:line="130" w:lineRule="exact"/>
        <w:rPr>
          <w:rFonts w:ascii="Times New Roman" w:cs="Times New Roman" w:eastAsia="Times New Roman" w:hAnsi="Times New Roman"/>
          <w:sz w:val="18"/>
          <w:szCs w:val="18"/>
          <w:color w:val="32406B"/>
        </w:rPr>
      </w:pPr>
    </w:p>
    <w:p>
      <w:pPr>
        <w:ind w:left="1000" w:right="220" w:hanging="547"/>
        <w:spacing w:after="0" w:line="282" w:lineRule="auto"/>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operations of our third-party manufacturers or suppliers could be disrupted by conditions unrelated to our business or operations, including the bankruptcy of the manufacturer or supplier;</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carrier disruptions or increased costs that are beyond our control;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failure to deliver our products under specified storage conditions and in a timely manner.</w:t>
      </w:r>
    </w:p>
    <w:p>
      <w:pPr>
        <w:spacing w:after="0" w:line="225" w:lineRule="exact"/>
        <w:rPr>
          <w:sz w:val="20"/>
          <w:szCs w:val="20"/>
          <w:color w:val="auto"/>
        </w:rPr>
      </w:pPr>
    </w:p>
    <w:p>
      <w:pPr>
        <w:ind w:right="400" w:firstLine="449"/>
        <w:spacing w:after="0" w:line="266" w:lineRule="auto"/>
        <w:rPr>
          <w:sz w:val="20"/>
          <w:szCs w:val="20"/>
          <w:color w:val="auto"/>
        </w:rPr>
      </w:pPr>
      <w:r>
        <w:rPr>
          <w:rFonts w:ascii="Times New Roman" w:cs="Times New Roman" w:eastAsia="Times New Roman" w:hAnsi="Times New Roman"/>
          <w:sz w:val="18"/>
          <w:szCs w:val="18"/>
          <w:color w:val="32406B"/>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280" w:lineRule="exact"/>
        <w:rPr>
          <w:sz w:val="20"/>
          <w:szCs w:val="20"/>
          <w:color w:val="auto"/>
        </w:rPr>
      </w:pPr>
    </w:p>
    <w:p>
      <w:pPr>
        <w:ind w:left="46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Our third-party manufacturers or suppliers may use potent chemical agents and hazardous materials, and any claims relating to improper handling, storage or disposal of these materials could be time consuming or costly.</w:t>
      </w:r>
    </w:p>
    <w:p>
      <w:pPr>
        <w:spacing w:after="0" w:line="51" w:lineRule="exact"/>
        <w:rPr>
          <w:sz w:val="20"/>
          <w:szCs w:val="20"/>
          <w:color w:val="auto"/>
        </w:rPr>
      </w:pPr>
    </w:p>
    <w:p>
      <w:pPr>
        <w:ind w:right="40" w:firstLine="449"/>
        <w:spacing w:after="0" w:line="273" w:lineRule="auto"/>
        <w:rPr>
          <w:sz w:val="20"/>
          <w:szCs w:val="20"/>
          <w:color w:val="auto"/>
        </w:rPr>
      </w:pPr>
      <w:r>
        <w:rPr>
          <w:rFonts w:ascii="Times New Roman" w:cs="Times New Roman" w:eastAsia="Times New Roman" w:hAnsi="Times New Roman"/>
          <w:sz w:val="17"/>
          <w:szCs w:val="17"/>
          <w:color w:val="32406B"/>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71"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284" w:lineRule="exact"/>
        <w:rPr>
          <w:sz w:val="20"/>
          <w:szCs w:val="20"/>
          <w:color w:val="auto"/>
        </w:rPr>
      </w:pPr>
    </w:p>
    <w:p>
      <w:pPr>
        <w:ind w:left="46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32406B"/>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 unable to generate or maintain access to essential patient samples or data for our research and development and manufacturing activities for our programs, our business could be materially adversely affected.</w:t>
      </w:r>
    </w:p>
    <w:p>
      <w:pPr>
        <w:spacing w:after="0" w:line="75"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As a result of our clinical development, we will have access to very sensitive data regarding the patients enrolled in our clinical trials, and our current and future product candidates will rely on the use of patient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33</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32406B"/>
        </w:rPr>
        <w:t>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 Health Insurance Portability and Accountability Act, or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92"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32406B"/>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the CJEU, declared the Privacy Shield to be invalid. The CJEU upheld the validity of the standard contractual clauses, or SCCs, as a legal mechanism to transfer personal data but companies relying on SCCs will—subject to additional guidance from regulators in the EEA– need to evaluate and implement supplementary measures that provide privacy protections additional to those provided under SCCs. In turn, the findings of the CJEU will have significant implications for cross-border data flows. Further, the GDPR provides that countries in the EEA may establish their own laws and regulations further restricting the processing of certain personal data, including genetic data, biometric data, and health data.</w:t>
      </w:r>
    </w:p>
    <w:p>
      <w:pPr>
        <w:spacing w:after="0" w:line="19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94"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32406B"/>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34</w:t>
      </w:r>
    </w:p>
    <w:p>
      <w:pPr>
        <w:sectPr>
          <w:pgSz w:w="11900" w:h="16838" w:orient="portrait"/>
          <w:cols w:equalWidth="0" w:num="1">
            <w:col w:w="11220"/>
          </w:cols>
          <w:pgMar w:left="320" w:top="455" w:right="3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32406B"/>
        </w:rPr>
        <w:t>compensation claims for financial or non-financial loss by affected individuals, negative publicity, reputational harm and a potential loss of business and goodwill.</w:t>
      </w:r>
    </w:p>
    <w:p>
      <w:pPr>
        <w:spacing w:after="0" w:line="162"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32406B"/>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291" w:lineRule="exact"/>
        <w:rPr>
          <w:sz w:val="20"/>
          <w:szCs w:val="20"/>
          <w:color w:val="auto"/>
        </w:rPr>
      </w:pPr>
    </w:p>
    <w:p>
      <w:pPr>
        <w:ind w:left="46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are a party to certain agreements, including clinical trial agreements and licensing agreements that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 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the Commercialization of Our Product Candidates</w:t>
      </w:r>
    </w:p>
    <w:p>
      <w:pPr>
        <w:spacing w:after="0" w:line="117" w:lineRule="exact"/>
        <w:rPr>
          <w:sz w:val="20"/>
          <w:szCs w:val="20"/>
          <w:color w:val="auto"/>
        </w:rPr>
      </w:pPr>
    </w:p>
    <w:p>
      <w:pPr>
        <w:ind w:left="46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we are unable to commercialize our product candidates PHVS416 and PHVS719 or any other product candidates that we may pursue, or experience significant delays in doing so, our business, financial condition, results of operations and prospects would be materially adversely affected.</w:t>
      </w:r>
    </w:p>
    <w:p>
      <w:pPr>
        <w:spacing w:after="0" w:line="67"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32406B"/>
        </w:rPr>
        <w:t>We do not expect to generate product revenues in the foreseeable future. If our product candidates PHVS416 and PHVS719 or any other program that we may pursue fails, we will have to develop, acquire or license new programs. Our product candidates, as well as any other programs we may pursue, could be unsuccessful if they:</w:t>
      </w:r>
    </w:p>
    <w:p>
      <w:pPr>
        <w:spacing w:after="0" w:line="81" w:lineRule="exact"/>
        <w:rPr>
          <w:sz w:val="20"/>
          <w:szCs w:val="20"/>
          <w:color w:val="auto"/>
        </w:rPr>
      </w:pPr>
    </w:p>
    <w:p>
      <w:pPr>
        <w:ind w:left="1000" w:right="620" w:hanging="547"/>
        <w:spacing w:after="0" w:line="282" w:lineRule="auto"/>
        <w:tabs>
          <w:tab w:leader="none" w:pos="1000" w:val="left"/>
        </w:tabs>
        <w:numPr>
          <w:ilvl w:val="0"/>
          <w:numId w:val="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do not demonstrate acceptable safety or efficacy in preclinical studies or clinical trials or otherwise do not meet applicable regulatory standards for approval;</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generate unacceptable adverse side effects;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do not offer therapeutic or other improvements over existing or future products used to treat the same conditions;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are not accepted in the medical community or by insurers, either public or private; or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are not capable of being produced and delivered to patients in commercial quantities at acceptable costs.</w:t>
      </w:r>
    </w:p>
    <w:p>
      <w:pPr>
        <w:spacing w:after="0" w:line="225"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The results of the research and trials to date cannot provide assurance that acceptable efficacy or safety will be shown upon completion of ongoing or planned clinical trials. Also, the results obtained in our PHA-0221121-C001 and PHA-022121-C002 clinical trials may not be comparable to results that may be produced during the further development of our PHA121-containing product candidates.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35</w:t>
      </w:r>
    </w:p>
    <w:p>
      <w:pPr>
        <w:sectPr>
          <w:pgSz w:w="11900" w:h="16838" w:orient="portrait"/>
          <w:cols w:equalWidth="0" w:num="1">
            <w:col w:w="11220"/>
          </w:cols>
          <w:pgMar w:left="320" w:top="455" w:right="3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The market opportunities for our product candidates may be smaller than currently anticipated, lowering our potential revenue.</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 Moreover, if we are successful in developing both PHVS416 and PHVS719, we cannot accurately predict the proportion of patients choosing prophylactic or on-demand only treatment regimens.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Use of our product candidates could be associated with side effects or adverse events.</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preclinical or clinical trials regarding the safety of our product candidates, which we have not planned or anticipated.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291" w:lineRule="exact"/>
        <w:rPr>
          <w:sz w:val="20"/>
          <w:szCs w:val="20"/>
          <w:color w:val="auto"/>
        </w:rPr>
      </w:pPr>
    </w:p>
    <w:p>
      <w:pPr>
        <w:ind w:left="46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Even if any of our product candidates receives marketing approval, we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89" w:lineRule="exact"/>
        <w:rPr>
          <w:sz w:val="20"/>
          <w:szCs w:val="20"/>
          <w:color w:val="auto"/>
        </w:rPr>
      </w:pPr>
    </w:p>
    <w:p>
      <w:pPr>
        <w:ind w:left="1000" w:hanging="547"/>
        <w:spacing w:after="0"/>
        <w:tabs>
          <w:tab w:leader="none" w:pos="1000" w:val="left"/>
        </w:tabs>
        <w:numPr>
          <w:ilvl w:val="0"/>
          <w:numId w:val="2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demonstration of clinical efficacy and safety compared to other more-established products;</w:t>
      </w:r>
    </w:p>
    <w:p>
      <w:pPr>
        <w:spacing w:after="0" w:line="130" w:lineRule="exact"/>
        <w:rPr>
          <w:rFonts w:ascii="Times New Roman" w:cs="Times New Roman" w:eastAsia="Times New Roman" w:hAnsi="Times New Roman"/>
          <w:sz w:val="18"/>
          <w:szCs w:val="18"/>
          <w:color w:val="32406B"/>
        </w:rPr>
      </w:pPr>
    </w:p>
    <w:p>
      <w:pPr>
        <w:ind w:left="5540" w:right="1760" w:hanging="5087"/>
        <w:spacing w:after="0" w:line="454" w:lineRule="auto"/>
        <w:tabs>
          <w:tab w:leader="none" w:pos="1013" w:val="left"/>
        </w:tabs>
        <w:numPr>
          <w:ilvl w:val="0"/>
          <w:numId w:val="2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limitation of our targeted patient population and other limitations or warnings contained in any approved labeling; 36</w:t>
      </w:r>
    </w:p>
    <w:p>
      <w:pPr>
        <w:sectPr>
          <w:pgSz w:w="11900" w:h="16838" w:orient="portrait"/>
          <w:cols w:equalWidth="0" w:num="1">
            <w:col w:w="11240"/>
          </w:cols>
          <w:pgMar w:left="320" w:top="455"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acceptance of a new drug for the relevant indication by healthcare providers and their patients;</w:t>
      </w:r>
    </w:p>
    <w:p>
      <w:pPr>
        <w:spacing w:after="0" w:line="130" w:lineRule="exact"/>
        <w:rPr>
          <w:rFonts w:ascii="Times New Roman" w:cs="Times New Roman" w:eastAsia="Times New Roman" w:hAnsi="Times New Roman"/>
          <w:sz w:val="18"/>
          <w:szCs w:val="18"/>
          <w:color w:val="32406B"/>
        </w:rPr>
      </w:pPr>
    </w:p>
    <w:p>
      <w:pPr>
        <w:ind w:left="1000" w:right="160" w:hanging="547"/>
        <w:spacing w:after="0" w:line="282" w:lineRule="auto"/>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pricing and cost-effectiveness of our products, as well as the cost of treatment with our products in relation to alternative treatments and therapies;</w:t>
      </w:r>
    </w:p>
    <w:p>
      <w:pPr>
        <w:spacing w:after="0" w:line="67"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obtain and maintain sufficient third-party coverage and adequate reimbursement from government healthcare programs, private health insurers and other third-party payors;</w:t>
      </w:r>
    </w:p>
    <w:p>
      <w:pPr>
        <w:spacing w:after="0" w:line="67" w:lineRule="exact"/>
        <w:rPr>
          <w:rFonts w:ascii="Times New Roman" w:cs="Times New Roman" w:eastAsia="Times New Roman" w:hAnsi="Times New Roman"/>
          <w:sz w:val="18"/>
          <w:szCs w:val="18"/>
          <w:color w:val="32406B"/>
        </w:rPr>
      </w:pPr>
    </w:p>
    <w:p>
      <w:pPr>
        <w:ind w:left="1000" w:right="120" w:hanging="547"/>
        <w:spacing w:after="0" w:line="282" w:lineRule="auto"/>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willingness of patients to pay all, or a portion of, out-of-pocket costs associated with our products in the absence of sufficient third-party coverage and adequate reimbursement;</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any restrictions on the use of our products, and the prevalence and severity of any adverse effects;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timing of market introduction of our products as well as competitive drugs;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effectiveness of our or any of our potential future collaborators’ sales and commercialization strategies;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unfavorable publicity relating to the product.</w:t>
      </w:r>
    </w:p>
    <w:p>
      <w:pPr>
        <w:spacing w:after="0" w:line="22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32406B"/>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284"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right="140" w:firstLine="449"/>
        <w:spacing w:after="0" w:line="256" w:lineRule="auto"/>
        <w:rPr>
          <w:sz w:val="20"/>
          <w:szCs w:val="20"/>
          <w:color w:val="auto"/>
        </w:rPr>
      </w:pPr>
      <w:r>
        <w:rPr>
          <w:rFonts w:ascii="Times New Roman" w:cs="Times New Roman" w:eastAsia="Times New Roman" w:hAnsi="Times New Roman"/>
          <w:sz w:val="18"/>
          <w:szCs w:val="18"/>
          <w:color w:val="32406B"/>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“Business—Competition,”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right="40" w:firstLine="449"/>
        <w:spacing w:after="0" w:line="273" w:lineRule="auto"/>
        <w:rPr>
          <w:sz w:val="20"/>
          <w:szCs w:val="20"/>
          <w:color w:val="auto"/>
        </w:rPr>
      </w:pPr>
      <w:r>
        <w:rPr>
          <w:rFonts w:ascii="Times New Roman" w:cs="Times New Roman" w:eastAsia="Times New Roman" w:hAnsi="Times New Roman"/>
          <w:sz w:val="17"/>
          <w:szCs w:val="17"/>
          <w:color w:val="32406B"/>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7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Many of the companies against which we are competing or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 stage companies may also prove to be significant competitors, particularly through collaborative arrangements with large and established</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37</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32406B"/>
        </w:rPr>
        <w:t>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encounter difficulties in managing our growth and expanding our operations successfully.</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32406B"/>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 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PHVS416 and PHVS719, could adversely affect our business, financial condition, results of operations or prospects.</w:t>
      </w:r>
    </w:p>
    <w:p>
      <w:pPr>
        <w:spacing w:after="0" w:line="296" w:lineRule="exact"/>
        <w:rPr>
          <w:sz w:val="20"/>
          <w:szCs w:val="20"/>
          <w:color w:val="auto"/>
        </w:rPr>
      </w:pPr>
    </w:p>
    <w:p>
      <w:pPr>
        <w:ind w:left="4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Governments and/or pricing authorities, especially in the European Union, often impose strict price and access controls, which may adversely affect our future profitability.</w:t>
      </w:r>
    </w:p>
    <w:p>
      <w:pPr>
        <w:spacing w:after="0" w:line="51"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32406B"/>
        </w:rPr>
        <w:t>In some markets, especially in the European Union, prescription drug pricing is subject to governmental/pricing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80"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32406B"/>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results of operations and our ability to raise funds.</w:t>
      </w:r>
    </w:p>
    <w:p>
      <w:pPr>
        <w:spacing w:after="0" w:line="280" w:lineRule="exact"/>
        <w:rPr>
          <w:sz w:val="20"/>
          <w:szCs w:val="20"/>
          <w:color w:val="auto"/>
        </w:rPr>
      </w:pPr>
    </w:p>
    <w:p>
      <w:pPr>
        <w:ind w:left="46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51" w:lineRule="exact"/>
        <w:rPr>
          <w:sz w:val="20"/>
          <w:szCs w:val="20"/>
          <w:color w:val="auto"/>
        </w:rPr>
      </w:pPr>
    </w:p>
    <w:p>
      <w:pPr>
        <w:ind w:right="440" w:firstLine="449"/>
        <w:spacing w:after="0" w:line="256" w:lineRule="auto"/>
        <w:rPr>
          <w:sz w:val="20"/>
          <w:szCs w:val="20"/>
          <w:color w:val="auto"/>
        </w:rPr>
      </w:pPr>
      <w:r>
        <w:rPr>
          <w:rFonts w:ascii="Times New Roman" w:cs="Times New Roman" w:eastAsia="Times New Roman" w:hAnsi="Times New Roman"/>
          <w:sz w:val="18"/>
          <w:szCs w:val="18"/>
          <w:color w:val="32406B"/>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38</w:t>
      </w:r>
    </w:p>
    <w:p>
      <w:pPr>
        <w:sectPr>
          <w:pgSz w:w="11900" w:h="16838" w:orient="portrait"/>
          <w:cols w:equalWidth="0" w:num="1">
            <w:col w:w="11240"/>
          </w:cols>
          <w:pgMar w:left="320" w:top="455"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32406B"/>
        </w:rPr>
        <w:t>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76"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32406B"/>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32406B"/>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87"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80" w:lineRule="exact"/>
        <w:rPr>
          <w:sz w:val="20"/>
          <w:szCs w:val="20"/>
          <w:color w:val="auto"/>
        </w:rPr>
      </w:pPr>
    </w:p>
    <w:p>
      <w:pPr>
        <w:ind w:left="460" w:right="130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may become exposed to costly and damaging liability claims, either when testing our product candidates in the clinic or after commercialization; and our product liability insurance may not cover all damages from such claims.</w:t>
      </w:r>
    </w:p>
    <w:p>
      <w:pPr>
        <w:spacing w:after="0" w:line="5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97" w:lineRule="exact"/>
        <w:rPr>
          <w:sz w:val="20"/>
          <w:szCs w:val="20"/>
          <w:color w:val="auto"/>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delay or termination of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injury to our reputation and negative publicity;</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withdrawal of clinical trial participants, patients or clinical investigators;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initiation of investigations by regulators or ethics committees;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costs to defend the related litigation;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39</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diversion of management’s time and our resources;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substantial monetary awards to trial participants or patients;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decreased demand for our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product recalls or withdrawals, or labeling, marketing or promotional restrictions;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loss of revenues from product sales;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inability to commercialize any of our product candidates, if approved;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2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decline in the price of our ordinary shares.</w:t>
      </w:r>
    </w:p>
    <w:p>
      <w:pPr>
        <w:spacing w:after="0" w:line="225" w:lineRule="exact"/>
        <w:rPr>
          <w:sz w:val="20"/>
          <w:szCs w:val="20"/>
          <w:color w:val="auto"/>
        </w:rPr>
      </w:pPr>
    </w:p>
    <w:p>
      <w:pPr>
        <w:ind w:right="20" w:firstLine="449"/>
        <w:spacing w:after="0" w:line="281" w:lineRule="auto"/>
        <w:rPr>
          <w:sz w:val="20"/>
          <w:szCs w:val="20"/>
          <w:color w:val="auto"/>
        </w:rPr>
      </w:pPr>
      <w:r>
        <w:rPr>
          <w:rFonts w:ascii="Times New Roman" w:cs="Times New Roman" w:eastAsia="Times New Roman" w:hAnsi="Times New Roman"/>
          <w:sz w:val="17"/>
          <w:szCs w:val="17"/>
          <w:color w:val="32406B"/>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4"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84" w:lineRule="exact"/>
        <w:rPr>
          <w:sz w:val="20"/>
          <w:szCs w:val="20"/>
          <w:color w:val="auto"/>
        </w:rPr>
      </w:pPr>
    </w:p>
    <w:p>
      <w:pPr>
        <w:ind w:left="4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Reliance on Third Parties and Key Personnel</w:t>
      </w:r>
    </w:p>
    <w:p>
      <w:pPr>
        <w:spacing w:after="0" w:line="117" w:lineRule="exact"/>
        <w:rPr>
          <w:sz w:val="20"/>
          <w:szCs w:val="20"/>
          <w:color w:val="auto"/>
        </w:rPr>
      </w:pPr>
    </w:p>
    <w:p>
      <w:pPr>
        <w:ind w:left="46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7"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32406B"/>
        </w:rPr>
        <w:t>We rely on CROs, independent clinical investigators, clinical data management organizations, consultants and other third-party firms to design, conduct, supervise and monitor clinical trials. We and these third parties are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40</w:t>
      </w:r>
    </w:p>
    <w:p>
      <w:pPr>
        <w:sectPr>
          <w:pgSz w:w="11900" w:h="16838" w:orient="portrait"/>
          <w:cols w:equalWidth="0" w:num="1">
            <w:col w:w="11180"/>
          </w:cols>
          <w:pgMar w:left="320" w:top="455" w:right="3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32406B"/>
        </w:rPr>
        <w:t>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 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preclinical and clinical trials, which would delay the regulatory approval process.</w:t>
      </w:r>
    </w:p>
    <w:p>
      <w:pPr>
        <w:spacing w:after="0" w:line="19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Third-party staff are not our employees and, except for remedies available to us under our agreements with such third parties, we cannot control whether or not they devote sufficient time and resources to our ongoing clinical and preclinical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92"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32406B"/>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28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41</w:t>
      </w:r>
    </w:p>
    <w:p>
      <w:pPr>
        <w:sectPr>
          <w:pgSz w:w="11900" w:h="16838" w:orient="portrait"/>
          <w:cols w:equalWidth="0" w:num="1">
            <w:col w:w="11240"/>
          </w:cols>
          <w:pgMar w:left="320" w:top="455"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32406B"/>
        </w:rPr>
        <w:t>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301" w:lineRule="exact"/>
        <w:rPr>
          <w:sz w:val="20"/>
          <w:szCs w:val="20"/>
          <w:color w:val="auto"/>
        </w:rPr>
      </w:pPr>
    </w:p>
    <w:p>
      <w:pPr>
        <w:ind w:left="46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6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reliance on third parties may pose the following risks to us:</w:t>
      </w:r>
    </w:p>
    <w:p>
      <w:pPr>
        <w:spacing w:after="0" w:line="131" w:lineRule="exact"/>
        <w:rPr>
          <w:sz w:val="20"/>
          <w:szCs w:val="20"/>
          <w:color w:val="auto"/>
        </w:rPr>
      </w:pPr>
    </w:p>
    <w:p>
      <w:pPr>
        <w:ind w:left="1000" w:hanging="547"/>
        <w:spacing w:after="0" w:line="282"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third parties have significant discretion in determining the efforts and resources that they will apply to our development programs and product candidates;</w:t>
      </w:r>
    </w:p>
    <w:p>
      <w:pPr>
        <w:spacing w:after="0" w:line="67" w:lineRule="exact"/>
        <w:rPr>
          <w:rFonts w:ascii="Times New Roman" w:cs="Times New Roman" w:eastAsia="Times New Roman" w:hAnsi="Times New Roman"/>
          <w:sz w:val="18"/>
          <w:szCs w:val="18"/>
          <w:color w:val="32406B"/>
        </w:rPr>
      </w:pPr>
    </w:p>
    <w:p>
      <w:pPr>
        <w:ind w:left="1000" w:right="420" w:hanging="547"/>
        <w:spacing w:after="0" w:line="282"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third parties could independently develop, supply, manufacture, commercialize or collaborate with additional third parties, products that compete directly or indirectly with our product candidates;</w:t>
      </w:r>
    </w:p>
    <w:p>
      <w:pPr>
        <w:spacing w:after="0" w:line="67" w:lineRule="exact"/>
        <w:rPr>
          <w:rFonts w:ascii="Times New Roman" w:cs="Times New Roman" w:eastAsia="Times New Roman" w:hAnsi="Times New Roman"/>
          <w:sz w:val="18"/>
          <w:szCs w:val="18"/>
          <w:color w:val="32406B"/>
        </w:rPr>
      </w:pPr>
    </w:p>
    <w:p>
      <w:pPr>
        <w:ind w:left="1000" w:hanging="547"/>
        <w:spacing w:after="0" w:line="266"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81" w:lineRule="exact"/>
        <w:rPr>
          <w:rFonts w:ascii="Times New Roman" w:cs="Times New Roman" w:eastAsia="Times New Roman" w:hAnsi="Times New Roman"/>
          <w:sz w:val="18"/>
          <w:szCs w:val="18"/>
          <w:color w:val="32406B"/>
        </w:rPr>
      </w:pPr>
    </w:p>
    <w:p>
      <w:pPr>
        <w:ind w:left="1000" w:right="260" w:hanging="547"/>
        <w:spacing w:after="0" w:line="282"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disputes may arise with respect to ownership of any intellectual property developed pursuant to our collaborations and activities with third parties;</w:t>
      </w:r>
    </w:p>
    <w:p>
      <w:pPr>
        <w:spacing w:after="0" w:line="67" w:lineRule="exact"/>
        <w:rPr>
          <w:rFonts w:ascii="Times New Roman" w:cs="Times New Roman" w:eastAsia="Times New Roman" w:hAnsi="Times New Roman"/>
          <w:sz w:val="18"/>
          <w:szCs w:val="18"/>
          <w:color w:val="32406B"/>
        </w:rPr>
      </w:pPr>
    </w:p>
    <w:p>
      <w:pPr>
        <w:ind w:left="1000" w:right="140" w:hanging="547"/>
        <w:spacing w:after="0" w:line="266"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disputes may arise between us and our third 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81" w:lineRule="exact"/>
        <w:rPr>
          <w:rFonts w:ascii="Times New Roman" w:cs="Times New Roman" w:eastAsia="Times New Roman" w:hAnsi="Times New Roman"/>
          <w:sz w:val="18"/>
          <w:szCs w:val="18"/>
          <w:color w:val="32406B"/>
        </w:rPr>
      </w:pPr>
    </w:p>
    <w:p>
      <w:pPr>
        <w:ind w:left="1000" w:right="80" w:hanging="547"/>
        <w:spacing w:after="0" w:line="282" w:lineRule="auto"/>
        <w:tabs>
          <w:tab w:leader="none" w:pos="1000" w:val="left"/>
        </w:tabs>
        <w:numPr>
          <w:ilvl w:val="0"/>
          <w:numId w:val="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42</w:t>
      </w:r>
    </w:p>
    <w:p>
      <w:pPr>
        <w:sectPr>
          <w:pgSz w:w="11900" w:h="16838" w:orient="portrait"/>
          <w:cols w:equalWidth="0" w:num="1">
            <w:col w:w="11220"/>
          </w:cols>
          <w:pgMar w:left="320" w:top="455" w:right="3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As a result, if any third-parties upon which we are dependent fail or are unable to perform, our development programs and candidate products could be materially adversely affected.</w:t>
      </w:r>
    </w:p>
    <w:p>
      <w:pPr>
        <w:spacing w:after="0" w:line="266"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may be unable to enter into or maintain strategic alliances or collaborations which could affect our ability to commercialize our product candidates, if approved.</w:t>
      </w:r>
    </w:p>
    <w:p>
      <w:pPr>
        <w:spacing w:after="0" w:line="51"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Intellectual Property</w:t>
      </w:r>
    </w:p>
    <w:p>
      <w:pPr>
        <w:spacing w:after="0" w:line="117" w:lineRule="exact"/>
        <w:rPr>
          <w:sz w:val="20"/>
          <w:szCs w:val="20"/>
          <w:color w:val="auto"/>
        </w:rPr>
      </w:pPr>
    </w:p>
    <w:p>
      <w:pPr>
        <w:ind w:left="4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we fail to make required payments to AnalytiCon pursuant to the agreements pursuant to which we acquired certain of our core intellectual property or are otherwise in material breach of such agreements (and fail to cure such breaches within a specified time period), AnalytiCon may exercise remedies pursuant to such agreements that would materially and adversely affect our business and results of operations.</w:t>
      </w:r>
    </w:p>
    <w:p>
      <w:pPr>
        <w:spacing w:after="0" w:line="6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Certain intellectual property that is core to our business has been invented by AnalytiCon and contractually assigned to us by AnalytiCon, with whom we continue to collaborate for the development of our product candidates. We owe AnalytiCon milestone payments contingent on our achievement of certain clinical development and regulatory events, as well as royalties and milestone payments based on sales of such product candidates. If we fail to make such payments to AnalytiCon or are otherwise in material breach of certain agreements that we entered into with AnalytiCon (and fail to cure such breaches within a specified time period), and AnalytiCon exercises contractual remedies available to it under such agreements, then we may be required to grant AnalytiCon an exclusive license to the intellectual property that it assigned to us for use in all applications, including HAE. In addition, we could be prevented from competing with AnalytiCon until five years after the commercial launch of any product candidates containing a compound from the OB2RA Class. If we failed to make such payments and AnalytiCon were to exercise such remedies, we would not be able to continue our current development program or commercialize our product candidates and our business and results of operations would be materially and adversely affected. For a description of our arrangement with AnalytiCon, please see “Business—License Agreement.”</w:t>
      </w:r>
    </w:p>
    <w:p>
      <w:pPr>
        <w:spacing w:after="0" w:line="298" w:lineRule="exact"/>
        <w:rPr>
          <w:sz w:val="20"/>
          <w:szCs w:val="20"/>
          <w:color w:val="auto"/>
        </w:rPr>
      </w:pPr>
    </w:p>
    <w:p>
      <w:pPr>
        <w:ind w:left="46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32406B"/>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72" w:lineRule="exact"/>
        <w:rPr>
          <w:sz w:val="20"/>
          <w:szCs w:val="20"/>
          <w:color w:val="auto"/>
        </w:rPr>
      </w:pPr>
    </w:p>
    <w:p>
      <w:pPr>
        <w:jc w:val="both"/>
        <w:ind w:right="60" w:firstLine="449"/>
        <w:spacing w:after="0" w:line="258" w:lineRule="auto"/>
        <w:rPr>
          <w:sz w:val="20"/>
          <w:szCs w:val="20"/>
          <w:color w:val="auto"/>
        </w:rPr>
      </w:pPr>
      <w:r>
        <w:rPr>
          <w:rFonts w:ascii="Times New Roman" w:cs="Times New Roman" w:eastAsia="Times New Roman" w:hAnsi="Times New Roman"/>
          <w:sz w:val="18"/>
          <w:szCs w:val="18"/>
          <w:color w:val="32406B"/>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43</w:t>
      </w:r>
    </w:p>
    <w:p>
      <w:pPr>
        <w:sectPr>
          <w:pgSz w:w="11900" w:h="16838" w:orient="portrait"/>
          <w:cols w:equalWidth="0" w:num="1">
            <w:col w:w="11240"/>
          </w:cols>
          <w:pgMar w:left="32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32406B"/>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67" w:lineRule="exact"/>
        <w:rPr>
          <w:sz w:val="20"/>
          <w:szCs w:val="20"/>
          <w:color w:val="auto"/>
        </w:rPr>
      </w:pPr>
    </w:p>
    <w:p>
      <w:pPr>
        <w:ind w:left="1000" w:right="80" w:hanging="547"/>
        <w:spacing w:after="0" w:line="266" w:lineRule="auto"/>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United States Patent and Trademark Office, or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1"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patent applications may not result in any patents being issued;</w:t>
      </w:r>
    </w:p>
    <w:p>
      <w:pPr>
        <w:spacing w:after="0" w:line="130" w:lineRule="exact"/>
        <w:rPr>
          <w:rFonts w:ascii="Times New Roman" w:cs="Times New Roman" w:eastAsia="Times New Roman" w:hAnsi="Times New Roman"/>
          <w:sz w:val="18"/>
          <w:szCs w:val="18"/>
          <w:color w:val="32406B"/>
        </w:rPr>
      </w:pPr>
    </w:p>
    <w:p>
      <w:pPr>
        <w:ind w:left="1000" w:right="500" w:hanging="547"/>
        <w:spacing w:after="0" w:line="282" w:lineRule="auto"/>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patents may be challenged, invalidated, modified, revoked, circumvented, found to be unenforceable or otherwise may not provide any competitive advantage;</w:t>
      </w:r>
    </w:p>
    <w:p>
      <w:pPr>
        <w:spacing w:after="0" w:line="67" w:lineRule="exact"/>
        <w:rPr>
          <w:rFonts w:ascii="Times New Roman" w:cs="Times New Roman" w:eastAsia="Times New Roman" w:hAnsi="Times New Roman"/>
          <w:sz w:val="18"/>
          <w:szCs w:val="18"/>
          <w:color w:val="32406B"/>
        </w:rPr>
      </w:pPr>
    </w:p>
    <w:p>
      <w:pPr>
        <w:ind w:left="1000" w:right="240" w:hanging="547"/>
        <w:spacing w:after="0" w:line="266" w:lineRule="auto"/>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81" w:lineRule="exact"/>
        <w:rPr>
          <w:rFonts w:ascii="Times New Roman" w:cs="Times New Roman" w:eastAsia="Times New Roman" w:hAnsi="Times New Roman"/>
          <w:sz w:val="18"/>
          <w:szCs w:val="18"/>
          <w:color w:val="32406B"/>
        </w:rPr>
      </w:pPr>
    </w:p>
    <w:p>
      <w:pPr>
        <w:ind w:left="1000" w:right="160" w:hanging="547"/>
        <w:spacing w:after="0" w:line="266" w:lineRule="auto"/>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1" w:lineRule="exact"/>
        <w:rPr>
          <w:rFonts w:ascii="Times New Roman" w:cs="Times New Roman" w:eastAsia="Times New Roman" w:hAnsi="Times New Roman"/>
          <w:sz w:val="18"/>
          <w:szCs w:val="18"/>
          <w:color w:val="32406B"/>
        </w:rPr>
      </w:pPr>
    </w:p>
    <w:p>
      <w:pPr>
        <w:ind w:left="1000" w:right="300" w:hanging="547"/>
        <w:spacing w:after="0" w:line="282" w:lineRule="auto"/>
        <w:tabs>
          <w:tab w:leader="none" w:pos="1000" w:val="left"/>
        </w:tabs>
        <w:numPr>
          <w:ilvl w:val="0"/>
          <w:numId w:val="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countries other than the United States may have patent laws less favorable to patentees than those upheld by U.S. courts, allowing foreign competitors a better opportunity to create, develop and market competing products.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If we or any third parties that develop or create any intellectual property for us are unable to secure necessary assignments or rights, then our rights to such intellectual property, and ultimately our ability to protect our candidate products, may be adversely affected.</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that we may own in the future, if any), or that we were the first to file for patent protection of such inventions.</w:t>
      </w:r>
    </w:p>
    <w:p>
      <w:pPr>
        <w:spacing w:after="0" w:line="292" w:lineRule="exact"/>
        <w:rPr>
          <w:sz w:val="20"/>
          <w:szCs w:val="20"/>
          <w:color w:val="auto"/>
        </w:rPr>
      </w:pPr>
    </w:p>
    <w:p>
      <w:pPr>
        <w:ind w:left="4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The duration and scope of any patents we are issued in the future (if any) or the patent rights of our licensors or collaborators may not be sufficient to effectively protect our product candidates and business.</w:t>
      </w:r>
    </w:p>
    <w:p>
      <w:pPr>
        <w:spacing w:after="0" w:line="51"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32406B"/>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44</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third parties. Consequently, we do not know whether our product candidates will be protectable by valid and enforceable patents.</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83"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32406B"/>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3"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In addition, patents have a limited lifespan. For example, if renewal fees are paid timely,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95"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32406B"/>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45</w:t>
      </w:r>
    </w:p>
    <w:p>
      <w:pPr>
        <w:sectPr>
          <w:pgSz w:w="11900" w:h="16838" w:orient="portrait"/>
          <w:cols w:equalWidth="0" w:num="1">
            <w:col w:w="11220"/>
          </w:cols>
          <w:pgMar w:left="320" w:top="455"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Patents covering our technology and product candidates that may be issued (if any) could be found invalid or unenforceable if challenged in court or an issuing body.</w:t>
      </w:r>
    </w:p>
    <w:p>
      <w:pPr>
        <w:spacing w:after="0" w:line="5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80" w:lineRule="exact"/>
        <w:rPr>
          <w:sz w:val="20"/>
          <w:szCs w:val="20"/>
          <w:color w:val="auto"/>
        </w:rPr>
      </w:pPr>
    </w:p>
    <w:p>
      <w:pPr>
        <w:ind w:right="40" w:firstLine="449"/>
        <w:spacing w:after="0" w:line="252" w:lineRule="auto"/>
        <w:rPr>
          <w:sz w:val="20"/>
          <w:szCs w:val="20"/>
          <w:color w:val="auto"/>
        </w:rPr>
      </w:pPr>
      <w:r>
        <w:rPr>
          <w:rFonts w:ascii="Times New Roman" w:cs="Times New Roman" w:eastAsia="Times New Roman" w:hAnsi="Times New Roman"/>
          <w:sz w:val="18"/>
          <w:szCs w:val="18"/>
          <w:color w:val="32406B"/>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not be able to protect or enforce our intellectual property rights in all jurisdictions.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7"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32406B"/>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46</w:t>
      </w:r>
    </w:p>
    <w:p>
      <w:pPr>
        <w:sectPr>
          <w:pgSz w:w="11900" w:h="16838" w:orient="portrait"/>
          <w:cols w:equalWidth="0" w:num="1">
            <w:col w:w="11240"/>
          </w:cols>
          <w:pgMar w:left="320" w:top="455"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32406B"/>
        </w:rPr>
        <w:t>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9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Changes in patent law could diminish the value of patents in general, thereby impairing our ability to protect our product candidates.</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80"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 xml:space="preserve">Further, the America Invents Act created new procedures to challenge the validity of issued patents in the United States, including post grant review, </w:t>
      </w:r>
      <w:r>
        <w:rPr>
          <w:rFonts w:ascii="Times New Roman" w:cs="Times New Roman" w:eastAsia="Times New Roman" w:hAnsi="Times New Roman"/>
          <w:sz w:val="18"/>
          <w:szCs w:val="18"/>
          <w:i w:val="1"/>
          <w:iCs w:val="1"/>
          <w:color w:val="32406B"/>
        </w:rPr>
        <w:t xml:space="preserve">inter partes </w:t>
      </w:r>
      <w:r>
        <w:rPr>
          <w:rFonts w:ascii="Times New Roman" w:cs="Times New Roman" w:eastAsia="Times New Roman" w:hAnsi="Times New Roman"/>
          <w:sz w:val="18"/>
          <w:szCs w:val="18"/>
          <w:color w:val="32406B"/>
        </w:rPr>
        <w:t>review, and derivation proceedings, which some third parties have been using to cause the cancellation of selected or all claims of issued</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Times New Roman" w:cs="Times New Roman" w:eastAsia="Times New Roman" w:hAnsi="Times New Roman"/>
          <w:sz w:val="18"/>
          <w:szCs w:val="18"/>
          <w:i w:val="1"/>
          <w:iCs w:val="1"/>
          <w:color w:val="32406B"/>
        </w:rPr>
        <w:t>inter partes</w:t>
      </w:r>
      <w:r>
        <w:rPr>
          <w:rFonts w:ascii="Times New Roman" w:cs="Times New Roman" w:eastAsia="Times New Roman" w:hAnsi="Times New Roman"/>
          <w:sz w:val="18"/>
          <w:szCs w:val="18"/>
          <w:color w:val="32406B"/>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9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32406B"/>
        </w:rPr>
        <w:t xml:space="preserve">In addition, the patent positions of companies in the development and commercialization of pharmaceuticals are particularly uncertain. Recent court rulings in cases such as </w:t>
      </w:r>
      <w:r>
        <w:rPr>
          <w:rFonts w:ascii="Times New Roman" w:cs="Times New Roman" w:eastAsia="Times New Roman" w:hAnsi="Times New Roman"/>
          <w:sz w:val="18"/>
          <w:szCs w:val="18"/>
          <w:i w:val="1"/>
          <w:iCs w:val="1"/>
          <w:color w:val="32406B"/>
        </w:rPr>
        <w:t>Association for Molecular Pathology v. Myriad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47</w:t>
      </w:r>
    </w:p>
    <w:p>
      <w:pPr>
        <w:sectPr>
          <w:pgSz w:w="11900" w:h="16838" w:orient="portrait"/>
          <w:cols w:equalWidth="0" w:num="1">
            <w:col w:w="11200"/>
          </w:cols>
          <w:pgMar w:left="320" w:top="455" w:right="3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32406B"/>
        </w:rPr>
        <w:t xml:space="preserve">Genetics, Inc., BRCA1- &amp;BRCA2-Based Hereditary Cancer Test Patent Litigation, Mayo Collaborative Services v. Prometheus Laboratories, Inc., Promega Corp. v. Life Technologies Corp. and Abbvie Deutschland GmbH v. Janssen Biotech, Inc. </w:t>
      </w:r>
      <w:r>
        <w:rPr>
          <w:rFonts w:ascii="Times New Roman" w:cs="Times New Roman" w:eastAsia="Times New Roman" w:hAnsi="Times New Roman"/>
          <w:sz w:val="18"/>
          <w:szCs w:val="18"/>
          <w:color w:val="32406B"/>
        </w:rPr>
        <w:t>have narrowed the scope of patent protection available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PHA121 and other product candidates that we may pursue could have a material adverse effect on our business, financial condition, results of operations and prospects.</w:t>
      </w:r>
    </w:p>
    <w:p>
      <w:pPr>
        <w:spacing w:after="0" w:line="291" w:lineRule="exact"/>
        <w:rPr>
          <w:sz w:val="20"/>
          <w:szCs w:val="20"/>
          <w:color w:val="auto"/>
        </w:rPr>
      </w:pPr>
    </w:p>
    <w:p>
      <w:pPr>
        <w:ind w:left="46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Confidentiality agreements with employees and third parties may not prevent unauthorized disclosure of trade secrets and other proprietary information and may not provide an adequate remedy.</w:t>
      </w:r>
    </w:p>
    <w:p>
      <w:pPr>
        <w:spacing w:after="0" w:line="5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 protection, our competitors could limit how we use our trade secrets and confidential know-how, which may have a material adverse effect on our business, financial condition, results of operations and prospects.</w:t>
      </w:r>
    </w:p>
    <w:p>
      <w:pPr>
        <w:spacing w:after="0" w:line="301" w:lineRule="exact"/>
        <w:rPr>
          <w:sz w:val="20"/>
          <w:szCs w:val="20"/>
          <w:color w:val="auto"/>
        </w:rPr>
      </w:pPr>
    </w:p>
    <w:p>
      <w:pPr>
        <w:ind w:left="4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If we or our licensors infringe, misappropriate or otherwise violate intellectual property rights of third parties, we may face increased costs or we may be unable to commercialize our product candidates.</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production, manufacture, commercialization or use of our product candidates and technology. In addition, the production, manufacture, commercialization or use of our product candidates may infringe existing patents of which we are not aware. Even if we believe such claims of infringement are without merit, a court of competent jurisdiction could hold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48</w:t>
      </w:r>
    </w:p>
    <w:p>
      <w:pPr>
        <w:sectPr>
          <w:pgSz w:w="11900" w:h="16838" w:orient="portrait"/>
          <w:cols w:equalWidth="0" w:num="1">
            <w:col w:w="11240"/>
          </w:cols>
          <w:pgMar w:left="320" w:top="45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32406B"/>
        </w:rPr>
        <w:t>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If we are found to infringe a third-party’s valid and enforceable intellectual property rights, we could be required to:</w:t>
      </w:r>
    </w:p>
    <w:p>
      <w:pPr>
        <w:spacing w:after="0" w:line="131" w:lineRule="exact"/>
        <w:rPr>
          <w:sz w:val="20"/>
          <w:szCs w:val="20"/>
          <w:color w:val="auto"/>
        </w:rPr>
      </w:pPr>
    </w:p>
    <w:p>
      <w:pPr>
        <w:ind w:left="1000" w:hanging="547"/>
        <w:spacing w:after="0"/>
        <w:tabs>
          <w:tab w:leader="none" w:pos="1000" w:val="left"/>
        </w:tabs>
        <w:numPr>
          <w:ilvl w:val="0"/>
          <w:numId w:val="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cease developing, manufacturing, selling or licensing the infringing product candidates or technology;</w:t>
      </w:r>
    </w:p>
    <w:p>
      <w:pPr>
        <w:spacing w:after="0" w:line="130" w:lineRule="exact"/>
        <w:rPr>
          <w:rFonts w:ascii="Times New Roman" w:cs="Times New Roman" w:eastAsia="Times New Roman" w:hAnsi="Times New Roman"/>
          <w:sz w:val="18"/>
          <w:szCs w:val="18"/>
          <w:color w:val="32406B"/>
        </w:rPr>
      </w:pPr>
    </w:p>
    <w:p>
      <w:pPr>
        <w:ind w:left="1000" w:right="80" w:hanging="547"/>
        <w:spacing w:after="0" w:line="258" w:lineRule="auto"/>
        <w:tabs>
          <w:tab w:leader="none" w:pos="1000" w:val="left"/>
        </w:tabs>
        <w:numPr>
          <w:ilvl w:val="0"/>
          <w:numId w:val="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88" w:lineRule="exact"/>
        <w:rPr>
          <w:rFonts w:ascii="Times New Roman" w:cs="Times New Roman" w:eastAsia="Times New Roman" w:hAnsi="Times New Roman"/>
          <w:sz w:val="18"/>
          <w:szCs w:val="18"/>
          <w:color w:val="32406B"/>
        </w:rPr>
      </w:pPr>
    </w:p>
    <w:p>
      <w:pPr>
        <w:ind w:left="1000" w:right="320" w:hanging="547"/>
        <w:spacing w:after="0" w:line="282" w:lineRule="auto"/>
        <w:tabs>
          <w:tab w:leader="none" w:pos="1000" w:val="left"/>
        </w:tabs>
        <w:numPr>
          <w:ilvl w:val="0"/>
          <w:numId w:val="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pay substantial damages for past infringement, including treble damages and attorneys’ fees, if we are found to have willfully infringed a patent or other intellectual property right; or</w:t>
      </w:r>
    </w:p>
    <w:p>
      <w:pPr>
        <w:spacing w:after="0" w:line="67" w:lineRule="exact"/>
        <w:rPr>
          <w:rFonts w:ascii="Times New Roman" w:cs="Times New Roman" w:eastAsia="Times New Roman" w:hAnsi="Times New Roman"/>
          <w:sz w:val="18"/>
          <w:szCs w:val="18"/>
          <w:color w:val="32406B"/>
        </w:rPr>
      </w:pPr>
    </w:p>
    <w:p>
      <w:pPr>
        <w:ind w:left="1000" w:right="320" w:hanging="547"/>
        <w:spacing w:after="0" w:line="282" w:lineRule="auto"/>
        <w:tabs>
          <w:tab w:leader="none" w:pos="1000" w:val="left"/>
        </w:tabs>
        <w:numPr>
          <w:ilvl w:val="0"/>
          <w:numId w:val="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be required to redesign the formulation of a product such that it does not infringe, which may not be possible or could require substantial funds and time.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Any of the foregoing could have a material adverse effect on our business, financial condition, results of operations and prospects.</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292" w:lineRule="exact"/>
        <w:rPr>
          <w:sz w:val="20"/>
          <w:szCs w:val="20"/>
          <w:color w:val="auto"/>
        </w:rPr>
      </w:pPr>
    </w:p>
    <w:p>
      <w:pPr>
        <w:ind w:left="46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Intellectual property litigation or proceedings could cause us to spend substantial resources and distract our personnel from their normal responsibilities.</w:t>
      </w:r>
    </w:p>
    <w:p>
      <w:pPr>
        <w:spacing w:after="0" w:line="5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49</w:t>
      </w:r>
    </w:p>
    <w:p>
      <w:pPr>
        <w:sectPr>
          <w:pgSz w:w="11900" w:h="16838" w:orient="portrait"/>
          <w:cols w:equalWidth="0" w:num="1">
            <w:col w:w="11180"/>
          </w:cols>
          <w:pgMar w:left="320" w:top="455" w:right="3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32406B"/>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 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293" w:lineRule="exact"/>
        <w:rPr>
          <w:sz w:val="20"/>
          <w:szCs w:val="20"/>
          <w:color w:val="auto"/>
        </w:rPr>
      </w:pPr>
    </w:p>
    <w:p>
      <w:pPr>
        <w:jc w:val="both"/>
        <w:ind w:left="46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not be successful in obtaining necessary rights to any product candidates we may develop through acquisitions and licenses.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50</w:t>
      </w:r>
    </w:p>
    <w:p>
      <w:pPr>
        <w:sectPr>
          <w:pgSz w:w="11900" w:h="16838" w:orient="portrait"/>
          <w:cols w:equalWidth="0" w:num="1">
            <w:col w:w="11220"/>
          </w:cols>
          <w:pgMar w:left="32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Intellectual property rights do not necessarily address all potential risks to our competitive advantage.</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00" w:right="12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others may be able to make products that are similar to any product candidates we may develop or utilize similar technology but that are not covered by the claims of the patents that we license or may own in the future;</w:t>
      </w:r>
    </w:p>
    <w:p>
      <w:pPr>
        <w:spacing w:after="0" w:line="67"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or our license partners or current or future collaborators, might not have been the first to make the inventions covered by the issued patent (if any) or pending patent application that we license or may own in the future;</w:t>
      </w:r>
    </w:p>
    <w:p>
      <w:pPr>
        <w:spacing w:after="0" w:line="67"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or our license partners or current or future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32406B"/>
        </w:rPr>
      </w:pPr>
    </w:p>
    <w:p>
      <w:pPr>
        <w:ind w:left="1000" w:right="24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it is possible that patent applications that we currently, or may in the future, own or license will not lead to issued patents;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claims of patents or patent applications that we may own or license may, when issued, not cover our product candidates;</w:t>
      </w:r>
    </w:p>
    <w:p>
      <w:pPr>
        <w:spacing w:after="0" w:line="130" w:lineRule="exact"/>
        <w:rPr>
          <w:rFonts w:ascii="Times New Roman" w:cs="Times New Roman" w:eastAsia="Times New Roman" w:hAnsi="Times New Roman"/>
          <w:sz w:val="18"/>
          <w:szCs w:val="18"/>
          <w:color w:val="32406B"/>
        </w:rPr>
      </w:pPr>
    </w:p>
    <w:p>
      <w:pPr>
        <w:ind w:left="1000" w:right="54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issued patents (if any) that we may hold rights to may be held invalid or unenforceable, including as a result of legal challenges by our competitors;</w:t>
      </w:r>
    </w:p>
    <w:p>
      <w:pPr>
        <w:spacing w:after="0" w:line="67" w:lineRule="exact"/>
        <w:rPr>
          <w:rFonts w:ascii="Times New Roman" w:cs="Times New Roman" w:eastAsia="Times New Roman" w:hAnsi="Times New Roman"/>
          <w:sz w:val="18"/>
          <w:szCs w:val="18"/>
          <w:color w:val="32406B"/>
        </w:rPr>
      </w:pPr>
    </w:p>
    <w:p>
      <w:pPr>
        <w:ind w:left="1000" w:right="72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may not develop additional proprietary technologies that are patentable;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patents of others may harm our business; and</w:t>
      </w:r>
    </w:p>
    <w:p>
      <w:pPr>
        <w:spacing w:after="0" w:line="130" w:lineRule="exact"/>
        <w:rPr>
          <w:rFonts w:ascii="Times New Roman" w:cs="Times New Roman" w:eastAsia="Times New Roman" w:hAnsi="Times New Roman"/>
          <w:sz w:val="18"/>
          <w:szCs w:val="18"/>
          <w:color w:val="32406B"/>
        </w:rPr>
      </w:pPr>
    </w:p>
    <w:p>
      <w:pPr>
        <w:ind w:left="1000" w:right="280" w:hanging="547"/>
        <w:spacing w:after="0" w:line="282" w:lineRule="auto"/>
        <w:tabs>
          <w:tab w:leader="none" w:pos="1000" w:val="left"/>
        </w:tabs>
        <w:numPr>
          <w:ilvl w:val="0"/>
          <w:numId w:val="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may choose not to file a patent in order to maintain certain trade secrets or know-how, and a third-party may subsequently file a patent covering such intellectual property.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Business and Industry</w:t>
      </w:r>
    </w:p>
    <w:p>
      <w:pPr>
        <w:spacing w:after="0" w:line="117" w:lineRule="exact"/>
        <w:rPr>
          <w:sz w:val="20"/>
          <w:szCs w:val="20"/>
          <w:color w:val="auto"/>
        </w:rPr>
      </w:pPr>
    </w:p>
    <w:p>
      <w:pPr>
        <w:ind w:left="46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51</w:t>
      </w:r>
    </w:p>
    <w:p>
      <w:pPr>
        <w:sectPr>
          <w:pgSz w:w="11900" w:h="16838" w:orient="portrait"/>
          <w:cols w:equalWidth="0" w:num="1">
            <w:col w:w="11220"/>
          </w:cols>
          <w:pgMar w:left="320" w:top="455" w:right="3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67"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32406B"/>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laws that may affect our ability to operate include, but are not limited to:</w:t>
      </w:r>
    </w:p>
    <w:p>
      <w:pPr>
        <w:spacing w:after="0" w:line="131" w:lineRule="exact"/>
        <w:rPr>
          <w:sz w:val="20"/>
          <w:szCs w:val="20"/>
          <w:color w:val="auto"/>
        </w:rPr>
      </w:pPr>
    </w:p>
    <w:p>
      <w:pPr>
        <w:ind w:left="1000" w:right="240" w:hanging="547"/>
        <w:spacing w:after="0" w:line="261"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85" w:lineRule="exact"/>
        <w:rPr>
          <w:rFonts w:ascii="Times New Roman" w:cs="Times New Roman" w:eastAsia="Times New Roman" w:hAnsi="Times New Roman"/>
          <w:sz w:val="18"/>
          <w:szCs w:val="18"/>
          <w:color w:val="32406B"/>
        </w:rPr>
      </w:pPr>
    </w:p>
    <w:p>
      <w:pPr>
        <w:ind w:left="1000" w:right="20" w:hanging="547"/>
        <w:spacing w:after="0" w:line="261"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85" w:lineRule="exact"/>
        <w:rPr>
          <w:rFonts w:ascii="Times New Roman" w:cs="Times New Roman" w:eastAsia="Times New Roman" w:hAnsi="Times New Roman"/>
          <w:sz w:val="18"/>
          <w:szCs w:val="18"/>
          <w:color w:val="32406B"/>
        </w:rPr>
      </w:pPr>
    </w:p>
    <w:p>
      <w:pPr>
        <w:ind w:left="1000" w:right="100" w:hanging="547"/>
        <w:spacing w:after="0" w:line="266"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81" w:lineRule="exact"/>
        <w:rPr>
          <w:rFonts w:ascii="Times New Roman" w:cs="Times New Roman" w:eastAsia="Times New Roman" w:hAnsi="Times New Roman"/>
          <w:sz w:val="18"/>
          <w:szCs w:val="18"/>
          <w:color w:val="32406B"/>
        </w:rPr>
      </w:pPr>
    </w:p>
    <w:p>
      <w:pPr>
        <w:ind w:left="1000" w:right="60" w:hanging="547"/>
        <w:spacing w:after="0" w:line="258"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federal criminal health care fraud statute, enacted as a part of the Health Insurance Portability and Accountability Act of 1996, or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88" w:lineRule="exact"/>
        <w:rPr>
          <w:rFonts w:ascii="Times New Roman" w:cs="Times New Roman" w:eastAsia="Times New Roman" w:hAnsi="Times New Roman"/>
          <w:sz w:val="18"/>
          <w:szCs w:val="18"/>
          <w:color w:val="32406B"/>
        </w:rPr>
      </w:pPr>
    </w:p>
    <w:p>
      <w:pPr>
        <w:jc w:val="both"/>
        <w:ind w:left="1000" w:hanging="547"/>
        <w:spacing w:after="0" w:line="261"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85" w:lineRule="exact"/>
        <w:rPr>
          <w:rFonts w:ascii="Times New Roman" w:cs="Times New Roman" w:eastAsia="Times New Roman" w:hAnsi="Times New Roman"/>
          <w:sz w:val="18"/>
          <w:szCs w:val="18"/>
          <w:color w:val="32406B"/>
        </w:rPr>
      </w:pPr>
    </w:p>
    <w:p>
      <w:pPr>
        <w:ind w:left="1000" w:right="120" w:hanging="547"/>
        <w:spacing w:after="0" w:line="266"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laws in all 50 U.S. states require businesses to provide notice to customers whose personally identifiable information has been disclosed as a result of a data breach, and certain U.S. state laws impose particular requirements relating to the handling of sensitive data, such as health information;</w:t>
      </w:r>
    </w:p>
    <w:p>
      <w:pPr>
        <w:spacing w:after="0" w:line="81" w:lineRule="exact"/>
        <w:rPr>
          <w:rFonts w:ascii="Times New Roman" w:cs="Times New Roman" w:eastAsia="Times New Roman" w:hAnsi="Times New Roman"/>
          <w:sz w:val="18"/>
          <w:szCs w:val="18"/>
          <w:color w:val="32406B"/>
        </w:rPr>
      </w:pPr>
    </w:p>
    <w:p>
      <w:pPr>
        <w:ind w:left="1000" w:right="180" w:hanging="547"/>
        <w:spacing w:after="0" w:line="266" w:lineRule="auto"/>
        <w:tabs>
          <w:tab w:leader="none" w:pos="1000" w:val="left"/>
        </w:tabs>
        <w:numPr>
          <w:ilvl w:val="0"/>
          <w:numId w:val="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52</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00"/>
        <w:spacing w:after="0" w:line="266" w:lineRule="auto"/>
        <w:rPr>
          <w:sz w:val="20"/>
          <w:szCs w:val="20"/>
          <w:color w:val="auto"/>
        </w:rPr>
      </w:pPr>
      <w:r>
        <w:rPr>
          <w:rFonts w:ascii="Times New Roman" w:cs="Times New Roman" w:eastAsia="Times New Roman" w:hAnsi="Times New Roman"/>
          <w:sz w:val="18"/>
          <w:szCs w:val="18"/>
          <w:color w:val="32406B"/>
        </w:rPr>
        <w:t>payments and other transfers of value to “covered recipients”, which includes U.S.-licensed physicians, teaching hospitals and, for reports submitted on or after January 1, 2022, physician assistants, nurse practitioners, clinical nurse specialists, certified nurse anesthetists, and certified nurse midwives;</w:t>
      </w:r>
    </w:p>
    <w:p>
      <w:pPr>
        <w:spacing w:after="0" w:line="81" w:lineRule="exact"/>
        <w:rPr>
          <w:sz w:val="20"/>
          <w:szCs w:val="20"/>
          <w:color w:val="auto"/>
        </w:rPr>
      </w:pPr>
    </w:p>
    <w:p>
      <w:pPr>
        <w:ind w:left="1000" w:right="240" w:hanging="547"/>
        <w:spacing w:after="0" w:line="282" w:lineRule="auto"/>
        <w:tabs>
          <w:tab w:leader="none" w:pos="1000" w:val="left"/>
        </w:tabs>
        <w:numPr>
          <w:ilvl w:val="0"/>
          <w:numId w:val="3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federal consumer protection and unfair competition laws, which broadly regulate marketplace activities and activities that potentially harm consumers;</w:t>
      </w:r>
    </w:p>
    <w:p>
      <w:pPr>
        <w:spacing w:after="0" w:line="67" w:lineRule="exact"/>
        <w:rPr>
          <w:rFonts w:ascii="Times New Roman" w:cs="Times New Roman" w:eastAsia="Times New Roman" w:hAnsi="Times New Roman"/>
          <w:sz w:val="18"/>
          <w:szCs w:val="18"/>
          <w:color w:val="32406B"/>
        </w:rPr>
      </w:pPr>
    </w:p>
    <w:p>
      <w:pPr>
        <w:ind w:left="1000" w:right="160" w:hanging="547"/>
        <w:spacing w:after="0" w:line="282" w:lineRule="auto"/>
        <w:tabs>
          <w:tab w:leader="none" w:pos="1000" w:val="left"/>
        </w:tabs>
        <w:numPr>
          <w:ilvl w:val="0"/>
          <w:numId w:val="3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Foreign Corrupt Practices Act, or the FCPA, a U.S. law which regulates certain financial relationships with foreign government officials which could include, for example, certain medical professionals;</w:t>
      </w:r>
    </w:p>
    <w:p>
      <w:pPr>
        <w:spacing w:after="0" w:line="67" w:lineRule="exact"/>
        <w:rPr>
          <w:rFonts w:ascii="Times New Roman" w:cs="Times New Roman" w:eastAsia="Times New Roman" w:hAnsi="Times New Roman"/>
          <w:sz w:val="18"/>
          <w:szCs w:val="18"/>
          <w:color w:val="32406B"/>
        </w:rPr>
      </w:pPr>
    </w:p>
    <w:p>
      <w:pPr>
        <w:jc w:val="both"/>
        <w:ind w:left="1000" w:right="500" w:hanging="547"/>
        <w:spacing w:after="0" w:line="266" w:lineRule="auto"/>
        <w:tabs>
          <w:tab w:leader="none" w:pos="1000" w:val="left"/>
        </w:tabs>
        <w:numPr>
          <w:ilvl w:val="0"/>
          <w:numId w:val="3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81"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3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U.S. state laws regulating pharmaceutical manufacturer compliance programs, commercialization-related activities, drug price transparency disclosures, and other practices;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analogous foreign laws and regulations.</w:t>
      </w:r>
    </w:p>
    <w:p>
      <w:pPr>
        <w:spacing w:after="0" w:line="225"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7"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32406B"/>
        </w:rPr>
        <w:t>In addition, the regulatory approval and commercialization of any of our product candidates outside the United States will also likely subject us to foreign equivalents of the health care laws mentioned above, among other foreign laws.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Rapid technological change could make our product candidates or technologies obsolete.</w:t>
      </w:r>
    </w:p>
    <w:p>
      <w:pPr>
        <w:spacing w:after="0" w:line="121" w:lineRule="exact"/>
        <w:rPr>
          <w:sz w:val="20"/>
          <w:szCs w:val="20"/>
          <w:color w:val="auto"/>
        </w:rPr>
      </w:pPr>
    </w:p>
    <w:p>
      <w:pPr>
        <w:jc w:val="both"/>
        <w:ind w:right="200" w:firstLine="449"/>
        <w:spacing w:after="0" w:line="266" w:lineRule="auto"/>
        <w:rPr>
          <w:sz w:val="20"/>
          <w:szCs w:val="20"/>
          <w:color w:val="auto"/>
        </w:rPr>
      </w:pPr>
      <w:r>
        <w:rPr>
          <w:rFonts w:ascii="Times New Roman" w:cs="Times New Roman" w:eastAsia="Times New Roman" w:hAnsi="Times New Roman"/>
          <w:sz w:val="18"/>
          <w:szCs w:val="18"/>
          <w:color w:val="32406B"/>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53</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32406B"/>
        </w:rPr>
        <w:t>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Our business may become subject to economic, political, regulatory and other risks associated with international operations.</w:t>
      </w:r>
    </w:p>
    <w:p>
      <w:pPr>
        <w:spacing w:after="0" w:line="121" w:lineRule="exact"/>
        <w:rPr>
          <w:sz w:val="20"/>
          <w:szCs w:val="20"/>
          <w:color w:val="auto"/>
        </w:rPr>
      </w:pPr>
    </w:p>
    <w:p>
      <w:pPr>
        <w:jc w:val="both"/>
        <w:ind w:right="620" w:firstLine="449"/>
        <w:spacing w:after="0" w:line="312" w:lineRule="auto"/>
        <w:rPr>
          <w:sz w:val="20"/>
          <w:szCs w:val="20"/>
          <w:color w:val="auto"/>
        </w:rPr>
      </w:pPr>
      <w:r>
        <w:rPr>
          <w:rFonts w:ascii="Times New Roman" w:cs="Times New Roman" w:eastAsia="Times New Roman" w:hAnsi="Times New Roman"/>
          <w:sz w:val="17"/>
          <w:szCs w:val="17"/>
          <w:color w:val="32406B"/>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5" w:lineRule="exact"/>
        <w:rPr>
          <w:sz w:val="20"/>
          <w:szCs w:val="20"/>
          <w:color w:val="auto"/>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economic weakness, including inflation, or political instability in particular economies and markets;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differing regulatory requirements for drug approvals in different jurisdictions;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differing jurisdictions could present different issues for securing, maintaining and/or obtaining freedom to operate in such jurisdictions;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potentially reduced protection for intellectual property rights;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difficulties in compliance with laws and regulations;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regulations and customs, tariffs and trade barriers;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currency exchange rates of the euro and currency controls;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a specific country’s or region’s political or economic environment;</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trade protection measures, import or export licensing requirements or other restrictive actions by various governments;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differing reimbursement regimes and price controls in certain markets;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negative consequences from changes in tax laws;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workforce uncertainty in countries where labor unrest is more common than in the United States;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difficulties associated with staffing and managing international operations, including differing labor relations;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production shortages resulting from any events affecting raw material supply or manufacturing capabilities abroad; and</w:t>
      </w:r>
    </w:p>
    <w:p>
      <w:pPr>
        <w:spacing w:after="0" w:line="130"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3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business interruptions resulting from geopolitical actions, including war and terrorism, or natural disasters including earthquakes, typhoons, floods and fires.</w:t>
      </w:r>
    </w:p>
    <w:p>
      <w:pPr>
        <w:spacing w:after="0" w:line="266" w:lineRule="exact"/>
        <w:rPr>
          <w:sz w:val="20"/>
          <w:szCs w:val="20"/>
          <w:color w:val="auto"/>
        </w:rPr>
      </w:pPr>
    </w:p>
    <w:p>
      <w:pPr>
        <w:ind w:left="46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If we do not achieve our projected development goals in the timeframes we announce and expect, the commercialization of our products may be delayed and, as a result, our stock price may decline.</w:t>
      </w:r>
    </w:p>
    <w:p>
      <w:pPr>
        <w:spacing w:after="0" w:line="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54</w:t>
      </w:r>
    </w:p>
    <w:p>
      <w:pPr>
        <w:sectPr>
          <w:pgSz w:w="11900" w:h="16838" w:orient="portrait"/>
          <w:cols w:equalWidth="0" w:num="1">
            <w:col w:w="11240"/>
          </w:cols>
          <w:pgMar w:left="320" w:top="455"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Legal Compliance Matters</w:t>
      </w:r>
    </w:p>
    <w:p>
      <w:pPr>
        <w:spacing w:after="0" w:line="117"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Because we and our suppliers are subject to environmental, health and safety laws and regulations, we may become exposed to enforcement, liability and substantial expenses in connection with environmental compliance or remediation activities which may adversely affect our business and financial condition.</w:t>
      </w:r>
    </w:p>
    <w:p>
      <w:pPr>
        <w:spacing w:after="0" w:line="6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Our operations, including our research, development, testing and manufacturing activities, are subject to numerous environmental, health and safety laws and regulations, and possible permit obligations. These laws,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wastes.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all of these laws, regulations, and associated compliance activities.</w:t>
      </w:r>
    </w:p>
    <w:p>
      <w:pPr>
        <w:spacing w:after="0" w:line="192"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80"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32406B"/>
        </w:rPr>
        <w:t>Environmental, health and safety laws and regulations are becoming more stringent and enforcement is prioritized. We may be required to incur substantial expenses in connection with current and future environmental, health and/ or safety compliance, our duty of care in this regard, remediation obligations and/or measurement obligations, in which case, our production and development efforts may be interrupted or delayed and our financial condition and results of operations may be materially adversely affected.</w:t>
      </w:r>
    </w:p>
    <w:p>
      <w:pPr>
        <w:spacing w:after="0" w:line="284" w:lineRule="exact"/>
        <w:rPr>
          <w:sz w:val="20"/>
          <w:szCs w:val="20"/>
          <w:color w:val="auto"/>
        </w:rPr>
      </w:pPr>
    </w:p>
    <w:p>
      <w:pPr>
        <w:ind w:left="460"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67"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55</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56" w:lineRule="auto"/>
        <w:rPr>
          <w:sz w:val="20"/>
          <w:szCs w:val="20"/>
          <w:color w:val="auto"/>
        </w:rPr>
      </w:pPr>
      <w:r>
        <w:rPr>
          <w:rFonts w:ascii="Times New Roman" w:cs="Times New Roman" w:eastAsia="Times New Roman" w:hAnsi="Times New Roman"/>
          <w:sz w:val="18"/>
          <w:szCs w:val="18"/>
          <w:color w:val="32406B"/>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preclinical studies or clinical trials, which could result in enforcement and/or sanctions and cause serious harm to our reputation.</w:t>
      </w:r>
    </w:p>
    <w:p>
      <w:pPr>
        <w:spacing w:after="0" w:line="187"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62"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32406B"/>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Risks Related to Our Ordinary Shares and This Offering</w:t>
      </w:r>
    </w:p>
    <w:p>
      <w:pPr>
        <w:spacing w:after="0" w:line="117" w:lineRule="exact"/>
        <w:rPr>
          <w:sz w:val="20"/>
          <w:szCs w:val="20"/>
          <w:color w:val="auto"/>
        </w:rPr>
      </w:pPr>
    </w:p>
    <w:p>
      <w:pPr>
        <w:ind w:left="4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There has been no prior public market for our ordinary shares and an active and liquid market for our ordinary shares may fail to develop, which could harm the market price of our ordinary shares.</w:t>
      </w:r>
    </w:p>
    <w:p>
      <w:pPr>
        <w:spacing w:after="0" w:line="5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Prior to this offering, there has been no public market for our ordinary shares. Although our ordinary shares have been approved for listing on Nasdaq, an active trading market for our ordinary shares may never develop or be sustained following this offering. The initial public offering price of our ordinary shares was based and determined through negotiations between us and the underwriters. This initial public offering price may not be indicative of the market price of our ordinary shares after this offering. In the absence of an active trading market for our ordinary shares, investors may not be able to sell their ordinary shares at or above the initial public offering price or at the time that they would like to sell.</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The ownership of our ordinary shares is concentrated and your interests may conflict with the interests of our significant shareholders.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We have a number of significant shareholders that will beneficially own ordinary shares representing approximately 60% of our outstanding ordinary shares upon consummation of this offering. For more information regarding our significant shareholders, please see “Principal Shareholders.”</w:t>
      </w:r>
    </w:p>
    <w:p>
      <w:pPr>
        <w:spacing w:after="0" w:line="16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These significant shareholders have in the past often taken a similar position and exercised influence over matters requiring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 of ownership may have the effect of delaying or preventing a change in control and might therefore negatively affect the market price of our ordinary shares.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56</w:t>
      </w:r>
    </w:p>
    <w:p>
      <w:pPr>
        <w:sectPr>
          <w:pgSz w:w="11900" w:h="16838" w:orient="portrait"/>
          <w:cols w:equalWidth="0" w:num="1">
            <w:col w:w="11200"/>
          </w:cols>
          <w:pgMar w:left="320" w:top="455" w:right="3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You will incur immediate and substantial dilution as a result of this offering.</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If you purchase ordinary shares in this offering, you will incur immediate and substantial dilution of €9.70 ($11.35) per ordinary share, after giving effect to the sale by us of the ordinary shares offered by us in the offering and after deducting the underwriting discounts and commissions and estimated offering expenses payable by us, and our as further adjusted net tangible book value estimated at September 30, 2020 would have been approximately €235.2 ($275.3) million, representing €7.39 ($8.65) per ordinary share. This represents an immediate increase in as adjusted net tangible book value of €2.89 ($3.39) per ordinary share to existing shareholders and an immediate dilution in as further adjusted net tangible book value of €9.70 ($11.35) per ordinary share to new investors purchasing ordinary shares in this offering. Dilution for this purpose represents the difference between the price per ordinary share paid by these purchasers and as further adjusted net tangible book value per ordinary share immediately after the completion of the offering. As a result of the dilution to investors purchasing ordinary shares in this offering, investors may receive significantly less than the purchase price paid in this offering, if anything, in the event of our liquidation. For more information on the dilution you may suffer as a result of investing in this offering, see the section of this prospectus titled “Dilution.”</w:t>
      </w:r>
    </w:p>
    <w:p>
      <w:pPr>
        <w:spacing w:after="0" w:line="298"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67"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32406B"/>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7"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32406B"/>
        </w:rPr>
        <w:t>Under Dutch law and following the consummation of this offering, we may only pay dividends to the extent our shareholders’ equity (</w:t>
      </w:r>
      <w:r>
        <w:rPr>
          <w:rFonts w:ascii="Times New Roman" w:cs="Times New Roman" w:eastAsia="Times New Roman" w:hAnsi="Times New Roman"/>
          <w:sz w:val="18"/>
          <w:szCs w:val="18"/>
          <w:i w:val="1"/>
          <w:iCs w:val="1"/>
          <w:color w:val="32406B"/>
        </w:rPr>
        <w:t>eigen</w:t>
      </w:r>
      <w:r>
        <w:rPr>
          <w:rFonts w:ascii="Times New Roman" w:cs="Times New Roman" w:eastAsia="Times New Roman" w:hAnsi="Times New Roman"/>
          <w:sz w:val="18"/>
          <w:szCs w:val="18"/>
          <w:color w:val="32406B"/>
        </w:rPr>
        <w:t xml:space="preserve"> </w:t>
      </w:r>
      <w:r>
        <w:rPr>
          <w:rFonts w:ascii="Times New Roman" w:cs="Times New Roman" w:eastAsia="Times New Roman" w:hAnsi="Times New Roman"/>
          <w:sz w:val="18"/>
          <w:szCs w:val="18"/>
          <w:i w:val="1"/>
          <w:iCs w:val="1"/>
          <w:color w:val="32406B"/>
        </w:rPr>
        <w:t>vermogen</w:t>
      </w:r>
      <w:r>
        <w:rPr>
          <w:rFonts w:ascii="Times New Roman" w:cs="Times New Roman" w:eastAsia="Times New Roman" w:hAnsi="Times New Roman"/>
          <w:sz w:val="18"/>
          <w:szCs w:val="18"/>
          <w:color w:val="32406B"/>
        </w:rPr>
        <w:t>) exceeds the sum of the paid-up and called-up share capital plus the reserves required to be maintained by Dutch law or by our Articles of</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Association that will be effective upon consummation of this offering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Under our Articles of Association that will be effective upon consummation of this offering,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which we refer to as our preferred dividend.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32406B"/>
        </w:rPr>
        <w:t>verjaring</w:t>
      </w:r>
      <w:r>
        <w:rPr>
          <w:rFonts w:ascii="Times New Roman" w:cs="Times New Roman" w:eastAsia="Times New Roman" w:hAnsi="Times New Roman"/>
          <w:sz w:val="18"/>
          <w:szCs w:val="18"/>
          <w:color w:val="32406B"/>
        </w:rPr>
        <w: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57</w:t>
      </w:r>
    </w:p>
    <w:p>
      <w:pPr>
        <w:sectPr>
          <w:pgSz w:w="11900" w:h="16838" w:orient="portrait"/>
          <w:cols w:equalWidth="0" w:num="1">
            <w:col w:w="11240"/>
          </w:cols>
          <w:pgMar w:left="320" w:top="455" w:right="3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280" w:lineRule="exact"/>
        <w:rPr>
          <w:sz w:val="20"/>
          <w:szCs w:val="20"/>
          <w:color w:val="auto"/>
        </w:rPr>
      </w:pPr>
    </w:p>
    <w:p>
      <w:pPr>
        <w:ind w:left="46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we do pay dividends, such dividends paid by us on our ordinary shares may be subject to Dutch dividend withholding tax and, if such dividends are paid to certain related parties in low-taxed jurisdictions, might in the future become subject to an additional Dutch withholding tax on dividends, in addition to the applicable Dutch dividend withholding tax.</w:t>
      </w:r>
    </w:p>
    <w:p>
      <w:pPr>
        <w:spacing w:after="0" w:line="67" w:lineRule="exact"/>
        <w:rPr>
          <w:sz w:val="20"/>
          <w:szCs w:val="20"/>
          <w:color w:val="auto"/>
        </w:rPr>
      </w:pPr>
    </w:p>
    <w:p>
      <w:pPr>
        <w:ind w:right="80" w:firstLine="449"/>
        <w:spacing w:after="0" w:line="312" w:lineRule="auto"/>
        <w:rPr>
          <w:sz w:val="20"/>
          <w:szCs w:val="20"/>
          <w:color w:val="auto"/>
        </w:rPr>
      </w:pPr>
      <w:r>
        <w:rPr>
          <w:rFonts w:ascii="Times New Roman" w:cs="Times New Roman" w:eastAsia="Times New Roman" w:hAnsi="Times New Roman"/>
          <w:sz w:val="17"/>
          <w:szCs w:val="17"/>
          <w:color w:val="32406B"/>
        </w:rPr>
        <w:t>Under current Dutch tax law, dividends paid by us on our ordinary shares are in principle subject to Dutch dividend withholding tax at a rate of 15% under the Dutch Dividend Withholding Tax Act 1965 (</w:t>
      </w:r>
      <w:r>
        <w:rPr>
          <w:rFonts w:ascii="Times New Roman" w:cs="Times New Roman" w:eastAsia="Times New Roman" w:hAnsi="Times New Roman"/>
          <w:sz w:val="17"/>
          <w:szCs w:val="17"/>
          <w:i w:val="1"/>
          <w:iCs w:val="1"/>
          <w:color w:val="32406B"/>
        </w:rPr>
        <w:t>Wet op de dividendbelasting 1965</w:t>
      </w:r>
      <w:r>
        <w:rPr>
          <w:rFonts w:ascii="Times New Roman" w:cs="Times New Roman" w:eastAsia="Times New Roman" w:hAnsi="Times New Roman"/>
          <w:sz w:val="17"/>
          <w:szCs w:val="17"/>
          <w:color w:val="32406B"/>
        </w:rPr>
        <w:t>), unless a domestic or treaty exemption or reduction applies.</w:t>
      </w:r>
    </w:p>
    <w:p>
      <w:pPr>
        <w:spacing w:after="0" w:line="140"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In a letter to the Dutch parliament dated May 29, 2020, the Dutch State Secretary for Finance announced that the Dutch government intends to introduce an additional withholding tax on dividends paid to related entities (as described below) in jurisdictions that have a corporate tax rate below 9% or to jurisdictions included on the EU’s blacklist of non-cooperative jurisdictions and in certain abusive situations, effective January 1, 2024. On September 25, 2020, the Dutch government launched an internet consultation to give interested parties the opportunity to respond to the draft legislative proposal to introduce the conditional withholding tax on dividends. Pursuant to the proposal published for consultation purposes, the conditional withholding tax on dividend payments will be an addition to the recently passed conditional withholding tax on interest and royalty payments pursuant to the Dutch Withholding Tax Act 2021 (</w:t>
      </w:r>
      <w:r>
        <w:rPr>
          <w:rFonts w:ascii="Times New Roman" w:cs="Times New Roman" w:eastAsia="Times New Roman" w:hAnsi="Times New Roman"/>
          <w:sz w:val="18"/>
          <w:szCs w:val="18"/>
          <w:i w:val="1"/>
          <w:iCs w:val="1"/>
          <w:color w:val="32406B"/>
        </w:rPr>
        <w:t>Wet bronbelasting</w:t>
      </w:r>
      <w:r>
        <w:rPr>
          <w:rFonts w:ascii="Times New Roman" w:cs="Times New Roman" w:eastAsia="Times New Roman" w:hAnsi="Times New Roman"/>
          <w:sz w:val="18"/>
          <w:szCs w:val="18"/>
          <w:color w:val="32406B"/>
        </w:rPr>
        <w:t xml:space="preserve"> 2021), which act has become effective January 1, 2021. For purposes of the Dutch Withholding Tax Act 2021, generally an entity is considered a related entity if such entity has a “qualifying interest” in us, generally meaning an interest – either individually or jointly as part of a collaborating group </w:t>
      </w:r>
      <w:r>
        <w:rPr>
          <w:rFonts w:ascii="Times New Roman" w:cs="Times New Roman" w:eastAsia="Times New Roman" w:hAnsi="Times New Roman"/>
          <w:sz w:val="18"/>
          <w:szCs w:val="18"/>
          <w:i w:val="1"/>
          <w:iCs w:val="1"/>
          <w:color w:val="32406B"/>
        </w:rPr>
        <w:t>(samenwerkende groep)</w:t>
      </w:r>
      <w:r>
        <w:rPr>
          <w:rFonts w:ascii="Times New Roman" w:cs="Times New Roman" w:eastAsia="Times New Roman" w:hAnsi="Times New Roman"/>
          <w:sz w:val="18"/>
          <w:szCs w:val="18"/>
          <w:color w:val="32406B"/>
        </w:rPr>
        <w:t xml:space="preserve"> – that enables the holder of such interest to exercise a decisive influence on the decisions that can determine our activities.</w:t>
      </w:r>
    </w:p>
    <w:p>
      <w:pPr>
        <w:spacing w:after="0" w:line="194"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It is possible that the rate will be as high as the highest Dutch corporate income tax rate (currently 25%) at the time of the dividend payment, which will be the statutory rate applicable to interest and royalty payments to related entities in jurisdictions that have a corporate tax rate below 9% or to jurisdictions included on the EU’s blacklist of non-cooperative jurisdictions and in certain abusive situations.</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32406B"/>
        </w:rPr>
        <w:t>At the same time, the current Dutch dividend withholding tax regime is anticipated to remain in place. However, if the dividend withholding tax and the conditional withholding tax on dividends cumulate, the conditional withholding tax will be reduced by the dividend withholding tax levied. As a result, if the shareholder being a related entity is established in a jurisdiction that has a corporate tax rate below 9% or in a jurisdiction included on the EU’s blacklist of non-cooperative jurisdictions, the tax rate on dividends may rise from 15% to 25%. The internet consultation closed on October 23, 2020. After the internet consultation, the Dutch government aims to prepare the final legislative proposal in early 2021.</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have broad discretion in the use of the net proceeds from the offering and may not use them effectively.</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Our Board will have broad discretion in applying the net proceeds of this offering and investors will be relying on our judgment regarding the application of the net proceeds of this offering. See “Use of Proceeds.” In addition, we might decide to postpone or not pursue certain clinical trials or other activities if the net proceeds from this offering and our other sources of cash are less than expected. Pending their use, we may invest the net proceeds from the offering in a manner that does not produce income or that loses value. These investments may not yield a favorable return to our investors.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58</w:t>
      </w:r>
    </w:p>
    <w:p>
      <w:pPr>
        <w:sectPr>
          <w:pgSz w:w="11900" w:h="16838" w:orient="portrait"/>
          <w:cols w:equalWidth="0" w:num="1">
            <w:col w:w="11220"/>
          </w:cols>
          <w:pgMar w:left="320" w:top="455" w:right="3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Based on our planned use of the net proceeds of the offering and our current cash, cash equivalents and current financial assets, we estimate that such funds will be sufficient to enable us to fund our operating expenses and capital expenditure requirements through at least the next 24 months. We have based this estimate on assumptions that may prove to be incorrect, and we could use our available capital resources sooner than we currently expect. The failure by our management to apply these funds effectively could harm our business and financial condition.</w:t>
      </w:r>
    </w:p>
    <w:p>
      <w:pPr>
        <w:spacing w:after="0" w:line="284" w:lineRule="exact"/>
        <w:rPr>
          <w:sz w:val="20"/>
          <w:szCs w:val="20"/>
          <w:color w:val="auto"/>
        </w:rPr>
      </w:pPr>
    </w:p>
    <w:p>
      <w:pPr>
        <w:ind w:left="4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A significant portion of our ordinary shares may be sold into the public market in the near future, which could cause the market price of our ordinary shares to drop significantly, even if our business is doing well.</w:t>
      </w:r>
    </w:p>
    <w:p>
      <w:pPr>
        <w:spacing w:after="0" w:line="5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 xml:space="preserve">Future sales of our ordinary shares in the public market after this offering and the availability of ordinary shares for future sale could adversely affect the market price of our ordinary shares prevailing from time to time. Certain of our ordinary shares currently outstanding will not be available for sale shortly after this offering due to contractual restrictions on transfers of ordinary shares under certain lock-up agreements. Upon the expiration of these lock-up agreements 31,839,776 ordinary shares will be eligible for sale 180 days after the date of this prospectus,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that ordinary shares held by our affiliates will remain subject to volume, manner of sale, and other resale limitations set forth in Rule 144 (in the case of our affiliates). Furthermore, under our Articles of Association that will be effective upon the consummation of this offering, we will be authorized to issue up to 58,750,000 ordinary shares, of which 31,839,776 ordinary shares will be outstanding following this offering. 180 days following the date of this prospectus, we would no longer be restricted under the terms of our lock-up agreement from issuing or offering additional ordinary shares. Sales of substantial numbers of ordinary shares, or the perception that these sales could occur, could adversely affect prevailing market prices for our ordinary shares and could impair our future ability to raise equity capital.</w:t>
      </w:r>
    </w:p>
    <w:p>
      <w:pPr>
        <w:spacing w:after="0" w:line="194"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In addition, the ordinary shares subject to our equity incentive plans and the ordinary shares reserved for future delivery under such plans will become eligible for sale in the public market in the future, subject to certain legal and contractual limitations. Following this offering, we intend to file one or more registration statements on Form S-8 with the SEC, covering our ordinary shares available for future issuance under our equity incentive plans. Upon effectiveness of such registration statements, any ordinary shares subsequently issued under such plans will be eligible for sale in the public market, except to the extent that they are restricted by the lock-up agreements referred to above and subject to compliance with Rule 144 in the case of our affiliates. Sales of a large number of the ordinary shares issued under these plans in the public market could have an adverse effect on the market price of our ordinary shares. If these additional ordinary shares are sold, or if it is perceived that they will be sold in the public market, the trading price of our ordinary shares could decline substantially.</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are not obligated to, and do not, comply with all best practice provisions of the Dutch Corporate Governance Code.</w:t>
      </w:r>
    </w:p>
    <w:p>
      <w:pPr>
        <w:spacing w:after="0" w:line="121"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Upon the consummation of this offering, we will be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59</w:t>
      </w:r>
    </w:p>
    <w:p>
      <w:pPr>
        <w:sectPr>
          <w:pgSz w:w="11900" w:h="16838" w:orient="portrait"/>
          <w:cols w:equalWidth="0" w:num="1">
            <w:col w:w="11220"/>
          </w:cols>
          <w:pgMar w:left="320" w:top="455" w:right="3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6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7" w:lineRule="exact"/>
        <w:rPr>
          <w:sz w:val="20"/>
          <w:szCs w:val="20"/>
          <w:color w:val="auto"/>
        </w:rPr>
      </w:pPr>
    </w:p>
    <w:p>
      <w:pPr>
        <w:jc w:val="both"/>
        <w:ind w:right="120" w:firstLine="449"/>
        <w:spacing w:after="0" w:line="257" w:lineRule="auto"/>
        <w:rPr>
          <w:sz w:val="20"/>
          <w:szCs w:val="20"/>
          <w:color w:val="auto"/>
        </w:rPr>
      </w:pPr>
      <w:r>
        <w:rPr>
          <w:rFonts w:ascii="Times New Roman" w:cs="Times New Roman" w:eastAsia="Times New Roman" w:hAnsi="Times New Roman"/>
          <w:sz w:val="18"/>
          <w:szCs w:val="18"/>
          <w:color w:val="32406B"/>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32406B"/>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We will also rely on the phase-in provisions of Rule 10A-3 of the Exchange Act and the Nasdaq transition rules applicable to companies completing an initial public offering, which require all members of our audit committee meet the independence standard for audit committee membership within one year of the effectiveness of the registration statement of which this prospectus forms a part.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w:t>
      </w:r>
    </w:p>
    <w:p>
      <w:pPr>
        <w:spacing w:after="0" w:line="192"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For an overview of our corporate governance principles, see “Description of Share Capital and Articles of Association.” Accordingly, you may not have the same protections afforded to shareholders of companies that are subject to these Nasdaq requirements.</w:t>
      </w:r>
    </w:p>
    <w:p>
      <w:pPr>
        <w:spacing w:after="0" w:line="266" w:lineRule="exact"/>
        <w:rPr>
          <w:sz w:val="20"/>
          <w:szCs w:val="20"/>
          <w:color w:val="auto"/>
        </w:rPr>
      </w:pPr>
    </w:p>
    <w:p>
      <w:pPr>
        <w:ind w:left="4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51" w:lineRule="exact"/>
        <w:rPr>
          <w:sz w:val="20"/>
          <w:szCs w:val="20"/>
          <w:color w:val="auto"/>
        </w:rPr>
      </w:pPr>
    </w:p>
    <w:p>
      <w:pPr>
        <w:ind w:firstLine="449"/>
        <w:spacing w:after="0" w:line="272" w:lineRule="auto"/>
        <w:rPr>
          <w:sz w:val="20"/>
          <w:szCs w:val="20"/>
          <w:color w:val="auto"/>
        </w:rPr>
      </w:pPr>
      <w:r>
        <w:rPr>
          <w:rFonts w:ascii="Times New Roman" w:cs="Times New Roman" w:eastAsia="Times New Roman" w:hAnsi="Times New Roman"/>
          <w:sz w:val="17"/>
          <w:szCs w:val="17"/>
          <w:color w:val="32406B"/>
        </w:rPr>
        <w:t>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w:t>
      </w:r>
    </w:p>
    <w:p>
      <w:pPr>
        <w:spacing w:after="0" w:line="2" w:lineRule="exact"/>
        <w:rPr>
          <w:sz w:val="20"/>
          <w:szCs w:val="20"/>
          <w:color w:val="auto"/>
        </w:rPr>
      </w:pPr>
    </w:p>
    <w:p>
      <w:pPr>
        <w:jc w:val="both"/>
        <w:ind w:right="300" w:firstLine="8"/>
        <w:spacing w:after="0" w:line="250" w:lineRule="auto"/>
        <w:tabs>
          <w:tab w:leader="none" w:pos="265" w:val="left"/>
        </w:tabs>
        <w:numPr>
          <w:ilvl w:val="0"/>
          <w:numId w:val="3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w:t>
      </w:r>
    </w:p>
    <w:p>
      <w:pPr>
        <w:spacing w:after="0" w:line="255" w:lineRule="auto"/>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60</w:t>
      </w:r>
    </w:p>
    <w:p>
      <w:pPr>
        <w:sectPr>
          <w:pgSz w:w="11900" w:h="16838" w:orient="portrait"/>
          <w:cols w:equalWidth="0" w:num="1">
            <w:col w:w="11220"/>
          </w:cols>
          <w:pgMar w:left="320" w:top="455" w:right="3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32406B"/>
        </w:rPr>
        <w:t>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lose our foreign private issuer status in the future, which could result in significant additional cost and expense.</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to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3"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Such conversion of our financial statements to U.S. GAAP would involve significant time and cost, and we would still be required to prepare financial statements in accordance with IFRS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296" w:lineRule="exact"/>
        <w:rPr>
          <w:sz w:val="20"/>
          <w:szCs w:val="20"/>
          <w:color w:val="auto"/>
        </w:rPr>
      </w:pPr>
    </w:p>
    <w:p>
      <w:pPr>
        <w:ind w:left="4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are eligible to be treated as an “emerging growth company,” as defined in the JOBS Act, and we cannot be certain if the reduced disclosure requirements applicable to emerging growth companies will make our ordinary shares less attractive to investors.</w:t>
      </w:r>
    </w:p>
    <w:p>
      <w:pPr>
        <w:spacing w:after="0" w:line="5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the ability to include only two years of audited financial statements and only two years of related “Management’s Discussion and Analysis of Financial Condition and Results of Operations” disclosure; (ii) an exemption from the auditor attestation requirement in the assessment of our internal control over financial reporting pursuant to the Sarbanes-Oxley Act; and (iii) to the extent that we no longer qualify as a foreign private issuer, (a) reduced disclosure obligations regarding executive compensation in our periodic reports and proxy statements, and (b) exemptions from the requirements of holding a nonbinding advisory vote on executive compensation, including golden parachute compensation. We cannot predict whether investors will find our ordinary shares less attractive if we rely on these exemptions. If some investors find our ordinary shares less attractive as a result, there may be a less active trading market for our ordinary shares and our share price may be reduced or more volatile.</w:t>
      </w:r>
    </w:p>
    <w:p>
      <w:pPr>
        <w:spacing w:after="0" w:line="188" w:lineRule="exact"/>
        <w:rPr>
          <w:sz w:val="20"/>
          <w:szCs w:val="20"/>
          <w:color w:val="auto"/>
        </w:rPr>
      </w:pPr>
    </w:p>
    <w:p>
      <w:pPr>
        <w:ind w:right="220" w:firstLine="449"/>
        <w:spacing w:after="0" w:line="256" w:lineRule="auto"/>
        <w:rPr>
          <w:sz w:val="20"/>
          <w:szCs w:val="20"/>
          <w:color w:val="auto"/>
        </w:rPr>
      </w:pPr>
      <w:r>
        <w:rPr>
          <w:rFonts w:ascii="Times New Roman" w:cs="Times New Roman" w:eastAsia="Times New Roman" w:hAnsi="Times New Roman"/>
          <w:sz w:val="18"/>
          <w:szCs w:val="18"/>
          <w:color w:val="32406B"/>
        </w:rPr>
        <w:t>We may take advantage of these provisions until such time that we are no longer an emerging growth company. We would cease to be an emerging growth company following the fifth anniversary of the date of the completion of this offering or earlier if we have more than $1.07 billion in annual revenues, are deemed to be a “large accelerated filer” under the rules of the SEC, or issue more than $1.0 billion of nonconvertible debt over a three-year period. We may also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Given that we currently report and expect to continue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61</w:t>
      </w:r>
    </w:p>
    <w:p>
      <w:pPr>
        <w:sectPr>
          <w:pgSz w:w="11900" w:h="16838" w:orient="portrait"/>
          <w:cols w:equalWidth="0" w:num="1">
            <w:col w:w="11240"/>
          </w:cols>
          <w:pgMar w:left="32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32406B"/>
        </w:rPr>
        <w:t>report under IFRS, as issued by the IASB, we have irrevocably elected not to avail ourselves of this extended transition period and, as a result, we will adopt new or revised accounting standards on the relevant dates on which adoption of such standards is required by the IASB. We have taken advantage of reduced reporting requirements in this prospectus. Accordingly, the information contained herein may be different than the information you receive from other public companies in which you hold equity securities.</w:t>
      </w:r>
    </w:p>
    <w:p>
      <w:pPr>
        <w:spacing w:after="0" w:line="284" w:lineRule="exact"/>
        <w:rPr>
          <w:sz w:val="20"/>
          <w:szCs w:val="20"/>
          <w:color w:val="auto"/>
        </w:rPr>
      </w:pPr>
    </w:p>
    <w:p>
      <w:pPr>
        <w:ind w:left="460"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The rights of shareholders in companies subject to Dutch corporate law differ in material respects from the rights of shareholders of corporations incorporated in the United States.</w:t>
      </w:r>
    </w:p>
    <w:p>
      <w:pPr>
        <w:spacing w:after="0" w:line="4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Prior to the consummation of this offering, we intend to convert into a Dutch public company with limited liability (</w:t>
      </w:r>
      <w:r>
        <w:rPr>
          <w:rFonts w:ascii="Times New Roman" w:cs="Times New Roman" w:eastAsia="Times New Roman" w:hAnsi="Times New Roman"/>
          <w:sz w:val="18"/>
          <w:szCs w:val="18"/>
          <w:i w:val="1"/>
          <w:iCs w:val="1"/>
          <w:color w:val="32406B"/>
        </w:rPr>
        <w:t>naamloze vennootschap</w:t>
      </w:r>
      <w:r>
        <w:rPr>
          <w:rFonts w:ascii="Times New Roman" w:cs="Times New Roman" w:eastAsia="Times New Roman" w:hAnsi="Times New Roman"/>
          <w:sz w:val="18"/>
          <w:szCs w:val="18"/>
          <w:color w:val="32406B"/>
        </w:rPr>
        <w:t>). Our corporate affairs are, and will be, governed by our Articles of Association, our internal rules and policies and by Dutch law.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289" w:lineRule="exact"/>
        <w:rPr>
          <w:sz w:val="20"/>
          <w:szCs w:val="20"/>
          <w:color w:val="auto"/>
        </w:rPr>
      </w:pPr>
    </w:p>
    <w:p>
      <w:pPr>
        <w:ind w:left="46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Dutch corporate law and our Articles of Association contain or may contain provisions that may discourage, delay or prevent a takeover attempt, which could adversely affect the price of our ordinary shares.</w:t>
      </w:r>
    </w:p>
    <w:p>
      <w:pPr>
        <w:spacing w:after="0" w:line="51" w:lineRule="exact"/>
        <w:rPr>
          <w:sz w:val="20"/>
          <w:szCs w:val="20"/>
          <w:color w:val="auto"/>
        </w:rPr>
      </w:pPr>
    </w:p>
    <w:p>
      <w:pPr>
        <w:ind w:right="500" w:firstLine="449"/>
        <w:spacing w:after="0" w:line="261" w:lineRule="auto"/>
        <w:rPr>
          <w:sz w:val="20"/>
          <w:szCs w:val="20"/>
          <w:color w:val="auto"/>
        </w:rPr>
      </w:pPr>
      <w:r>
        <w:rPr>
          <w:rFonts w:ascii="Times New Roman" w:cs="Times New Roman" w:eastAsia="Times New Roman" w:hAnsi="Times New Roman"/>
          <w:sz w:val="18"/>
          <w:szCs w:val="18"/>
          <w:color w:val="32406B"/>
        </w:rPr>
        <w:t>Under Dutch law, various protective measures are possible and permissible within the boundaries set by Dutch law and Dutch case law. In this respect, prior to the consummation of this offering, our general meeting shall authorize our Board for a period of five years after our conversion into Pharvaris N.V. to grant a call option to an independent foundation under Dutch law (if and when incorporated), or protective foundation, to acquire preferred shares pursuant to a call option agreement that may be entered into between us and such protective foundation.</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 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ordinary shares, the announcement of an unsolicited public offer for our ordinary shares, shareholder activism, other concentration of control over our ordinary shares or any other form of undue pressure on us to alter our strategic policies. The protective foundation, if and when incorporated, shall be structured to operate independently of us.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62</w:t>
      </w:r>
    </w:p>
    <w:p>
      <w:pPr>
        <w:sectPr>
          <w:pgSz w:w="11900" w:h="16838" w:orient="portrait"/>
          <w:cols w:equalWidth="0" w:num="1">
            <w:col w:w="11200"/>
          </w:cols>
          <w:pgMar w:left="320" w:top="455" w:right="3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The voting rights of our shares are based on nominal value and, as we expect our ordinary shares to trade substantially in excess of their nominal value, preferred shares issued at 25% of their nominal value can carry significant voting power for a substantially reduced price compared to the price of our ordinary shares and thus can be used as a defensive measure. These preferred shares, if and when issued, will have both a liquidation and dividend preference over our ordinary shares and will accrue a cash preferred dividend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92"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32406B"/>
        </w:rPr>
        <w:t>In addition, we have adopted several provisions that may have the effect of making a takeover of our Company more difficult or less attractive, including:</w:t>
      </w:r>
    </w:p>
    <w:p>
      <w:pPr>
        <w:spacing w:after="0" w:line="67" w:lineRule="exact"/>
        <w:rPr>
          <w:sz w:val="20"/>
          <w:szCs w:val="20"/>
          <w:color w:val="auto"/>
        </w:rPr>
      </w:pPr>
    </w:p>
    <w:p>
      <w:pPr>
        <w:jc w:val="both"/>
        <w:ind w:left="1000" w:right="260" w:hanging="547"/>
        <w:spacing w:after="0" w:line="266" w:lineRule="auto"/>
        <w:tabs>
          <w:tab w:leader="none" w:pos="1000" w:val="left"/>
        </w:tabs>
        <w:numPr>
          <w:ilvl w:val="0"/>
          <w:numId w:val="3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directors being appointed on the basis of a binding nomination by our Board, which can only be overruled by the general meeting by a resolution adopted by at least a two-thirds majority of the votes cast, provided such majority represents more than half of our issued share capital (in which case the Board shall make a new nomination);</w:t>
      </w:r>
    </w:p>
    <w:p>
      <w:pPr>
        <w:spacing w:after="0" w:line="81" w:lineRule="exact"/>
        <w:rPr>
          <w:rFonts w:ascii="Times New Roman" w:cs="Times New Roman" w:eastAsia="Times New Roman" w:hAnsi="Times New Roman"/>
          <w:sz w:val="18"/>
          <w:szCs w:val="18"/>
          <w:color w:val="32406B"/>
        </w:rPr>
      </w:pPr>
    </w:p>
    <w:p>
      <w:pPr>
        <w:ind w:left="1000" w:right="140" w:hanging="547"/>
        <w:spacing w:after="0" w:line="282" w:lineRule="auto"/>
        <w:tabs>
          <w:tab w:leader="none" w:pos="1000" w:val="left"/>
        </w:tabs>
        <w:numPr>
          <w:ilvl w:val="0"/>
          <w:numId w:val="3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provision that our directors may only be removed by the general meeting by a two-thirds majority of the votes cast representing more than half of our issued share capital if such removal is not proposed by our Board;</w:t>
      </w:r>
    </w:p>
    <w:p>
      <w:pPr>
        <w:spacing w:after="0" w:line="67" w:lineRule="exact"/>
        <w:rPr>
          <w:rFonts w:ascii="Times New Roman" w:cs="Times New Roman" w:eastAsia="Times New Roman" w:hAnsi="Times New Roman"/>
          <w:sz w:val="18"/>
          <w:szCs w:val="18"/>
          <w:color w:val="32406B"/>
        </w:rPr>
      </w:pPr>
    </w:p>
    <w:p>
      <w:pPr>
        <w:ind w:left="1000" w:right="240" w:hanging="547"/>
        <w:spacing w:after="0" w:line="282" w:lineRule="auto"/>
        <w:tabs>
          <w:tab w:leader="none" w:pos="1000" w:val="left"/>
        </w:tabs>
        <w:numPr>
          <w:ilvl w:val="0"/>
          <w:numId w:val="3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provision which allows the most recent (former) chairman of our Board or our most recent (former) chief executive officer to be charged with our management if all of our directors are absent or incapacitated; and</w:t>
      </w:r>
    </w:p>
    <w:p>
      <w:pPr>
        <w:spacing w:after="0" w:line="67"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3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requirements that certain matters, including an amendment of our Articles of Association, may only be brought to our shareholders for a vote upon a proposal by our Board.</w:t>
      </w:r>
    </w:p>
    <w:p>
      <w:pPr>
        <w:spacing w:after="0" w:line="162" w:lineRule="exact"/>
        <w:rPr>
          <w:sz w:val="20"/>
          <w:szCs w:val="20"/>
          <w:color w:val="auto"/>
        </w:rPr>
      </w:pPr>
    </w:p>
    <w:p>
      <w:pPr>
        <w:ind w:right="600" w:firstLine="449"/>
        <w:spacing w:after="0" w:line="282" w:lineRule="auto"/>
        <w:rPr>
          <w:sz w:val="20"/>
          <w:szCs w:val="20"/>
          <w:color w:val="auto"/>
        </w:rPr>
      </w:pPr>
      <w:r>
        <w:rPr>
          <w:rFonts w:ascii="Times New Roman" w:cs="Times New Roman" w:eastAsia="Times New Roman" w:hAnsi="Times New Roman"/>
          <w:sz w:val="18"/>
          <w:szCs w:val="18"/>
          <w:color w:val="32406B"/>
        </w:rPr>
        <w:t>In addition, Dutch law allows for staggered multi-year terms of our directors, as a result of which only part of our directors may be subject to appointment or re-appointment in any one year.</w:t>
      </w:r>
    </w:p>
    <w:p>
      <w:pPr>
        <w:spacing w:after="0" w:line="266" w:lineRule="exact"/>
        <w:rPr>
          <w:sz w:val="20"/>
          <w:szCs w:val="20"/>
          <w:color w:val="auto"/>
        </w:rPr>
      </w:pPr>
    </w:p>
    <w:p>
      <w:pPr>
        <w:ind w:left="46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Shareholders may not be able to exercise preemptive rights and, as a result, may experience substantial dilution upon future issuances of ordinary shares.</w:t>
      </w:r>
    </w:p>
    <w:p>
      <w:pPr>
        <w:spacing w:after="0" w:line="5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32406B"/>
        </w:rPr>
        <w:t>In the event of an issuance of our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Prior to the closing of this offering, our Board will be authorized, for a period of five years after our conversion into Pharvaris N.V.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291" w:lineRule="exact"/>
        <w:rPr>
          <w:sz w:val="20"/>
          <w:szCs w:val="20"/>
          <w:color w:val="auto"/>
        </w:rPr>
      </w:pPr>
    </w:p>
    <w:p>
      <w:pPr>
        <w:ind w:left="4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U.S. investors may have difficulty enforcing civil liabilities against our company and directors and senior management and the experts named in this prospectus.</w:t>
      </w:r>
    </w:p>
    <w:p>
      <w:pPr>
        <w:spacing w:after="0" w:line="5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We are incorporated under the laws of the Netherlands and have our statutory seat (statutaire zetel) in Leiden, the Netherlands. Some of our assets are located outside the United States and most members of the Board and Senior Management reside outside of the United States. As a result, it may not be possible for investors to effect service of process within the United States upon such persons or to enforce against them or us the U.S. courts’ judgments predicated upon the civil liability provisions of the federal securities laws of the United States.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63</w:t>
      </w:r>
    </w:p>
    <w:p>
      <w:pPr>
        <w:sectPr>
          <w:pgSz w:w="11900" w:h="16838" w:orient="portrait"/>
          <w:cols w:equalWidth="0" w:num="1">
            <w:col w:w="11220"/>
          </w:cols>
          <w:pgMar w:left="320" w:top="455" w:right="3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2406B"/>
        </w:rPr>
        <w:t>Foreign courts may refuse to hear a United States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Further, if U.S. law is found to be applicable, the content of applicable U.S. law must be proved as a fact, which can be a time-consuming and costly process, and certain matters of procedure would still be governed by the law of the jurisdiction in which the foreign court resides.</w:t>
      </w:r>
    </w:p>
    <w:p>
      <w:pPr>
        <w:spacing w:after="0" w:line="162"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Times New Roman" w:cs="Times New Roman" w:eastAsia="Times New Roman" w:hAnsi="Times New Roman"/>
          <w:sz w:val="18"/>
          <w:szCs w:val="18"/>
          <w:i w:val="1"/>
          <w:iCs w:val="1"/>
          <w:color w:val="32406B"/>
        </w:rPr>
        <w:t>behoorlijke rechtspleging</w:t>
      </w:r>
      <w:r>
        <w:rPr>
          <w:rFonts w:ascii="Times New Roman" w:cs="Times New Roman" w:eastAsia="Times New Roman" w:hAnsi="Times New Roman"/>
          <w:sz w:val="18"/>
          <w:szCs w:val="18"/>
          <w:color w:val="32406B"/>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Times New Roman" w:cs="Times New Roman" w:eastAsia="Times New Roman" w:hAnsi="Times New Roman"/>
          <w:sz w:val="18"/>
          <w:szCs w:val="18"/>
          <w:i w:val="1"/>
          <w:iCs w:val="1"/>
          <w:color w:val="32406B"/>
        </w:rPr>
        <w:t>openbare orde</w:t>
      </w:r>
      <w:r>
        <w:rPr>
          <w:rFonts w:ascii="Times New Roman" w:cs="Times New Roman" w:eastAsia="Times New Roman" w:hAnsi="Times New Roman"/>
          <w:sz w:val="18"/>
          <w:szCs w:val="18"/>
          <w:color w:val="32406B"/>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Times New Roman" w:cs="Times New Roman" w:eastAsia="Times New Roman" w:hAnsi="Times New Roman"/>
          <w:sz w:val="18"/>
          <w:szCs w:val="18"/>
          <w:i w:val="1"/>
          <w:iCs w:val="1"/>
          <w:color w:val="32406B"/>
        </w:rPr>
        <w:t>Wetboek van Burgerlijke Rechtsvordering</w:t>
      </w:r>
      <w:r>
        <w:rPr>
          <w:rFonts w:ascii="Times New Roman" w:cs="Times New Roman" w:eastAsia="Times New Roman" w:hAnsi="Times New Roman"/>
          <w:sz w:val="18"/>
          <w:szCs w:val="18"/>
          <w:color w:val="32406B"/>
        </w:rPr>
        <w:t>).</w:t>
      </w:r>
    </w:p>
    <w:p>
      <w:pPr>
        <w:spacing w:after="0" w:line="19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Additionally, our Articles of Association provide that the U.S. federal district courts shall be the sole and exclusive forum for any claim asserting a cause of action arising under the Securities Act. This choice of forum provision may limit a 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w:t>
      </w:r>
    </w:p>
    <w:p>
      <w:pPr>
        <w:spacing w:after="0" w:line="180"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Based on the foregoing, there can be no assurance that U.S. investors will be able to enforce any judgments obtained against members of the Board, our Senior Management, against us, or certain experts named herein who are residents of or possessing assets in the Netherlands or other countries other than the United States, in U.S. courts in civil and commercial matters, including judgments under the U.S. federal securities laws.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We may be a passive foreign investment company, or “PFIC,” which could result in adverse U.S. federal income tax consequences to U.S.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investors.</w:t>
      </w:r>
    </w:p>
    <w:p>
      <w:pPr>
        <w:spacing w:after="0" w:line="9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assets and activities and the expected price of our ordinary shares in this offering, we do not believe we were 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64</w:t>
      </w:r>
    </w:p>
    <w:p>
      <w:pPr>
        <w:sectPr>
          <w:pgSz w:w="11900" w:h="16838" w:orient="portrait"/>
          <w:cols w:equalWidth="0" w:num="1">
            <w:col w:w="11240"/>
          </w:cols>
          <w:pgMar w:left="320" w:top="455"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32406B"/>
        </w:rPr>
        <w:t>PFIC in 2019 and we do not expect to be a PFIC for our current taxable year or in the foreseeable future. In addition, we may, directly or indirectly, hold equity interests in other PFICs. Whether we or any of our subsidiaries will be a PFIC in 2020 or any future year is a factual determination that must be made annually at the close of each taxable year, and, thus, is subject to significant uncertainty, because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2020 or any future taxable year.</w:t>
      </w:r>
    </w:p>
    <w:p>
      <w:pPr>
        <w:spacing w:after="0" w:line="187" w:lineRule="exact"/>
        <w:rPr>
          <w:sz w:val="20"/>
          <w:szCs w:val="20"/>
          <w:color w:val="auto"/>
        </w:rPr>
      </w:pPr>
    </w:p>
    <w:p>
      <w:pPr>
        <w:ind w:right="200" w:firstLine="449"/>
        <w:spacing w:after="0" w:line="254" w:lineRule="auto"/>
        <w:rPr>
          <w:sz w:val="20"/>
          <w:szCs w:val="20"/>
          <w:color w:val="auto"/>
        </w:rPr>
      </w:pPr>
      <w:r>
        <w:rPr>
          <w:rFonts w:ascii="Times New Roman" w:cs="Times New Roman" w:eastAsia="Times New Roman" w:hAnsi="Times New Roman"/>
          <w:sz w:val="18"/>
          <w:szCs w:val="18"/>
          <w:color w:val="32406B"/>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9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For further discussion, see “Material United States and Dutch Income Tax Considerations—Material U.S. Federal Income Tax Considerations to U.S.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General Risk Factors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Our internal computer systems, or those used by our clinical investigators, contractors or consultants, may fail or suffer security breaches.</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65</w:t>
      </w:r>
    </w:p>
    <w:p>
      <w:pPr>
        <w:sectPr>
          <w:pgSz w:w="11900" w:h="16838" w:orient="portrait"/>
          <w:cols w:equalWidth="0" w:num="1">
            <w:col w:w="11220"/>
          </w:cols>
          <w:pgMar w:left="320" w:top="455" w:right="3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32406B"/>
        </w:rPr>
        <w:t>(e.g.,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291" w:lineRule="exact"/>
        <w:rPr>
          <w:sz w:val="20"/>
          <w:szCs w:val="20"/>
          <w:color w:val="auto"/>
        </w:rPr>
      </w:pPr>
    </w:p>
    <w:p>
      <w:pPr>
        <w:ind w:left="46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32406B"/>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298" w:lineRule="exact"/>
        <w:rPr>
          <w:sz w:val="20"/>
          <w:szCs w:val="20"/>
          <w:color w:val="auto"/>
        </w:rPr>
      </w:pPr>
    </w:p>
    <w:p>
      <w:pPr>
        <w:ind w:left="4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The market price of our ordinary shares may be highly volatile, and you may not be able to resell our ordinary shares at or above the initial public offering price.</w:t>
      </w:r>
    </w:p>
    <w:p>
      <w:pPr>
        <w:spacing w:after="0" w:line="5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The initial public offering price for our ordinary shares was determined by negotiations between us and the representatives of the underwriters and may not be indicative of prices that will prevail in the trading market for our ordinary shares.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89" w:lineRule="exact"/>
        <w:rPr>
          <w:sz w:val="20"/>
          <w:szCs w:val="20"/>
          <w:color w:val="auto"/>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results and timing of clinical trials of our and our competitors’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failure of any of our product candidates, if approved, to achieve commercial success;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competition from existing products or new products that may emerge;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issues in manufacturing our product candidates or future approved products;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public concern relating to the commercial value or safety of any of our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disputes or other developments related to proprietary rights, including patents, litigation matters, and our ability to obtain intellectual property protection for our technologies;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failure to adequately protect our trade secrets;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additions and departures of key personnel;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inability to raise additional capital or the terms on which we raise it;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66</w:t>
      </w:r>
    </w:p>
    <w:p>
      <w:pPr>
        <w:sectPr>
          <w:pgSz w:w="11900" w:h="16838" w:orient="portrait"/>
          <w:cols w:equalWidth="0" w:num="1">
            <w:col w:w="11220"/>
          </w:cols>
          <w:pgMar w:left="320" w:top="455" w:right="3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40" w:hanging="547"/>
        <w:spacing w:after="0" w:line="282" w:lineRule="auto"/>
        <w:tabs>
          <w:tab w:leader="none" w:pos="1000" w:val="left"/>
        </w:tabs>
        <w:numPr>
          <w:ilvl w:val="0"/>
          <w:numId w:val="3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period-to-period fluctuations in our financial condition and results of operations, including the timing of receipt of any milestone or other payments under commercialization or licensing agreements;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public health crises, illnesses, epidemics or pandemics, such as the COVID-19 pandemic;</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market conditions for biopharmaceutical stocks;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general market and economic conditions;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3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other risk factors discussed in this section.</w:t>
      </w:r>
    </w:p>
    <w:p>
      <w:pPr>
        <w:spacing w:after="0" w:line="225"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In addition, the stock market in general has experienced substantial price and volume fluctuations that have often been unrelated or disproportionate to the operating performance of particular companies affected. These broad market and industry factors may materially harm the market price of our ordinary shares, regardless of our operating performance. As a result of this volatility, you may not be able to sell your ordinary shares at or above the public offering price.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3" w:lineRule="exact"/>
        <w:rPr>
          <w:sz w:val="20"/>
          <w:szCs w:val="20"/>
          <w:color w:val="auto"/>
        </w:rPr>
      </w:pPr>
    </w:p>
    <w:p>
      <w:pPr>
        <w:ind w:left="4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If securities or industry analysts do not publish research or publish inaccurate or unfavorable research about our business, the price of our ordinary shares and trading volume could decline.</w:t>
      </w:r>
    </w:p>
    <w:p>
      <w:pPr>
        <w:spacing w:after="0" w:line="5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32406B"/>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covers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287" w:lineRule="exact"/>
        <w:rPr>
          <w:sz w:val="20"/>
          <w:szCs w:val="20"/>
          <w:color w:val="auto"/>
        </w:rPr>
      </w:pPr>
    </w:p>
    <w:p>
      <w:pPr>
        <w:ind w:left="4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32406B"/>
        </w:rPr>
        <w:t>We will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As a public company, and particularly after we are no longer an “emerging growth company,” we will incur significant legal, accounting and other expenses.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67</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32406B"/>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67"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32406B"/>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Our disclosure controls and procedures may not prevent or detect all errors or acts of fraud.</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Upon the closing of this offering, we will become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68</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32406B"/>
        </w:rPr>
        <w:t>CAUTIONARY STATEMENT REGARDING FORWARD-LOOKING STATEMENTS</w:t>
      </w:r>
    </w:p>
    <w:p>
      <w:pPr>
        <w:spacing w:after="0" w:line="22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This prospectus contains certain statements that are or may be forward-looking statements with respect to us, our industry and our business that involve substantial risks and uncertainties. All statements other than statements of historical fact contained in this prospectus,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94" w:lineRule="exact"/>
        <w:rPr>
          <w:sz w:val="20"/>
          <w:szCs w:val="20"/>
          <w:color w:val="auto"/>
        </w:rPr>
      </w:pPr>
    </w:p>
    <w:p>
      <w:pPr>
        <w:ind w:left="1000" w:right="14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expected timing, progress or success of our clinical development programs, especially for PHVS416 and PHVS719, which are in early-stage clinical trials;</w:t>
      </w:r>
    </w:p>
    <w:p>
      <w:pPr>
        <w:spacing w:after="0" w:line="67"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risks associated with the COVID-19 pandemic, which may adversely impact our business, preclinical studies and clinical trials, the timing of regulatory approvals and the value of our ordinary shares;</w:t>
      </w:r>
    </w:p>
    <w:p>
      <w:pPr>
        <w:spacing w:after="0" w:line="67"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timing, costs and other limitations involved in obtaining regulatory approval for our product candidates PHVS416 and PHVS719 or any other product candidate that we may develop in the future;</w:t>
      </w:r>
    </w:p>
    <w:p>
      <w:pPr>
        <w:spacing w:after="0" w:line="67"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market, commercialize and achieve market acceptance for our product candidates PHVS416 and PHVS719 or any of our other product candidates that we may develop in the future, if approved;</w:t>
      </w:r>
    </w:p>
    <w:p>
      <w:pPr>
        <w:spacing w:after="0" w:line="67" w:lineRule="exact"/>
        <w:rPr>
          <w:rFonts w:ascii="Times New Roman" w:cs="Times New Roman" w:eastAsia="Times New Roman" w:hAnsi="Times New Roman"/>
          <w:sz w:val="18"/>
          <w:szCs w:val="18"/>
          <w:color w:val="32406B"/>
        </w:rPr>
      </w:pPr>
    </w:p>
    <w:p>
      <w:pPr>
        <w:ind w:left="1000" w:right="74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establish commercial capabilities or enter into agreements with third parties to market, sell and distribute our product candidates;</w:t>
      </w:r>
    </w:p>
    <w:p>
      <w:pPr>
        <w:spacing w:after="0" w:line="67" w:lineRule="exact"/>
        <w:rPr>
          <w:rFonts w:ascii="Times New Roman" w:cs="Times New Roman" w:eastAsia="Times New Roman" w:hAnsi="Times New Roman"/>
          <w:sz w:val="18"/>
          <w:szCs w:val="18"/>
          <w:color w:val="32406B"/>
        </w:rPr>
      </w:pPr>
    </w:p>
    <w:p>
      <w:pPr>
        <w:ind w:left="1000" w:right="72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dependence on third parties to perform critical activities related to the research, development and manufacturing of our product candidates;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disruptions at the FDA and other government agencies;</w:t>
      </w:r>
    </w:p>
    <w:p>
      <w:pPr>
        <w:spacing w:after="0" w:line="130"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expense, time and uncertainty involved in the development and consistent manufacturing and supply of our product candidates, some or all of which may never reach the regulatory approval stage;</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raise capital when needed and on acceptable terms;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enter into any new licensing agreements or to maintain any licensing agreements with respect to our product candidates;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reliance on collaboration partners and licensees, whose actions we cannot control;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willingness of private insurers and other payors to provide reimbursement for our products;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regulatory developments in the United States, the European Union and other jurisdictions;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outcome and timing of price negotiations with governmental authorities;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compete in the pharmaceutical industry and with competitive generic products;</w:t>
      </w:r>
    </w:p>
    <w:p>
      <w:pPr>
        <w:spacing w:after="0" w:line="130"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protect our intellectual property and know-how and operate our business without infringing the intellectual property rights or regulatory exclusivity of others;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side effects or adverse events associated with the use of our product candidates;</w:t>
      </w:r>
    </w:p>
    <w:p>
      <w:pPr>
        <w:spacing w:after="0" w:line="130" w:lineRule="exact"/>
        <w:rPr>
          <w:rFonts w:ascii="Times New Roman" w:cs="Times New Roman" w:eastAsia="Times New Roman" w:hAnsi="Times New Roman"/>
          <w:sz w:val="18"/>
          <w:szCs w:val="18"/>
          <w:color w:val="32406B"/>
        </w:rPr>
      </w:pPr>
    </w:p>
    <w:p>
      <w:pPr>
        <w:ind w:left="1000" w:right="420" w:hanging="547"/>
        <w:spacing w:after="0" w:line="282" w:lineRule="auto"/>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defend against costly and damaging liability claims resulting from the testing of our product candidates in the clinic or, if, approved, any commercial sales;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loss of any of our key personnel;</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estimates of market sizes and anticipated uses of our product candidates;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32406B"/>
        </w:rPr>
        <w:t>69</w:t>
      </w:r>
    </w:p>
    <w:p>
      <w:pPr>
        <w:sectPr>
          <w:pgSz w:w="11900" w:h="16838" w:orient="portrait"/>
          <w:cols w:equalWidth="0" w:num="1">
            <w:col w:w="11160"/>
          </w:cols>
          <w:pgMar w:left="320" w:top="455" w:right="41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estimates of future performance;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estimates regarding anticipated operating losses, future revenues, expenses, capital requirements and our needs for additional financing;</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comply with existing or future laws and regulations in a cost-efficient manner;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manage negative consequences from changes in applicable laws and regulations, including tax laws;</w:t>
      </w:r>
    </w:p>
    <w:p>
      <w:pPr>
        <w:spacing w:after="0" w:line="130" w:lineRule="exact"/>
        <w:rPr>
          <w:rFonts w:ascii="Times New Roman" w:cs="Times New Roman" w:eastAsia="Times New Roman" w:hAnsi="Times New Roman"/>
          <w:sz w:val="18"/>
          <w:szCs w:val="18"/>
          <w:color w:val="32406B"/>
        </w:rPr>
      </w:pPr>
    </w:p>
    <w:p>
      <w:pPr>
        <w:ind w:left="1000" w:right="400" w:hanging="547"/>
        <w:spacing w:after="0" w:line="282" w:lineRule="auto"/>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ability to successfully remediate the material weaknesses in our internal control over financial reporting and to maintain an effective system of internal control over financial reporting;</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expectations regarding the time during which we will be an emerging growth company under the JOBS Act or a foreign private issuer;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changes in general market, political and economic conditions;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expected use of proceeds from this offering.</w:t>
      </w:r>
    </w:p>
    <w:p>
      <w:pPr>
        <w:spacing w:after="0" w:line="225"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offering.</w:t>
      </w:r>
    </w:p>
    <w:p>
      <w:pPr>
        <w:spacing w:after="0" w:line="192"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In addition, statements that “we believe” and other similar statements reflect our belief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70</w:t>
      </w:r>
    </w:p>
    <w:p>
      <w:pPr>
        <w:sectPr>
          <w:pgSz w:w="11900" w:h="16838" w:orient="portrait"/>
          <w:cols w:equalWidth="0" w:num="1">
            <w:col w:w="11220"/>
          </w:cols>
          <w:pgMar w:left="320" w:top="455" w:right="3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USE OF PROCEEDS</w:t>
      </w:r>
    </w:p>
    <w:p>
      <w:pPr>
        <w:spacing w:after="0" w:line="229" w:lineRule="exact"/>
        <w:rPr>
          <w:sz w:val="20"/>
          <w:szCs w:val="20"/>
          <w:color w:val="auto"/>
        </w:rPr>
      </w:pPr>
    </w:p>
    <w:p>
      <w:pPr>
        <w:jc w:val="both"/>
        <w:ind w:right="100" w:firstLine="449"/>
        <w:spacing w:after="0" w:line="266" w:lineRule="auto"/>
        <w:rPr>
          <w:sz w:val="20"/>
          <w:szCs w:val="20"/>
          <w:color w:val="auto"/>
        </w:rPr>
      </w:pPr>
      <w:r>
        <w:rPr>
          <w:rFonts w:ascii="Times New Roman" w:cs="Times New Roman" w:eastAsia="Times New Roman" w:hAnsi="Times New Roman"/>
          <w:sz w:val="18"/>
          <w:szCs w:val="18"/>
          <w:color w:val="32406B"/>
        </w:rPr>
        <w:t>We estimate that we will receive net proceeds from this offering of approximately $151.3 million (€129.3 million) (or approximately $174.4 million (€149.0 million) if the underwriters exercise in full their overallotment option), after deducting the underwriting discounts and commissions and estimated expenses of the offering that are payable by 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currently expect to use the net proceeds from this offering as follows:</w:t>
      </w:r>
    </w:p>
    <w:p>
      <w:pPr>
        <w:spacing w:after="0" w:line="131" w:lineRule="exact"/>
        <w:rPr>
          <w:sz w:val="20"/>
          <w:szCs w:val="20"/>
          <w:color w:val="auto"/>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approximately $50 million (€43 million) to develop our product candidate PHVS416;</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approximately $61 million (€52 million) to develop our product candidate PHVS719;</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approximately $12 million (€10 million) for additional clinical development and product discovery;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remainder for general corporate purposes.</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 xml:space="preserve">Based on our planned use of the net proceeds of the offering and our current cash and current financial assets, we estimate that such funds will be sufficient to enable us to fund our business through at least the next 24 months. We expect our net proceeds to be more than sufficient to fund the RAPIDe-1 Phase 2 clinical trial of PHVS416, the Phase 2 clinical trial for prophylaxis, the bridging study between our formulation of PHVS719 and PHVS416, and the </w:t>
      </w:r>
      <w:r>
        <w:rPr>
          <w:rFonts w:ascii="Times New Roman" w:cs="Times New Roman" w:eastAsia="Times New Roman" w:hAnsi="Times New Roman"/>
          <w:sz w:val="15"/>
          <w:szCs w:val="15"/>
          <w:color w:val="32406B"/>
        </w:rPr>
        <w:t>14</w:t>
      </w:r>
      <w:r>
        <w:rPr>
          <w:rFonts w:ascii="Times New Roman" w:cs="Times New Roman" w:eastAsia="Times New Roman" w:hAnsi="Times New Roman"/>
          <w:sz w:val="18"/>
          <w:szCs w:val="18"/>
          <w:color w:val="32406B"/>
        </w:rPr>
        <w:t>C-PHA121 trial to characterize its absorption, metabolism and excretion. We have based this estimate on assumptions that may prove to be incorrect, and we could use our available capital resources sooner than we currently expect.</w:t>
      </w:r>
    </w:p>
    <w:p>
      <w:pPr>
        <w:spacing w:after="0" w:line="183"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Our expected use of the net proceeds from this offering represents our current intentions based upon our present plans and business conditions, which could change in the future as our plans and business conditions evolve. We cannot predict with certainty all of the particular uses for the net proceeds to be received upon the consummation of this offering or the amounts that we will actually spend on the uses set forth above. For example, we may use a portion of the net proceeds to in-license, acquire or invest in complementary technologies, products or assets. However, we have no current plan, commitments or obligations to do so. There is a risk that our development of our product candidates PHVS416 and PHVS719 or any other future clinical development or product discovery program may not result in marketing approval. To the extent that we fail to obtain approval to market our product candidates PHVS416 and PHVS719 or any other clinical development or product discovery program in a timely manner and have to continue clinical trials over a longer period of time, our research and development expenses may further increase. We cannot assure that we will be able to successfully develop and commercialize our product candidates PHVS416 and PHVS719 or any other future clinical development or product discovery program, if approved for marketing, due to risks and uncertainties including those factors described above. See “Risk Factors.” The amounts and timing of our actual expenditures and the extent of clinical development may vary significantly depending on numerous factors, including the progress, timing and completion of our development efforts, the status of and results from our ongoing clinical trials or any preclinical studies or other clinical trials we may commence in the future, the time and costs involved in obtaining regulatory approval for our product candidates PHVS416 and PHVS719 or any other future clinical development or product discovery program, as well as maintaining our existing collaborations and any collaborations that we may enter into with third parties for our product candidates and any unforeseen cash needs. As a result, our Board will have broad discretion in applying the net proceeds of this offering, and investors will be relying on our judgment regarding the application of the net proceeds of this offering.</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71</w:t>
      </w:r>
    </w:p>
    <w:p>
      <w:pPr>
        <w:sectPr>
          <w:pgSz w:w="11900" w:h="16838" w:orient="portrait"/>
          <w:cols w:equalWidth="0" w:num="1">
            <w:col w:w="11220"/>
          </w:cols>
          <w:pgMar w:left="320" w:top="455" w:right="3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2406B"/>
        </w:rPr>
        <w:t>DIVIDEND POLICY</w:t>
      </w:r>
    </w:p>
    <w:p>
      <w:pPr>
        <w:spacing w:after="0" w:line="229"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32406B"/>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and following the consummation of this offering, we may only pay dividends to the extent our shareholders’ equity (</w:t>
      </w:r>
      <w:r>
        <w:rPr>
          <w:rFonts w:ascii="Times New Roman" w:cs="Times New Roman" w:eastAsia="Times New Roman" w:hAnsi="Times New Roman"/>
          <w:sz w:val="18"/>
          <w:szCs w:val="18"/>
          <w:i w:val="1"/>
          <w:iCs w:val="1"/>
          <w:color w:val="32406B"/>
        </w:rPr>
        <w:t>eigen vermogen</w:t>
      </w:r>
      <w:r>
        <w:rPr>
          <w:rFonts w:ascii="Times New Roman" w:cs="Times New Roman" w:eastAsia="Times New Roman" w:hAnsi="Times New Roman"/>
          <w:sz w:val="18"/>
          <w:szCs w:val="18"/>
          <w:color w:val="32406B"/>
        </w:rPr>
        <w:t>) exceeds the sum of the paid-up and called-up share capital plus the reserves required to be maintained by Dutch law or by our Articles of Association that will be effective upon consummation of this offering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Under our Articles of Association that will be effective upon consummation of this offering,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shall be added to our reserves. After such reservation, any remaining profit will be at the disposal of the general meeting at the proposal of our Board for distribution on our ordinary shares, subject to the applicable restrictions of Dutch law. Our Board is permitted, subject to certain requirements, to declare interim dividends without the approval of the general meeting. 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32406B"/>
        </w:rPr>
        <w:t>verjaring</w:t>
      </w:r>
      <w:r>
        <w:rPr>
          <w:rFonts w:ascii="Times New Roman" w:cs="Times New Roman" w:eastAsia="Times New Roman" w:hAnsi="Times New Roman"/>
          <w:sz w:val="18"/>
          <w:szCs w:val="18"/>
          <w:color w:val="32406B"/>
        </w:rPr>
        <w: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72</w:t>
      </w:r>
    </w:p>
    <w:p>
      <w:pPr>
        <w:sectPr>
          <w:pgSz w:w="11900" w:h="16838" w:orient="portrait"/>
          <w:cols w:equalWidth="0" w:num="1">
            <w:col w:w="11200"/>
          </w:cols>
          <w:pgMar w:left="320" w:top="455" w:right="3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table below sets forth our cash and our total capitalization (defined as total debt and shareholders’ equity) as of September 30, 2020:</w:t>
      </w:r>
    </w:p>
    <w:p>
      <w:pPr>
        <w:spacing w:after="0" w:line="131" w:lineRule="exact"/>
        <w:rPr>
          <w:sz w:val="20"/>
          <w:szCs w:val="20"/>
          <w:color w:val="auto"/>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actual basis;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as adjusted basis to give effect to the closing of our Series C financing; and</w:t>
      </w:r>
    </w:p>
    <w:p>
      <w:pPr>
        <w:spacing w:after="0" w:line="130" w:lineRule="exact"/>
        <w:rPr>
          <w:rFonts w:ascii="Times New Roman" w:cs="Times New Roman" w:eastAsia="Times New Roman" w:hAnsi="Times New Roman"/>
          <w:sz w:val="18"/>
          <w:szCs w:val="18"/>
          <w:color w:val="32406B"/>
        </w:rPr>
      </w:pPr>
    </w:p>
    <w:p>
      <w:pPr>
        <w:ind w:left="1000" w:right="60" w:hanging="547"/>
        <w:spacing w:after="0" w:line="266" w:lineRule="auto"/>
        <w:tabs>
          <w:tab w:leader="none" w:pos="1000" w:val="left"/>
        </w:tabs>
        <w:numPr>
          <w:ilvl w:val="0"/>
          <w:numId w:val="4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an as further adjusted basis to also give effect to the conversion of all of our preferred shares into ordinary shares and the sale of ordinary shares by us in the offering (assuming no exercise of the underwriters’ option to purchase additional shares), after deducting the underwriting discounts and commissions and estimated offering expenses.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You should read this table together with our consolidated financial statements and related notes included in this prospectus, as well as the sections of this prospectus titled “Selected Consolidated Financial Data” and “Management’s Discussion and Analysis of Financial Condition and Results of Operations” and the other financial information included elsewhere in this prospectus.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32406B"/>
              </w:rPr>
              <w:t>As of September 30, 2020</w:t>
            </w:r>
          </w:p>
        </w:tc>
        <w:tc>
          <w:tcPr>
            <w:tcW w:w="10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4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300" w:type="dxa"/>
            <w:vAlign w:val="bottom"/>
            <w:gridSpan w:val="2"/>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32406B"/>
              </w:rPr>
              <w:t>Actual</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32406B"/>
              </w:rPr>
              <w:t>As Adjusted</w:t>
            </w:r>
            <w:r>
              <w:rPr>
                <w:rFonts w:ascii="Times New Roman" w:cs="Times New Roman" w:eastAsia="Times New Roman" w:hAnsi="Times New Roman"/>
                <w:sz w:val="12"/>
                <w:szCs w:val="12"/>
                <w:b w:val="1"/>
                <w:bCs w:val="1"/>
                <w:color w:val="32406B"/>
              </w:rPr>
              <w:t>(1)</w:t>
            </w:r>
          </w:p>
        </w:tc>
        <w:tc>
          <w:tcPr>
            <w:tcW w:w="104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32406B"/>
              </w:rPr>
              <w:t>As Further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4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32406B"/>
              </w:rPr>
              <w:t xml:space="preserve">Adjusted </w:t>
            </w:r>
            <w:r>
              <w:rPr>
                <w:rFonts w:ascii="Times New Roman" w:cs="Times New Roman" w:eastAsia="Times New Roman" w:hAnsi="Times New Roman"/>
                <w:sz w:val="12"/>
                <w:szCs w:val="12"/>
                <w:b w:val="1"/>
                <w:bCs w:val="1"/>
                <w:color w:val="32406B"/>
              </w:rPr>
              <w:t>(1)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8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4"/>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41,948,476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109,131,809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238,419,550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loans and borrowings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 Capital</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32406B"/>
              </w:rPr>
              <w:t>Ordinary shares, €0.01 par value, 4,850,000 shares outstanding on an actual basis and on an as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32406B"/>
              </w:rPr>
              <w:t>adjusted basis; ordinary shares, €0.12 par value, 31,839,776 shares outstanding on an as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32406B"/>
              </w:rPr>
              <w:t>further adjusted basis</w:t>
            </w: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32406B"/>
              </w:rPr>
              <w:t>48,500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48,500</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3,820,773</w:t>
            </w:r>
          </w:p>
        </w:tc>
        <w:tc>
          <w:tcPr>
            <w:tcW w:w="0" w:type="dxa"/>
            <w:vAlign w:val="bottom"/>
          </w:tcPr>
          <w:p>
            <w:pPr>
              <w:spacing w:after="0"/>
              <w:rPr>
                <w:sz w:val="1"/>
                <w:szCs w:val="1"/>
                <w:color w:val="auto"/>
              </w:rPr>
            </w:pPr>
          </w:p>
        </w:tc>
      </w:tr>
      <w:tr>
        <w:trPr>
          <w:trHeight w:val="198"/>
        </w:trPr>
        <w:tc>
          <w:tcPr>
            <w:tcW w:w="73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32406B"/>
              </w:rPr>
              <w:t>Series A preferred shares, €0.01 par value, 5,242,850 shares outstanding on an actual basis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32406B"/>
              </w:rPr>
              <w:t>and an as adjusted basis; 0 shares outstanding on an as further adjusted basis</w:t>
            </w:r>
          </w:p>
        </w:tc>
        <w:tc>
          <w:tcPr>
            <w:tcW w:w="1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32406B"/>
              </w:rPr>
              <w:t>52,429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52,429</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198"/>
        </w:trPr>
        <w:tc>
          <w:tcPr>
            <w:tcW w:w="730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32406B"/>
              </w:rPr>
              <w:t>Series B preferred shares, €0.01 par value, 7,650,147 shares outstanding on an actual basis and</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32406B"/>
              </w:rPr>
              <w:t>an as adjusted basis; 0 shares outstanding on an as further adjusted basis</w:t>
            </w: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32406B"/>
              </w:rPr>
              <w:t>76,501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76,501</w:t>
            </w: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198"/>
        </w:trPr>
        <w:tc>
          <w:tcPr>
            <w:tcW w:w="73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32406B"/>
              </w:rPr>
              <w:t>Series C preferred shares, €0.01 par value, 0 shares outstanding on an actual basis; 5,826,279</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32406B"/>
              </w:rPr>
              <w:t>shares outstanding on an adjusted basis; 0 shares outstanding on an as further adjusted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32406B"/>
              </w:rPr>
              <w:t>basis</w:t>
            </w:r>
            <w:r>
              <w:rPr>
                <w:rFonts w:ascii="Times New Roman" w:cs="Times New Roman" w:eastAsia="Times New Roman" w:hAnsi="Times New Roman"/>
                <w:sz w:val="15"/>
                <w:szCs w:val="15"/>
                <w:color w:val="32406B"/>
              </w:rPr>
              <w:t>(2)</w:t>
            </w:r>
          </w:p>
        </w:tc>
        <w:tc>
          <w:tcPr>
            <w:tcW w:w="1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32406B"/>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58,263</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Share premium</w:t>
            </w: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32406B"/>
              </w:rPr>
              <w:t>70,824,510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137,949,580</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263,652,240</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reserves</w:t>
            </w:r>
          </w:p>
        </w:tc>
        <w:tc>
          <w:tcPr>
            <w:tcW w:w="1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32406B"/>
              </w:rPr>
              <w:t>1,442,563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1,442,563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1,442,563</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Currency translation reserve</w:t>
            </w: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32406B"/>
              </w:rPr>
              <w:t>361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361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361</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Accumulated loss</w:t>
            </w:r>
          </w:p>
        </w:tc>
        <w:tc>
          <w:tcPr>
            <w:tcW w:w="1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32406B"/>
              </w:rPr>
              <w:t>(33,754,742)</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(33,754,742)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(33,754,742)</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0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38,690,122</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105,873,455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235,161,195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capitalization</w:t>
            </w:r>
          </w:p>
        </w:tc>
        <w:tc>
          <w:tcPr>
            <w:tcW w:w="1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32406B"/>
              </w:rPr>
              <w:t>38,690,122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105,873,455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235,161,195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32406B"/>
            </w:tcBorders>
          </w:tcPr>
          <w:p>
            <w:pPr>
              <w:spacing w:after="0"/>
              <w:rPr>
                <w:sz w:val="11"/>
                <w:szCs w:val="11"/>
                <w:color w:val="auto"/>
              </w:rPr>
            </w:pPr>
          </w:p>
        </w:tc>
        <w:tc>
          <w:tcPr>
            <w:tcW w:w="6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jc w:val="both"/>
        <w:ind w:left="460" w:right="620" w:hanging="452"/>
        <w:spacing w:after="0" w:line="257" w:lineRule="auto"/>
        <w:tabs>
          <w:tab w:leader="none" w:pos="460" w:val="left"/>
        </w:tabs>
        <w:numPr>
          <w:ilvl w:val="0"/>
          <w:numId w:val="4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as adjusted and as further adjusted information is presented for informational purposes only and is not necessarily indicative of what our financial position and results would have been had these transactions actually occurred at such date, nor is it indicative of our future financial position or performance.</w:t>
      </w:r>
    </w:p>
    <w:p>
      <w:pPr>
        <w:spacing w:after="0" w:line="1" w:lineRule="exact"/>
        <w:rPr>
          <w:rFonts w:ascii="Times New Roman" w:cs="Times New Roman" w:eastAsia="Times New Roman" w:hAnsi="Times New Roman"/>
          <w:sz w:val="18"/>
          <w:szCs w:val="18"/>
          <w:color w:val="32406B"/>
        </w:rPr>
      </w:pPr>
    </w:p>
    <w:p>
      <w:pPr>
        <w:ind w:left="460" w:right="320" w:hanging="452"/>
        <w:spacing w:after="0" w:line="260" w:lineRule="auto"/>
        <w:tabs>
          <w:tab w:leader="none" w:pos="460" w:val="left"/>
        </w:tabs>
        <w:numPr>
          <w:ilvl w:val="0"/>
          <w:numId w:val="4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On November 3, 2020, we entered into a subscription agreement, pursuant to which we sold 5,826,279 Series C preferred shares for an aggregate investment amount of approximately $80 million.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73</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The table and calculations above are based on the number of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w:t>
      </w:r>
    </w:p>
    <w:p>
      <w:pPr>
        <w:spacing w:after="0" w:line="81" w:lineRule="exact"/>
        <w:rPr>
          <w:sz w:val="20"/>
          <w:szCs w:val="20"/>
          <w:color w:val="auto"/>
        </w:rPr>
      </w:pPr>
    </w:p>
    <w:p>
      <w:pPr>
        <w:ind w:left="1000" w:hanging="547"/>
        <w:spacing w:after="0" w:line="282" w:lineRule="auto"/>
        <w:tabs>
          <w:tab w:leader="none" w:pos="1000" w:val="left"/>
        </w:tabs>
        <w:numPr>
          <w:ilvl w:val="0"/>
          <w:numId w:val="4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1,572,295 of our ordinary shares issuable upon the exercise of options outstanding as of January 1, 2021 at a weighted average exercise price of €2.22 per ordinary share;</w:t>
      </w:r>
    </w:p>
    <w:p>
      <w:pPr>
        <w:spacing w:after="0" w:line="67" w:lineRule="exact"/>
        <w:rPr>
          <w:rFonts w:ascii="Times New Roman" w:cs="Times New Roman" w:eastAsia="Times New Roman" w:hAnsi="Times New Roman"/>
          <w:sz w:val="18"/>
          <w:szCs w:val="18"/>
          <w:color w:val="32406B"/>
        </w:rPr>
      </w:pPr>
    </w:p>
    <w:p>
      <w:pPr>
        <w:ind w:left="1000" w:right="380" w:hanging="547"/>
        <w:spacing w:after="0" w:line="282" w:lineRule="auto"/>
        <w:tabs>
          <w:tab w:leader="none" w:pos="1000" w:val="left"/>
        </w:tabs>
        <w:numPr>
          <w:ilvl w:val="0"/>
          <w:numId w:val="4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1,193,474 of our ordinary shares covered by additional option awards available for future issuance under our equity incentive plan as of January 1, 2021;</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154,945 RSUs held by Senior Management and other employees as of February 1, 2021;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options to purchase an aggregate of 873,000 ordinary shares pursuant to the IPO Grants.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74</w:t>
      </w:r>
    </w:p>
    <w:p>
      <w:pPr>
        <w:sectPr>
          <w:pgSz w:w="11900" w:h="16838" w:orient="portrait"/>
          <w:cols w:equalWidth="0" w:num="1">
            <w:col w:w="11160"/>
          </w:cols>
          <w:pgMar w:left="320" w:top="455" w:right="4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DILUTION</w:t>
      </w:r>
    </w:p>
    <w:p>
      <w:pPr>
        <w:spacing w:after="0" w:line="22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If you invest in our ordinary shares, your ownership interest will be diluted to the extent of the difference between the initial public offering price per ordinary share paid by purchasers of our ordinary shares and the as further adjusted net tangible book value per ordinary share immediately after the consummation of this offering. At September 30, 2020, we had an as adjusted net tangible book value of €105.9 ($123.9) million, corresponding to an as adjusted net tangible book value of €4.49 ($5.26) per share. As adjusted net tangible book value per share represents the amount of our total assets less our total liabilities, divided by the total number of our shares outstanding at September 30, 2020 after giving effect to the closing of the Series C financing.</w:t>
      </w:r>
    </w:p>
    <w:p>
      <w:pPr>
        <w:spacing w:after="0" w:line="183" w:lineRule="exact"/>
        <w:rPr>
          <w:sz w:val="20"/>
          <w:szCs w:val="20"/>
          <w:color w:val="auto"/>
        </w:rPr>
      </w:pPr>
    </w:p>
    <w:p>
      <w:pPr>
        <w:ind w:right="200" w:firstLine="449"/>
        <w:spacing w:after="0" w:line="255" w:lineRule="auto"/>
        <w:rPr>
          <w:sz w:val="20"/>
          <w:szCs w:val="20"/>
          <w:color w:val="auto"/>
        </w:rPr>
      </w:pPr>
      <w:r>
        <w:rPr>
          <w:rFonts w:ascii="Times New Roman" w:cs="Times New Roman" w:eastAsia="Times New Roman" w:hAnsi="Times New Roman"/>
          <w:sz w:val="18"/>
          <w:szCs w:val="18"/>
          <w:color w:val="32406B"/>
        </w:rPr>
        <w:t>After giving effect to (i) the closing of the Series C financing, (ii) the conversion of all of our preferred shares into ordinary shares and (iii) the sale by us of the 8,270,500 ordinary shares offered by us in the offering, after deducting the underwriting discounts and commissions and estimated offering expenses payable by us, our as further adjusted net tangible book value at September 30, 2020 would have been approximately €235.2 ($275.3) million, representing €7.39 ($8.65) per share. This represents an immediate increase in as adjusted net tangible book value of €2.89 ($3.39) per share to existing shareholders and an immediate dilution in as further adjusted net tangible book value of €9.70 ($11.35) per share to new investors purchasing ordinary shares in this offering. Dilution for this purpose represents the difference between the price per ordinary share paid by these purchasers and the as further adjusted net tangible book value per ordinary share immediately after the consummation of the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00" w:type="dxa"/>
            <w:vAlign w:val="bottom"/>
          </w:tcPr>
          <w:p>
            <w:pPr>
              <w:ind w:left="460"/>
              <w:spacing w:after="0"/>
              <w:rPr>
                <w:sz w:val="20"/>
                <w:szCs w:val="20"/>
                <w:color w:val="auto"/>
              </w:rPr>
            </w:pPr>
            <w:r>
              <w:rPr>
                <w:rFonts w:ascii="Times New Roman" w:cs="Times New Roman" w:eastAsia="Times New Roman" w:hAnsi="Times New Roman"/>
                <w:sz w:val="18"/>
                <w:szCs w:val="18"/>
                <w:color w:val="32406B"/>
              </w:rPr>
              <w:t>The following table illustrates this dilution to new investors purchasing ordinary shares in the offering:</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59"/>
        </w:trPr>
        <w:tc>
          <w:tcPr>
            <w:tcW w:w="9700" w:type="dxa"/>
            <w:vAlign w:val="bottom"/>
          </w:tcPr>
          <w:p>
            <w:pPr>
              <w:spacing w:after="0"/>
              <w:rPr>
                <w:sz w:val="24"/>
                <w:szCs w:val="24"/>
                <w:color w:val="auto"/>
              </w:rPr>
            </w:pPr>
          </w:p>
        </w:tc>
        <w:tc>
          <w:tcPr>
            <w:tcW w:w="8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32406B"/>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32406B"/>
              </w:rPr>
              <w:t>$</w:t>
            </w:r>
          </w:p>
        </w:tc>
        <w:tc>
          <w:tcPr>
            <w:tcW w:w="200" w:type="dxa"/>
            <w:vAlign w:val="bottom"/>
          </w:tcPr>
          <w:p>
            <w:pPr>
              <w:spacing w:after="0"/>
              <w:rPr>
                <w:sz w:val="24"/>
                <w:szCs w:val="24"/>
                <w:color w:val="auto"/>
              </w:rPr>
            </w:pPr>
          </w:p>
        </w:tc>
      </w:tr>
      <w:tr>
        <w:trPr>
          <w:trHeight w:val="209"/>
        </w:trPr>
        <w:tc>
          <w:tcPr>
            <w:tcW w:w="9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Initial public offering price per ordinary share</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17.09</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32406B"/>
              </w:rPr>
              <w:t>As adjusted net tangible book value per ordinary share at September 30, 2020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4.49</w:t>
            </w:r>
          </w:p>
        </w:tc>
        <w:tc>
          <w:tcPr>
            <w:tcW w:w="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5.26</w:t>
            </w:r>
          </w:p>
        </w:tc>
        <w:tc>
          <w:tcPr>
            <w:tcW w:w="200" w:type="dxa"/>
            <w:vAlign w:val="bottom"/>
          </w:tcPr>
          <w:p>
            <w:pPr>
              <w:spacing w:after="0"/>
              <w:rPr>
                <w:sz w:val="19"/>
                <w:szCs w:val="19"/>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Increase in as further adjusted net tangible book value per ordinary share attributable to new investors</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32406B"/>
              </w:rPr>
              <w:t>2.89</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3.39</w:t>
            </w:r>
          </w:p>
        </w:tc>
      </w:tr>
      <w:tr>
        <w:trPr>
          <w:trHeight w:val="223"/>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32406B"/>
              </w:rPr>
              <w:t>As further adjusted net tangible book value per ordinary share after the offering</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7.39</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8.65</w:t>
            </w:r>
          </w:p>
        </w:tc>
        <w:tc>
          <w:tcPr>
            <w:tcW w:w="200" w:type="dxa"/>
            <w:vAlign w:val="bottom"/>
          </w:tcPr>
          <w:p>
            <w:pPr>
              <w:spacing w:after="0"/>
              <w:rPr>
                <w:sz w:val="19"/>
                <w:szCs w:val="19"/>
                <w:color w:val="auto"/>
              </w:rPr>
            </w:pPr>
          </w:p>
        </w:tc>
      </w:tr>
      <w:tr>
        <w:trPr>
          <w:trHeight w:val="216"/>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Dilution per ordinary share to new investors</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32406B"/>
              </w:rPr>
              <w:t>9.70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11.35</w:t>
            </w:r>
          </w:p>
        </w:tc>
      </w:tr>
      <w:tr>
        <w:trPr>
          <w:trHeight w:val="234"/>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32406B"/>
              </w:rPr>
              <w:t>Percentage of dilution in net tangible book value per ordinary share for new investor</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56.8%</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56.8%</w:t>
            </w:r>
          </w:p>
        </w:tc>
      </w:tr>
    </w:tbl>
    <w:p>
      <w:pPr>
        <w:spacing w:after="0" w:line="17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If the underwriters exercise their overallotment option in full, the as further adjusted net tangible book value per ordinary share after the offering would be €7.70 ($9.02) per ordinary share, the increase in the as adjusted net tangible book value per ordinary share would be €3.21 ($3.76) per ordinary share and the dilution to new investors purchasing ordinary share in this offering would be €9.38 ($10.98) per ordinary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75</w:t>
      </w:r>
    </w:p>
    <w:p>
      <w:pPr>
        <w:sectPr>
          <w:pgSz w:w="11900" w:h="16838" w:orient="portrait"/>
          <w:cols w:equalWidth="0" w:num="1">
            <w:col w:w="11240"/>
          </w:cols>
          <w:pgMar w:left="320" w:top="455" w:right="3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32406B"/>
        </w:rPr>
        <w:t>In addition, if the underwriters exercise their overallotment option in full, the number of shares held by the existing shareholders after the offering would be reduced to 71.2% of the total number of ordinary shares outstanding after the offering, and the number of ordinary shares held by new investors participating in the offering would increase to 9,511,075, or 28.8% of the total number of ordinary shares outstanding after the offering.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sets forth, on an as further adjusted basis as of September 30, 2020, giving effect to (i) the closing of the Series C financing,</w:t>
      </w:r>
    </w:p>
    <w:p>
      <w:pPr>
        <w:spacing w:after="0" w:line="27" w:lineRule="exact"/>
        <w:rPr>
          <w:sz w:val="20"/>
          <w:szCs w:val="20"/>
          <w:color w:val="auto"/>
        </w:rPr>
      </w:pPr>
    </w:p>
    <w:p>
      <w:pPr>
        <w:ind w:right="220" w:firstLine="8"/>
        <w:spacing w:after="0" w:line="255" w:lineRule="auto"/>
        <w:tabs>
          <w:tab w:leader="none" w:pos="265" w:val="left"/>
        </w:tabs>
        <w:numPr>
          <w:ilvl w:val="0"/>
          <w:numId w:val="4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conversion of all of our preferred shares into ordinary shares and (iii) the sale by us of the 8,270,500 ordinary shares offered by us in the offering, the consideration paid to us in cash for shares purchased from us by our existing shareholders and by new investors for ordinary shares purchased in the offering, before deducting underwriting discounts and commissions and estimated offering expenses payable by 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32406B"/>
              </w:rPr>
              <w:t>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206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32406B"/>
              </w:rPr>
              <w:t>Ordinary shares</w:t>
            </w:r>
          </w:p>
        </w:tc>
        <w:tc>
          <w:tcPr>
            <w:tcW w:w="180" w:type="dxa"/>
            <w:vAlign w:val="bottom"/>
          </w:tcPr>
          <w:p>
            <w:pPr>
              <w:spacing w:after="0"/>
              <w:rPr>
                <w:sz w:val="12"/>
                <w:szCs w:val="12"/>
                <w:color w:val="auto"/>
              </w:rPr>
            </w:pPr>
          </w:p>
        </w:tc>
        <w:tc>
          <w:tcPr>
            <w:tcW w:w="2500" w:type="dxa"/>
            <w:vAlign w:val="bottom"/>
            <w:gridSpan w:val="4"/>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32406B"/>
              </w:rPr>
              <w:t>Total consideration</w:t>
            </w:r>
          </w:p>
        </w:tc>
        <w:tc>
          <w:tcPr>
            <w:tcW w:w="6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32406B"/>
              </w:rPr>
              <w:t>price per</w:t>
            </w:r>
          </w:p>
        </w:tc>
        <w:tc>
          <w:tcPr>
            <w:tcW w:w="0" w:type="dxa"/>
            <w:vAlign w:val="bottom"/>
          </w:tcPr>
          <w:p>
            <w:pPr>
              <w:spacing w:after="0"/>
              <w:rPr>
                <w:sz w:val="1"/>
                <w:szCs w:val="1"/>
                <w:color w:val="auto"/>
              </w:rPr>
            </w:pPr>
          </w:p>
        </w:tc>
      </w:tr>
      <w:tr>
        <w:trPr>
          <w:trHeight w:val="146"/>
        </w:trPr>
        <w:tc>
          <w:tcPr>
            <w:tcW w:w="5880" w:type="dxa"/>
            <w:vAlign w:val="bottom"/>
          </w:tcPr>
          <w:p>
            <w:pPr>
              <w:spacing w:after="0"/>
              <w:rPr>
                <w:sz w:val="12"/>
                <w:szCs w:val="12"/>
                <w:color w:val="auto"/>
              </w:rPr>
            </w:pPr>
          </w:p>
        </w:tc>
        <w:tc>
          <w:tcPr>
            <w:tcW w:w="20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6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32406B"/>
              </w:rPr>
              <w:t>ordinary</w:t>
            </w:r>
          </w:p>
        </w:tc>
        <w:tc>
          <w:tcPr>
            <w:tcW w:w="0" w:type="dxa"/>
            <w:vAlign w:val="bottom"/>
          </w:tcPr>
          <w:p>
            <w:pPr>
              <w:spacing w:after="0"/>
              <w:rPr>
                <w:sz w:val="1"/>
                <w:szCs w:val="1"/>
                <w:color w:val="auto"/>
              </w:rPr>
            </w:pPr>
          </w:p>
        </w:tc>
      </w:tr>
      <w:tr>
        <w:trPr>
          <w:trHeight w:val="156"/>
        </w:trPr>
        <w:tc>
          <w:tcPr>
            <w:tcW w:w="58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97"/>
              <w:spacing w:after="0" w:line="155" w:lineRule="exact"/>
              <w:rPr>
                <w:sz w:val="20"/>
                <w:szCs w:val="20"/>
                <w:color w:val="auto"/>
              </w:rPr>
            </w:pPr>
            <w:r>
              <w:rPr>
                <w:rFonts w:ascii="Times New Roman" w:cs="Times New Roman" w:eastAsia="Times New Roman" w:hAnsi="Times New Roman"/>
                <w:sz w:val="14"/>
                <w:szCs w:val="14"/>
                <w:b w:val="1"/>
                <w:bCs w:val="1"/>
                <w:color w:val="32406B"/>
              </w:rPr>
              <w:t>Amount</w:t>
            </w:r>
          </w:p>
        </w:tc>
        <w:tc>
          <w:tcPr>
            <w:tcW w:w="38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32406B"/>
              </w:rPr>
              <w:t>Percent</w:t>
            </w:r>
          </w:p>
        </w:tc>
        <w:tc>
          <w:tcPr>
            <w:tcW w:w="3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32406B"/>
              </w:rPr>
              <w:t>Amount</w:t>
            </w:r>
          </w:p>
        </w:tc>
        <w:tc>
          <w:tcPr>
            <w:tcW w:w="50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32406B"/>
              </w:rPr>
              <w:t>Percent</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5"/>
              <w:spacing w:after="0" w:line="155" w:lineRule="exact"/>
              <w:rPr>
                <w:sz w:val="20"/>
                <w:szCs w:val="20"/>
                <w:color w:val="auto"/>
              </w:rPr>
            </w:pPr>
            <w:r>
              <w:rPr>
                <w:rFonts w:ascii="Times New Roman" w:cs="Times New Roman" w:eastAsia="Times New Roman" w:hAnsi="Times New Roman"/>
                <w:sz w:val="14"/>
                <w:szCs w:val="14"/>
                <w:b w:val="1"/>
                <w:bCs w:val="1"/>
                <w:color w:val="32406B"/>
                <w:w w:val="97"/>
              </w:rPr>
              <w:t>share</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Existing shareholders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23,569,276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74.02%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rPr>
              <w:t>€140,202,137</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49.8%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32406B"/>
              </w:rPr>
              <w:t>New investors</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8,270,500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25.98%</w:t>
            </w:r>
          </w:p>
        </w:tc>
        <w:tc>
          <w:tcPr>
            <w:tcW w:w="16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32406B"/>
              </w:rPr>
              <w:t>€141,315,677</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50.2%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32406B"/>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17.09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Total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31,839,776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100.0%</w:t>
            </w:r>
          </w:p>
        </w:tc>
        <w:tc>
          <w:tcPr>
            <w:tcW w:w="16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32406B"/>
              </w:rPr>
              <w:t>€281,517,814</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100.0%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8.84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firstLine="449"/>
        <w:spacing w:after="0" w:line="266" w:lineRule="auto"/>
        <w:rPr>
          <w:sz w:val="20"/>
          <w:szCs w:val="20"/>
          <w:color w:val="auto"/>
        </w:rPr>
      </w:pPr>
      <w:r>
        <w:rPr>
          <w:rFonts w:ascii="Times New Roman" w:cs="Times New Roman" w:eastAsia="Times New Roman" w:hAnsi="Times New Roman"/>
          <w:sz w:val="18"/>
          <w:szCs w:val="18"/>
          <w:color w:val="32406B"/>
        </w:rPr>
        <w:t>The tables and calculations above are based on the number of ordinary shares outstanding as of September 30, 2020, on an as adjusted basis to give effect to the closing of our Series C financing and on an as further adjusted basis to also give effect to the conversion of all of our preferred shares into ordinary shares and the sale of ordinary shares by us in the offering, but exclude:</w:t>
      </w:r>
    </w:p>
    <w:p>
      <w:pPr>
        <w:spacing w:after="0" w:line="81" w:lineRule="exact"/>
        <w:rPr>
          <w:sz w:val="20"/>
          <w:szCs w:val="20"/>
          <w:color w:val="auto"/>
        </w:rPr>
      </w:pPr>
    </w:p>
    <w:p>
      <w:pPr>
        <w:ind w:left="1000" w:right="380" w:hanging="547"/>
        <w:spacing w:after="0" w:line="282" w:lineRule="auto"/>
        <w:tabs>
          <w:tab w:leader="none" w:pos="1000" w:val="left"/>
        </w:tabs>
        <w:numPr>
          <w:ilvl w:val="0"/>
          <w:numId w:val="4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1,572,295 of our ordinary shares issuable upon the exercise of options outstanding as of January 1, 2021 at an exercise price of €2.22 per ordinary share;</w:t>
      </w:r>
    </w:p>
    <w:p>
      <w:pPr>
        <w:spacing w:after="0" w:line="67" w:lineRule="exact"/>
        <w:rPr>
          <w:rFonts w:ascii="Times New Roman" w:cs="Times New Roman" w:eastAsia="Times New Roman" w:hAnsi="Times New Roman"/>
          <w:sz w:val="18"/>
          <w:szCs w:val="18"/>
          <w:color w:val="32406B"/>
        </w:rPr>
      </w:pPr>
    </w:p>
    <w:p>
      <w:pPr>
        <w:ind w:left="1000" w:right="460" w:hanging="547"/>
        <w:spacing w:after="0" w:line="282" w:lineRule="auto"/>
        <w:tabs>
          <w:tab w:leader="none" w:pos="1000" w:val="left"/>
        </w:tabs>
        <w:numPr>
          <w:ilvl w:val="0"/>
          <w:numId w:val="4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1,193,474 of our ordinary shares covered by additional option awards available for future issuance under our equity incentive plan as of January 1, 2021;</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154,945 RSUs held by Senior Management and other employees as of February 1, 2021;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options to purchase an aggregate of 873,000 ordinary shares pursuant to the IPO Grants.</w:t>
      </w:r>
    </w:p>
    <w:p>
      <w:pPr>
        <w:spacing w:after="0" w:line="225"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32406B"/>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76</w:t>
      </w:r>
    </w:p>
    <w:p>
      <w:pPr>
        <w:sectPr>
          <w:pgSz w:w="11900" w:h="16838" w:orient="portrait"/>
          <w:cols w:equalWidth="0" w:num="1">
            <w:col w:w="11240"/>
          </w:cols>
          <w:pgMar w:left="320" w:top="455" w:right="3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SELECTED CONSOLIDATED FINANCIAL DATA</w:t>
      </w:r>
    </w:p>
    <w:p>
      <w:pPr>
        <w:spacing w:after="0" w:line="229" w:lineRule="exact"/>
        <w:rPr>
          <w:sz w:val="20"/>
          <w:szCs w:val="20"/>
          <w:color w:val="auto"/>
        </w:rPr>
      </w:pPr>
    </w:p>
    <w:p>
      <w:pPr>
        <w:jc w:val="both"/>
        <w:ind w:right="580" w:firstLine="449"/>
        <w:spacing w:after="0" w:line="266" w:lineRule="auto"/>
        <w:rPr>
          <w:sz w:val="20"/>
          <w:szCs w:val="20"/>
          <w:color w:val="auto"/>
        </w:rPr>
      </w:pPr>
      <w:r>
        <w:rPr>
          <w:rFonts w:ascii="Times New Roman" w:cs="Times New Roman" w:eastAsia="Times New Roman" w:hAnsi="Times New Roman"/>
          <w:sz w:val="18"/>
          <w:szCs w:val="18"/>
          <w:color w:val="32406B"/>
        </w:rPr>
        <w:t>You should read the following selected consolidated financial data in conjunction with our consolidated financial statements and related notes included in this prospectus and the sections of this prospectus titled “Management’s Discussion and Analysis of Financial Condition and Results of Operations.” Our historical results for any prior period are not necessarily indicative of results to be expected in any future period.</w:t>
      </w:r>
    </w:p>
    <w:p>
      <w:pPr>
        <w:spacing w:after="0" w:line="176"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The consolidated statement of profit or loss and other comprehensive income (loss) for the years ended December 31, 2019 and 2018 and the statements of financial position data as of December 31, 2019 and 2018 are derived from our audited consolidated financial statements and the related notes thereto included elsewhere in this prospectus. The consolidated statement of profit or loss and other comprehensive income (loss) for the nine months ended September 30, 2020 and 2019 and the statement of financial position data as of September 30, 2020 are derived from our unaudited condensed consolidated financial statements and the related notes thereto included elsewhere in this prospectus. We have prepared the unaudited condensed consolidated financial statements on the same basis as the audited consolidated financial statements, and the unaudited financial data include, in our opinion, all adjustments, consisting only of normal recurring adjustments that we consider necessary for a fair statement of our consolidated financial position and results of operations for these periods. Our historical results are not necessarily indicative of results expected for future periods and our operating results for the nine months ended September 30, 2020 are not necessarily indicative of the results that may be expected for the entire year ending December 31, 2020.</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maintain our books and records in euros, and we prepare our financial statements in accordance with IFRS, as issued by the IASB.</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Consolidated Statements of Profit or Loss and Other Comprehensive Income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25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240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256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240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2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(11,797,986)</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(3,154,877)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(5,684,562)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(3,645,413)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(3,447,208)</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(1,409,972)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(2,325,719)</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(668,121)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(15,245,194)</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(4,564,849)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(8,010,281)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(4,313,534)</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(176,602)</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(3,927)</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(16,881)</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(4,568,776)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32406B"/>
              </w:rPr>
              <w:t>Income tax expense</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for the year, net of tax</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(4,568,776)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Loss attributable to:</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(4,568,776)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attributable to:</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(4,568,776)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Loss per share attributable to equity holders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Basic and diluted loss per share</w:t>
            </w:r>
            <w:r>
              <w:rPr>
                <w:rFonts w:ascii="Times New Roman" w:cs="Times New Roman" w:eastAsia="Times New Roman" w:hAnsi="Times New Roman"/>
                <w:sz w:val="15"/>
                <w:szCs w:val="15"/>
                <w:color w:val="32406B"/>
              </w:rPr>
              <w:t>(1)(2)</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(3.18)</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(0.94)</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(1.66)</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(0.89)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260" w:hanging="452"/>
        <w:spacing w:after="0" w:line="261" w:lineRule="auto"/>
        <w:tabs>
          <w:tab w:leader="none" w:pos="460" w:val="left"/>
        </w:tabs>
        <w:numPr>
          <w:ilvl w:val="0"/>
          <w:numId w:val="4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Basic loss per share is calculated by dividing the loss attributable to equity holders of the Company by the weighted average number of issued and outstanding ordinary shares during the period.</w:t>
      </w:r>
    </w:p>
    <w:p>
      <w:pPr>
        <w:ind w:left="460" w:right="240" w:hanging="452"/>
        <w:spacing w:after="0" w:line="255" w:lineRule="auto"/>
        <w:tabs>
          <w:tab w:leader="none" w:pos="460" w:val="left"/>
        </w:tabs>
        <w:numPr>
          <w:ilvl w:val="0"/>
          <w:numId w:val="4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Diluted loss per share is calculated by adjusting the weighted average number of ordinary shares outstanding to assume conversion of all dilutive potential ordinary shares. Because the Company is loss making, all of its potential ordinary shares had an antidilutive effect, if converted, and thus have been excluded from the computation of its diluted loss per share.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77</w:t>
      </w:r>
    </w:p>
    <w:p>
      <w:pPr>
        <w:sectPr>
          <w:pgSz w:w="11900" w:h="16838" w:orient="portrait"/>
          <w:cols w:equalWidth="0" w:num="1">
            <w:col w:w="11240"/>
          </w:cols>
          <w:pgMar w:left="32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Consolidated Statements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32406B"/>
              </w:rPr>
              <w:t>As of September 30,</w:t>
            </w: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32406B"/>
              </w:rPr>
              <w:t>As of December 31,</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3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Assets</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Non-current assets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Property, plant and equipment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43,766</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12,927</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Current assets</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Receivables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1,062,009</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258,379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49,044</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Cash and cash equivalents</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41,948,476</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20,326,372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5,385,333</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assets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43,054,251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20,597,678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5,434,377</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Equity and liabilities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 capital</w:t>
            </w:r>
            <w:r>
              <w:rPr>
                <w:rFonts w:ascii="Times New Roman" w:cs="Times New Roman" w:eastAsia="Times New Roman" w:hAnsi="Times New Roman"/>
                <w:sz w:val="15"/>
                <w:szCs w:val="15"/>
                <w:color w:val="32406B"/>
              </w:rPr>
              <w:t>(1)</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177,430</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130,962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100,928</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Share premium</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70,824,510</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36,624,697</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15,023,205</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reserves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1,442,563</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392,139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275,992</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Currency translation reserve</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361</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Accumulated loss</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(33,754,742)</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(18,474,250)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(10,447,088)</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Total equity</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38,690,122</w:t>
            </w: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18,673,548</w:t>
            </w: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4,953,037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Current liabilities</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2,819,594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32406B"/>
              </w:rPr>
              <w:t>517,771</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246,983</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1,544,535</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1,406,359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234,357</w:t>
            </w: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Total liabilities</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4,364,129</w:t>
            </w:r>
          </w:p>
        </w:tc>
        <w:tc>
          <w:tcPr>
            <w:tcW w:w="3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1,924,130</w:t>
            </w:r>
          </w:p>
        </w:tc>
        <w:tc>
          <w:tcPr>
            <w:tcW w:w="3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481,340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equity and liabilities</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43,054,251</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32406B"/>
              </w:rPr>
              <w:t>20,597,678</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5,434,377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32406B"/>
            </w:tcBorders>
          </w:tcPr>
          <w:p>
            <w:pPr>
              <w:spacing w:after="0"/>
              <w:rPr>
                <w:sz w:val="11"/>
                <w:szCs w:val="11"/>
                <w:color w:val="auto"/>
              </w:rPr>
            </w:pPr>
          </w:p>
        </w:tc>
        <w:tc>
          <w:tcPr>
            <w:tcW w:w="5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520" w:hanging="452"/>
        <w:spacing w:after="0" w:line="266" w:lineRule="auto"/>
        <w:tabs>
          <w:tab w:leader="none" w:pos="460" w:val="left"/>
        </w:tabs>
        <w:numPr>
          <w:ilvl w:val="0"/>
          <w:numId w:val="4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Company had 5,242,850 Series A preferred shares, 7,650,147 Series B preferred shares and 4,850,000 ordinary shares outstanding as of September 30, 2020, 5,242,850 Series A preferred shares, 3,003,391 Series B preferred shares and 4,850,000 ordinary shares outstanding as of December 31, 2019 and 5,242,850 Series A preferred shares and 4,850,000 ordinary shares outstanding as of December 31, 2018.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78</w:t>
      </w:r>
    </w:p>
    <w:p>
      <w:pPr>
        <w:sectPr>
          <w:pgSz w:w="11900" w:h="16838" w:orient="portrait"/>
          <w:cols w:equalWidth="0" w:num="1">
            <w:col w:w="11240"/>
          </w:cols>
          <w:pgMar w:left="320" w:top="455" w:right="3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EXCHANGE RATE INFORMATION</w:t>
      </w:r>
    </w:p>
    <w:p>
      <w:pPr>
        <w:spacing w:after="0" w:line="22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Our business is primarily conducted in the European Union, and we maintain our books and records in euros. We have presented results of operations in euros. In this prospectus, transactions from U.S. dollars to euros were made at the rate of €1.00 to $1.1705, the average exchange rate quoted as of September 30, 2020 by the European Central Bank.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presents information on the exchange rates between the euro and the U.S. dollar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32406B"/>
                <w:w w:val="99"/>
              </w:rPr>
              <w:t>Period-end</w:t>
            </w: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32406B"/>
              </w:rPr>
              <w:t>Average</w:t>
            </w:r>
          </w:p>
        </w:tc>
        <w:tc>
          <w:tcPr>
            <w:tcW w:w="86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32406B"/>
              </w:rPr>
              <w:t>Low</w:t>
            </w:r>
          </w:p>
        </w:tc>
        <w:tc>
          <w:tcPr>
            <w:tcW w:w="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32406B"/>
              </w:rPr>
              <w:t>High</w:t>
            </w: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32406B"/>
              </w:rPr>
              <w:t>for period</w:t>
            </w:r>
          </w:p>
        </w:tc>
        <w:tc>
          <w:tcPr>
            <w:tcW w:w="8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32406B"/>
              </w:rPr>
              <w:t>(U.S. dollar per €)</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Year Ended December 31:</w:t>
            </w:r>
          </w:p>
        </w:tc>
        <w:tc>
          <w:tcPr>
            <w:tcW w:w="3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32406B"/>
              </w:rPr>
              <w:t>2018</w:t>
            </w:r>
          </w:p>
        </w:tc>
        <w:tc>
          <w:tcPr>
            <w:tcW w:w="4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32406B"/>
              </w:rPr>
              <w:t>1.145</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32406B"/>
              </w:rPr>
              <w:t>1.1811</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1.1261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1.2493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2019</w:t>
            </w:r>
          </w:p>
        </w:tc>
        <w:tc>
          <w:tcPr>
            <w:tcW w:w="4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32406B"/>
              </w:rPr>
              <w:t>1.1234</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32406B"/>
              </w:rPr>
              <w:t>1.1196</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32406B"/>
              </w:rPr>
              <w:t>1.0889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1.1535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32406B"/>
              </w:rPr>
              <w:t>2020</w:t>
            </w:r>
          </w:p>
        </w:tc>
        <w:tc>
          <w:tcPr>
            <w:tcW w:w="4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32406B"/>
              </w:rPr>
              <w:t>1.2271</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32406B"/>
              </w:rPr>
              <w:t>1.1422</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1.0707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1.2281</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Month Ended:</w:t>
            </w:r>
          </w:p>
        </w:tc>
        <w:tc>
          <w:tcPr>
            <w:tcW w:w="3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32406B"/>
              </w:rPr>
              <w:t>January 2021</w:t>
            </w:r>
          </w:p>
        </w:tc>
        <w:tc>
          <w:tcPr>
            <w:tcW w:w="44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32406B"/>
              </w:rPr>
              <w:t>1.2136</w:t>
            </w: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32406B"/>
              </w:rPr>
              <w:t>1.2171</w:t>
            </w: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1.2064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1.2338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February 2021 (through February 4, 2021)</w:t>
            </w:r>
          </w:p>
        </w:tc>
        <w:tc>
          <w:tcPr>
            <w:tcW w:w="44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32406B"/>
              </w:rPr>
              <w:t>1.1996</w:t>
            </w:r>
          </w:p>
        </w:tc>
        <w:tc>
          <w:tcPr>
            <w:tcW w:w="9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32406B"/>
              </w:rPr>
              <w:t>1.2035</w:t>
            </w:r>
          </w:p>
        </w:tc>
        <w:tc>
          <w:tcPr>
            <w:tcW w:w="8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32406B"/>
              </w:rPr>
              <w:t>1.1996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1.2084</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4"/>
                <w:szCs w:val="24"/>
                <w:color w:val="auto"/>
              </w:rPr>
            </w:pPr>
          </w:p>
        </w:tc>
        <w:tc>
          <w:tcPr>
            <w:tcW w:w="356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32406B"/>
              </w:rPr>
              <w:t>79</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32406B"/>
        </w:rPr>
        <w:t>MANAGEMENT’S DISCUSSION AND ANALYSIS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32406B"/>
        </w:rPr>
        <w:t>OF FINANCIAL CONDITION AND RESULTS OF OPERATIONS</w:t>
      </w:r>
    </w:p>
    <w:p>
      <w:pPr>
        <w:spacing w:after="0" w:line="20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You should read the following discussion of our financial condition and results of operations in conjunction with the financial statements and the notes included elsewhere in this prospectus.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prospectus, particularly under the “Risk Factors” and “Cautionary Statement Regarding Forward-Looking Statements” sections.</w:t>
      </w:r>
    </w:p>
    <w:p>
      <w:pPr>
        <w:spacing w:after="0" w:line="291" w:lineRule="exact"/>
        <w:rPr>
          <w:sz w:val="20"/>
          <w:szCs w:val="20"/>
          <w:color w:val="auto"/>
        </w:rPr>
      </w:pPr>
    </w:p>
    <w:p>
      <w:pPr>
        <w:ind w:right="1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Our audited consolidated financial statements are included elsewhere in this prospectus. These financial statements are prepared pursuant to IFRS as issued by IASB. As permitted by the rules of the SEC for foreign private issuers, we do not reconcile our financial statements to U.S. GAAP.</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Overview</w:t>
      </w:r>
    </w:p>
    <w:p>
      <w:pPr>
        <w:spacing w:after="0" w:line="121"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 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well tolerated and orally bioavailable.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 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89"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32406B"/>
        </w:rPr>
        <w:t>The COVID-19 outbreak has spread globally and severely restricted the level of economic activity around the world. In response to the COVID-19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w:t>
      </w:r>
    </w:p>
    <w:p>
      <w:pPr>
        <w:spacing w:after="0" w:line="176"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We are monitoring developments surrounding the COVID-19 pandemic and have taken steps to identify and mitigate the adverse effects and risks to the Company as a result of the pandemic. As a result, we have modified our business practices, including implementing work from home arrangements for employees able to perform their duties remotely, restricting nonessential travel, and practicing safe social distancing in our operations. We expect to continue to take actions as may be required or recommended by government authorities or in the best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80</w:t>
      </w:r>
    </w:p>
    <w:p>
      <w:pPr>
        <w:sectPr>
          <w:pgSz w:w="11900" w:h="16838" w:orient="portrait"/>
          <w:cols w:equalWidth="0" w:num="1">
            <w:col w:w="11200"/>
          </w:cols>
          <w:pgMar w:left="320" w:top="455" w:right="3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32406B"/>
        </w:rPr>
        <w:t>interests of our employees and business partners. While the impact of COVID-19 on the Company’s operations and financial performance is limited, the extent to which COVID-19 may impact our financial condition or results of operations is uncertain. For instance, the ongoing spread of COVID-19 may continue to interrupt, or delay, clinical trial activities, regulatory reviews, manufacturing activities and supply chain. For example, we experienced an approximate two-month delay in starting the enrollment of our Phase 1 multiple ascending dose study of PHA121 in healthy volunteers as a result of COVID-19. In addition, even with our distributed operations and our observation of social distancing measures, there remains the possibility that key personnel may become ill or are otherwise unable to work, which could adversely affect our operations.</w:t>
      </w:r>
    </w:p>
    <w:p>
      <w:pPr>
        <w:spacing w:after="0" w:line="187"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8"/>
          <w:szCs w:val="18"/>
          <w:color w:val="32406B"/>
        </w:rPr>
        <w:t>Furthermore, the spread of the virus may affect the operations of key governmental agencies, such as the FDA, which may delay the development of our product candidates. The spread of COVID-19 may also result in the inability of our suppliers to deliver components or raw materials, and the inability of our CDMOs to provide supplies of our product candidates for our planned clinical trials, on a timely basis or at all. Further, COVID-19 may impact the ability of our CROs, including non-clinical CROs, to provide services to support our clinical program.</w:t>
      </w:r>
    </w:p>
    <w:p>
      <w:pPr>
        <w:spacing w:after="0" w:line="180"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32406B"/>
        </w:rPr>
        <w:t>The COVID-19 pandemic remains a rapidly evolving situation and we do not yet know the full extent of its potential impact on our business operations. However, we are making efforts to limit the financial impact of COVID-19 going forward.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Financial Operations Overview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Revenues</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We did not record any revenues during the period covered by the historical financial information included in this prospectus. We do not expect to derive any revenues before we are able to commercialize our first product.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Research and Development Expenses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We are focused on the clinical development of PHA121. Since our inception, we have devoted substantially all of our resources to research and development efforts relating to the development of PHA121 and our product candidates PHVS416 and PHVS719. We expect that we will continue to incur significant research and development expenses as we seek to complete the clinical development of, and achieve regulatory approval for, our product candidates PHVS416 and PHVS719, and in connection with discovery and development of any additional product candidates.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Research and development expenses consist of the following:</w:t>
      </w:r>
    </w:p>
    <w:p>
      <w:pPr>
        <w:spacing w:after="0" w:line="131" w:lineRule="exact"/>
        <w:rPr>
          <w:sz w:val="20"/>
          <w:szCs w:val="20"/>
          <w:color w:val="auto"/>
        </w:rPr>
      </w:pPr>
    </w:p>
    <w:p>
      <w:pPr>
        <w:ind w:left="1000" w:right="140" w:hanging="547"/>
        <w:spacing w:after="0" w:line="282" w:lineRule="auto"/>
        <w:tabs>
          <w:tab w:leader="none" w:pos="1000" w:val="left"/>
        </w:tabs>
        <w:numPr>
          <w:ilvl w:val="0"/>
          <w:numId w:val="5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employee benefits expenses, which includes salaries, pensions, share-based compensation expenses, bonus plans and other related costs for research and development staff;</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preclinical expenses, which include costs of our outsourced discovery, preclinical and nonclinical development studies;</w:t>
      </w:r>
    </w:p>
    <w:p>
      <w:pPr>
        <w:spacing w:after="0" w:line="130" w:lineRule="exact"/>
        <w:rPr>
          <w:rFonts w:ascii="Times New Roman" w:cs="Times New Roman" w:eastAsia="Times New Roman" w:hAnsi="Times New Roman"/>
          <w:sz w:val="18"/>
          <w:szCs w:val="18"/>
          <w:color w:val="32406B"/>
        </w:rPr>
      </w:pPr>
    </w:p>
    <w:p>
      <w:pPr>
        <w:ind w:left="1000" w:right="20" w:hanging="547"/>
        <w:spacing w:after="0" w:line="282" w:lineRule="auto"/>
        <w:tabs>
          <w:tab w:leader="none" w:pos="1000" w:val="left"/>
        </w:tabs>
        <w:numPr>
          <w:ilvl w:val="0"/>
          <w:numId w:val="5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clinical expenses, which includes costs of conducting and managing our sponsored clinical trials, including clinical investigator cost, costs of clinical sites, and costs for CROs assisting with our clinical development programs;</w:t>
      </w:r>
    </w:p>
    <w:p>
      <w:pPr>
        <w:spacing w:after="0" w:line="67" w:lineRule="exact"/>
        <w:rPr>
          <w:rFonts w:ascii="Times New Roman" w:cs="Times New Roman" w:eastAsia="Times New Roman" w:hAnsi="Times New Roman"/>
          <w:sz w:val="18"/>
          <w:szCs w:val="18"/>
          <w:color w:val="32406B"/>
        </w:rPr>
      </w:pPr>
    </w:p>
    <w:p>
      <w:pPr>
        <w:ind w:left="1000" w:right="600" w:hanging="547"/>
        <w:spacing w:after="0" w:line="282" w:lineRule="auto"/>
        <w:tabs>
          <w:tab w:leader="none" w:pos="1000" w:val="left"/>
        </w:tabs>
        <w:numPr>
          <w:ilvl w:val="0"/>
          <w:numId w:val="5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manufacturing expenses, which include costs related to manufacturing of active pharmaceutical ingredients and manufacturing of the products used in our clinical trials and research and development activities;</w:t>
      </w:r>
    </w:p>
    <w:p>
      <w:pPr>
        <w:spacing w:after="0" w:line="67"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5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81</w:t>
      </w:r>
    </w:p>
    <w:p>
      <w:pPr>
        <w:sectPr>
          <w:pgSz w:w="11900" w:h="16838" w:orient="portrait"/>
          <w:cols w:equalWidth="0" w:num="1">
            <w:col w:w="11180"/>
          </w:cols>
          <w:pgMar w:left="320" w:top="455" w:right="39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costs in connection with investigator-sponsored clinical trials and evaluations;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advisers’ fees, including discovery, nonclinical, clinical, chemistry, manufacturing, and controls -related and other consulting services;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intellectual property costs, which includes costs associated with obtaining and maintaining patents and other intellectual property;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license costs.</w:t>
      </w:r>
    </w:p>
    <w:p>
      <w:pPr>
        <w:spacing w:after="0" w:line="225" w:lineRule="exact"/>
        <w:rPr>
          <w:sz w:val="20"/>
          <w:szCs w:val="20"/>
          <w:color w:val="auto"/>
        </w:rPr>
      </w:pPr>
    </w:p>
    <w:p>
      <w:pPr>
        <w:jc w:val="both"/>
        <w:ind w:right="660" w:firstLine="449"/>
        <w:spacing w:after="0" w:line="266" w:lineRule="auto"/>
        <w:rPr>
          <w:sz w:val="20"/>
          <w:szCs w:val="20"/>
          <w:color w:val="auto"/>
        </w:rPr>
      </w:pPr>
      <w:r>
        <w:rPr>
          <w:rFonts w:ascii="Times New Roman" w:cs="Times New Roman" w:eastAsia="Times New Roman" w:hAnsi="Times New Roman"/>
          <w:sz w:val="18"/>
          <w:szCs w:val="18"/>
          <w:color w:val="32406B"/>
        </w:rPr>
        <w:t>We expect that our total research and development expense in 2021 will be in the range of €50 to €60 million as we continue to focus on the development of our product candidates PHVS416 and PHVS719, as well as explore potential expansion programs. We anticipate that research and development expenses will continue to increase as we continue to progress PHVS416 and PHVS719 through clinical development.</w:t>
      </w:r>
    </w:p>
    <w:p>
      <w:pPr>
        <w:spacing w:after="0" w:line="176"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There is a risk that any clinical development or product discovery program may not result in commercial approval. To the extent that we fail to obtain approval to commercialize our product candidates in a timely manner, we would need to continue to conduct clinical trials over a longer period of time, and we anticipate that our research and development expenses may further increase.</w:t>
      </w:r>
    </w:p>
    <w:p>
      <w:pPr>
        <w:spacing w:after="0" w:line="176"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32406B"/>
        </w:rPr>
        <w:t>Clinical development timelines and associated costs may vary significantly and the successful development of our product candidates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“Risk Factors.”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Selling and Distribution Expenses</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General and Administrative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anticipate that we will continue to incur significant general and administrative expenses as we advance our research and development portfolio.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General and administrative expenses consist of the following:</w:t>
      </w:r>
    </w:p>
    <w:p>
      <w:pPr>
        <w:spacing w:after="0" w:line="112" w:lineRule="exact"/>
        <w:rPr>
          <w:sz w:val="20"/>
          <w:szCs w:val="20"/>
          <w:color w:val="auto"/>
        </w:rPr>
      </w:pPr>
    </w:p>
    <w:p>
      <w:pPr>
        <w:ind w:left="1000" w:right="620" w:hanging="547"/>
        <w:spacing w:after="0" w:line="282" w:lineRule="auto"/>
        <w:tabs>
          <w:tab w:leader="none" w:pos="1000" w:val="left"/>
        </w:tabs>
        <w:numPr>
          <w:ilvl w:val="0"/>
          <w:numId w:val="5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employee benefits, including salaries, pensions, share-based compensation expenses, bonus plans and other related costs for staff and independent contractors in executive and operational functions;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auditors’ and advisers’ fees, including accounting, tax, legal and other consulting services;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rental expenses, facilities and IT expenses and other general expenses relating to our operations.</w:t>
      </w:r>
    </w:p>
    <w:p>
      <w:pPr>
        <w:spacing w:after="0" w:line="225"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We anticipate that the continuing development of our business and the expense of maintaining directors’ and officers’ liability insurance will contribute to a future increase in general and administrative expenses. We also expect that general and administrative expenses will increase in the future as we incur additional costs associated with being a public company in the United States.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Share-Based Compensation Expenses</w:t>
      </w:r>
    </w:p>
    <w:p>
      <w:pPr>
        <w:spacing w:after="0" w:line="121"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32406B"/>
        </w:rPr>
        <w:t>In 2016, we implemented an Equity Incentive Plan, or the Plan, in order to advance the interests of our shareholders by enhancing our ability to attract, retain and motivate persons who are expected to make important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82</w:t>
      </w:r>
    </w:p>
    <w:p>
      <w:pPr>
        <w:sectPr>
          <w:pgSz w:w="11900" w:h="16838" w:orient="portrait"/>
          <w:cols w:equalWidth="0" w:num="1">
            <w:col w:w="11220"/>
          </w:cols>
          <w:pgMar w:left="320" w:top="45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32406B"/>
        </w:rPr>
        <w:t>contributions to us and by providing such persons with performance-based incentives that are intended to better align the interests of such persons with those of our shareholders. The fair value of these instruments will be recognized as personnel expenses in either research and development and expenses or general and administrative expense.</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Comparison of the nine months ended September 30, 2020 and 2019</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summarizes our loss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12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(11,797,986)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(3,154,877)</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(8,643,109)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274%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(3,447,208)</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32406B"/>
              </w:rPr>
              <w:t>(1,409,972)</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32406B"/>
              </w:rPr>
              <w:t>(2,037,236)</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(15,245,194)</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(4,564,849)</w:t>
            </w:r>
          </w:p>
        </w:tc>
        <w:tc>
          <w:tcPr>
            <w:tcW w:w="1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32406B"/>
              </w:rPr>
              <w:t>(10,680,345)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234%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(176,602)</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32406B"/>
              </w:rPr>
              <w:t>(3,927)</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32406B"/>
              </w:rPr>
              <w:t>(172,675)</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32406B"/>
              </w:rPr>
              <w:t>(10,853,020)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238%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Income taxes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32406B"/>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for the period</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(15,421,796)</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(4,568,776)</w:t>
            </w:r>
          </w:p>
        </w:tc>
        <w:tc>
          <w:tcPr>
            <w:tcW w:w="11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32406B"/>
              </w:rPr>
              <w:t>(10,853,020)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238%</w:t>
            </w:r>
          </w:p>
        </w:tc>
        <w:tc>
          <w:tcPr>
            <w:tcW w:w="0" w:type="dxa"/>
            <w:vAlign w:val="bottom"/>
          </w:tcPr>
          <w:p>
            <w:pPr>
              <w:spacing w:after="0"/>
              <w:rPr>
                <w:sz w:val="1"/>
                <w:szCs w:val="1"/>
                <w:color w:val="auto"/>
              </w:rPr>
            </w:pPr>
          </w:p>
        </w:tc>
      </w:tr>
      <w:tr>
        <w:trPr>
          <w:trHeight w:val="54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32406B"/>
              </w:rPr>
              <w:t>Research and Development Expenses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960" w:type="dxa"/>
            <w:vAlign w:val="bottom"/>
          </w:tcPr>
          <w:p>
            <w:pPr>
              <w:spacing w:after="0"/>
              <w:rPr>
                <w:sz w:val="24"/>
                <w:szCs w:val="24"/>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12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(1,677,630)</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(69,417)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(1,608,213)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w w:val="97"/>
              </w:rPr>
              <w:t>2,317%</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Clinical expenses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(5,293,514)</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32406B"/>
              </w:rPr>
              <w:t>(886,152)</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(4,407,362)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497%</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Preclinical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(2,065,658)</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(1,056,826)</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(1,008,832)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95%</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Manufacturing costs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(2,624,638)</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32406B"/>
              </w:rPr>
              <w:t>(830,088)</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(1,794,550)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216%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License costs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(300,000)</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300,000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32406B"/>
              </w:rPr>
              <w:t>Intellectual property costs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(136,546)</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32406B"/>
              </w:rPr>
              <w:t>(12,394)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2406B"/>
              </w:rPr>
              <w:t>(124,152)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w w:val="97"/>
              </w:rPr>
              <w:t>1,002%</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research and development expenses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(11,797,986)</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32406B"/>
              </w:rPr>
              <w:t>(3,154,877)</w:t>
            </w: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32406B"/>
              </w:rPr>
              <w:t>(8,643,109)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274%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firstLine="449"/>
        <w:spacing w:after="0" w:line="256" w:lineRule="auto"/>
        <w:rPr>
          <w:sz w:val="20"/>
          <w:szCs w:val="20"/>
          <w:color w:val="auto"/>
        </w:rPr>
      </w:pPr>
      <w:r>
        <w:rPr>
          <w:rFonts w:ascii="Times New Roman" w:cs="Times New Roman" w:eastAsia="Times New Roman" w:hAnsi="Times New Roman"/>
          <w:sz w:val="18"/>
          <w:szCs w:val="18"/>
          <w:color w:val="32406B"/>
        </w:rPr>
        <w:t>Research and development expenses increased by €8,643,109 to €11,797,986 in the nine months ended September 30, 2020, or 274% from €3,154,877 for the nine months ended September 30, 2019. The increase in research and development expenses was due primarily to the expansion of the Phase 1 clinical program in 2020 and the progression of preclinical studies to prepare for the Phase 2 clinical program in 2020. The cost of manufacturing of PHA121 for preclinical studies and expanded formulation development work were also major cost drivers in 2020. In 2019, a milestone payment of €300,000 was paid to AnalytiCon upon commencement of Phase 1 development. In personnel expenses, an amount of €817,488 for 2020 and €69,417 for 2019 is related to the share-based payments arrangements.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83</w:t>
      </w:r>
    </w:p>
    <w:p>
      <w:pPr>
        <w:sectPr>
          <w:pgSz w:w="11900" w:h="16838" w:orient="portrait"/>
          <w:cols w:equalWidth="0" w:num="1">
            <w:col w:w="11240"/>
          </w:cols>
          <w:pgMar w:left="320" w:top="455" w:right="3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2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22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32406B"/>
              </w:rPr>
              <w:t>%</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(708,645)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(12,117)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(696,528)</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5748%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32406B"/>
              </w:rPr>
              <w:t>Consulting fees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(732,915)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(796,447)</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(63,532)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(8)%</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Professional fees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(656,798)</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(175,937)</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(480,861)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273%</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32406B"/>
              </w:rPr>
              <w:t>Accounting, tax and auditing fees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(778,696)</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(134,606)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(644,090)</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479%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Facilities, communication &amp; office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(419,879)</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(78,100)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(341,779)</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438%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32406B"/>
              </w:rPr>
              <w:t>Travel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(25,161)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(143,232)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(118,071)</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(82)%</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(125,114)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(69,533)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(55,581)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General and administrative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(3,447,208)</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(1,409,972)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(2,037,236)</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32406B"/>
              </w:rPr>
              <w:t>144%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32406B"/>
        </w:rPr>
        <w:t>General and administrative expenses increased by €2,037,236 to €3,447,208 in the nine months ended September 30, 2020, or 144% from €1,409,972 for the nine months ended September 30, 2019. The increase in general and administrative expenses was mainly driven by the growth of the Group and the associated engagement of consultants and service providers as well as the hiring of additional employees to support the Group’s activities and to fulfill legal, tax and reporting compliance requirements. In addition, the Group’s preparation for an initial public offering led to an increase in legal, accounting and reporting expenses. In personnel expenses, an amount of €232,936 for 2020 and €12,117 for 2019 is related to the share-based payments arrangements.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Net Foreign Exchange Loss</w:t>
      </w:r>
    </w:p>
    <w:p>
      <w:pPr>
        <w:spacing w:after="0" w:line="119"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32406B"/>
        </w:rPr>
        <w:t>Our net foreign exchange loss increased by €172,675 from €3,927 for the nine months ended September 30, 2019 to €176,602 for the nine months ended September 30, 2020. This increase is due to the translation of the Group’s foreign operations into the Group’s reporting currency and the increase in the services rendered from parties invoicing in a currency different to the Group reporting currency.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Income Taxes</w:t>
      </w:r>
    </w:p>
    <w:p>
      <w:pPr>
        <w:spacing w:after="0" w:line="11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We have a history of losses. We had accumulated tax losses of €19.9 million with respect to corporate tax as of September 30, 2020. We expect to continue incurring losses in the near future as we continue to invest in the development of our product candidates. Consequently, we do not have any deferred tax asset on our statement of financial position. The total unrecognized deferred tax assets from temporary differences equaled €3.2 million for the nine months ended September 30, 2020.</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Comparison of the years ended December 31, 2019 and 2018</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summarizes our loss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1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1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tcBorders>
              <w:top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92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4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32406B"/>
              </w:rPr>
              <w:t>(5,684,562)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(3,645,413)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(2,039,149)</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56%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4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32406B"/>
              </w:rPr>
              <w:t>(2,325,719)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(668,121)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(1,657,598)</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248%</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4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b w:val="1"/>
                <w:bCs w:val="1"/>
                <w:color w:val="32406B"/>
              </w:rPr>
              <w:t>(8,010,281)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32406B"/>
              </w:rPr>
              <w:t>(4,313,534)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(3,696,747)</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42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32406B"/>
              </w:rPr>
              <w:t>(16,881)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(380)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(16,501)</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4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b w:val="1"/>
                <w:bCs w:val="1"/>
                <w:color w:val="32406B"/>
              </w:rPr>
              <w:t>(8,027,162)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32406B"/>
              </w:rPr>
              <w:t>(4,313,914)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(3,713,248)</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86%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32406B"/>
              </w:rPr>
              <w:t>Income taxes</w:t>
            </w:r>
          </w:p>
        </w:tc>
        <w:tc>
          <w:tcPr>
            <w:tcW w:w="320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for the period</w:t>
            </w:r>
          </w:p>
        </w:tc>
        <w:tc>
          <w:tcPr>
            <w:tcW w:w="4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b w:val="1"/>
                <w:bCs w:val="1"/>
                <w:color w:val="32406B"/>
              </w:rPr>
              <w:t>(8,027,162)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32406B"/>
              </w:rPr>
              <w:t>(4,313,914)</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(3,713,248)</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86%</w:t>
            </w: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32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32406B"/>
              </w:rPr>
              <w:t>84</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Research and Development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21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300" w:type="dxa"/>
            <w:vAlign w:val="bottom"/>
          </w:tcPr>
          <w:p>
            <w:pPr>
              <w:spacing w:after="0"/>
              <w:rPr>
                <w:sz w:val="15"/>
                <w:szCs w:val="15"/>
                <w:color w:val="auto"/>
              </w:rPr>
            </w:pPr>
          </w:p>
        </w:tc>
        <w:tc>
          <w:tcPr>
            <w:tcW w:w="216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(131,544)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(99,946)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(31,598)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32%</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32406B"/>
              </w:rPr>
              <w:t>Clinical expenses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(2,009,892)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(205,873)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(1,804,019)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876%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Preclinical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(1,850,444)</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(2,449,046)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598,602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(24)%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32406B"/>
              </w:rPr>
              <w:t>Manufacturing costs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(1,379,590)</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(870,933)</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(508,657)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58%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License costs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(300,000)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(300,000)</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32406B"/>
              </w:rPr>
              <w:t>Intellectual property costs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(13,092)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(19,615)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6,523</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(33)%</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research and development expenses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(5,684,562)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(3,645,413)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32406B"/>
              </w:rPr>
              <w:t>(2,039,149)</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32406B"/>
              </w:rPr>
              <w:t>56%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Research and development expenses increased by €2,039,149 in 2019, or 56% from €3,645,413 for the year ended December 31, 2018 to €5,684,562 for the year ended December 31, 2019. The increase in research and development expenses in 2019 compared to 2018 was due to the progression of PHA121 into clinical development, with a Phase 1 clinical trial initiated in 2019, and the commencement of preclinical studies to prepare for the Phase 2 clinical program that is anticipated to commence in 2021. The cost of manufacturing PHA121 for preclinical studies and clinical trials was also a major cost driver in 2019. A milestone payment of €300,000 was also paid to AnalytiCon upon commencement of Phase 1 development.</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General and Administrative Expenses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0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20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(49,601)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(799)</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(48,802)</w:t>
            </w:r>
          </w:p>
        </w:tc>
        <w:tc>
          <w:tcPr>
            <w:tcW w:w="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32406B"/>
              </w:rPr>
              <w:t>Consulting fees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(990,730)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(333,160)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(657,570)</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197%</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Professional fees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(495,326)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(62,958)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(432,368)</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687%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32406B"/>
              </w:rPr>
              <w:t>Accounting and auditing fees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(300,841)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(111,852)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(188,989)</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169%</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Travel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(236,904)</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(84,970)</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(151,934)</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179%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32406B"/>
              </w:rPr>
              <w:t>Facilities, communication &amp; office expenses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(167,062)</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(47,536)</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(119,526)</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251%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expenses</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(85,255)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(26,846)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(58,409)</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218%</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General and administrative expenses</w:t>
            </w: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32406B"/>
              </w:rPr>
              <w:t>(2,325,719)</w:t>
            </w:r>
          </w:p>
        </w:tc>
        <w:tc>
          <w:tcPr>
            <w:tcW w:w="22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32406B"/>
              </w:rPr>
              <w:t>(668,121)</w:t>
            </w:r>
          </w:p>
        </w:tc>
        <w:tc>
          <w:tcPr>
            <w:tcW w:w="22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32406B"/>
              </w:rPr>
              <w:t>(1,657,598)</w:t>
            </w:r>
          </w:p>
        </w:tc>
        <w:tc>
          <w:tcPr>
            <w:tcW w:w="220" w:type="dxa"/>
            <w:vAlign w:val="bottom"/>
            <w:vMerge w:val="continue"/>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32406B"/>
              </w:rPr>
              <w:t>248%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General and administrative expenses increased by €1,657,598, from €668,121 for the year ended December 31, 2018 to €2,325,719 for the year ended December 31, 2019. The increase in general and administrative expenses was driven by a variety of factors primarily the growth of the Company, in particular the increase in additional consulting personnel, recruitment, accounting and legal fees, investor relations expenses related to financing activities, travel expenses and increased office space to accommodate our growth.</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Net Foreign Exchange Loss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net foreign exchange loss increased by €16,501 from €380 for the year ended December 31, 2018 to €16,881 for the year ended December 31,</w:t>
      </w:r>
    </w:p>
    <w:p>
      <w:pPr>
        <w:spacing w:after="0" w:line="27" w:lineRule="exact"/>
        <w:rPr>
          <w:sz w:val="20"/>
          <w:szCs w:val="20"/>
          <w:color w:val="auto"/>
        </w:rPr>
      </w:pPr>
    </w:p>
    <w:p>
      <w:pPr>
        <w:ind w:right="640"/>
        <w:spacing w:after="0" w:line="260" w:lineRule="auto"/>
        <w:rPr>
          <w:sz w:val="20"/>
          <w:szCs w:val="20"/>
          <w:color w:val="auto"/>
        </w:rPr>
      </w:pPr>
      <w:r>
        <w:rPr>
          <w:rFonts w:ascii="Times New Roman" w:cs="Times New Roman" w:eastAsia="Times New Roman" w:hAnsi="Times New Roman"/>
          <w:sz w:val="18"/>
          <w:szCs w:val="18"/>
          <w:color w:val="32406B"/>
        </w:rPr>
        <w:t>2019. This increase is due to increased foreign exchange losses as a result of an increase in transactions in foreign currencies due to the Company’s activities in various jurisdictions.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Income Taxes</w:t>
      </w:r>
    </w:p>
    <w:p>
      <w:pPr>
        <w:spacing w:after="0" w:line="119" w:lineRule="exact"/>
        <w:rPr>
          <w:sz w:val="20"/>
          <w:szCs w:val="20"/>
          <w:color w:val="auto"/>
        </w:rPr>
      </w:pPr>
    </w:p>
    <w:p>
      <w:pPr>
        <w:ind w:right="800" w:firstLine="449"/>
        <w:spacing w:after="0" w:line="282" w:lineRule="auto"/>
        <w:rPr>
          <w:sz w:val="20"/>
          <w:szCs w:val="20"/>
          <w:color w:val="auto"/>
        </w:rPr>
      </w:pPr>
      <w:r>
        <w:rPr>
          <w:rFonts w:ascii="Times New Roman" w:cs="Times New Roman" w:eastAsia="Times New Roman" w:hAnsi="Times New Roman"/>
          <w:sz w:val="18"/>
          <w:szCs w:val="18"/>
          <w:color w:val="32406B"/>
        </w:rPr>
        <w:t>We have a history of losses. We had accumulated tax losses of €5.9 million with respect to corporate tax as of December 31, 2019. We had accumulated tax losses of €2.7 million with respect to corporate tax as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85</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32406B"/>
        </w:rPr>
        <w:t>December 31, 2018. We expect to continue incurring losses in the near future as we continue to invest in the development of our product candidates. Consequently, we do not have any deferred tax asset on our statement of financial position. The total unrecognized deferred tax assets from temporary differences equaled €2.9 million for the year ended December 31, 2019 compared to €1.6 million for the year ended December 31,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Liquidity and Capital Resources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Since inception, we have incurred significant operating losses. We incurred losses of €4,313,914 during the year ended December 31, 2018 and €8,027,162 during the year ended December 31, 2019. For the nine months ended September 30, 2020, we incurred losses of €15,421,796. Since inception, we have not generated any revenues or net cash flows from sales. We will not receive any revenues or net cash flows from sales until we successful develop a product candidate obtain regulatory approval and successfully commercialize it. There is no assurance that we will be able to do so.</w:t>
      </w:r>
    </w:p>
    <w:p>
      <w:pPr>
        <w:spacing w:after="0" w:line="180"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To date, we have relied solely on the issuance of equity securities to finance our operations and internal growth. From inception through September 30, 2020, we have raised the following capital:</w:t>
      </w:r>
    </w:p>
    <w:p>
      <w:pPr>
        <w:spacing w:after="0" w:line="67" w:lineRule="exact"/>
        <w:rPr>
          <w:sz w:val="20"/>
          <w:szCs w:val="20"/>
          <w:color w:val="auto"/>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issuance of 4,850,000 Common shares raising €225,000;</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issuance of 5,242,850 Series A preferred shares raising €14,899,133 (net of transaction costs);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issuance of 3,003,391 Series B-1 preferred shares raising €21,631,526 (net of transaction costs);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issuance of 4,646,756 Series B-2 preferred shares raising €34,246,281 (net of transaction costs).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In addition, in November 2020, we issued 5,826,279 Series C preferred shares raising approximately $80 million.</w:t>
      </w:r>
    </w:p>
    <w:p>
      <w:pPr>
        <w:spacing w:after="0" w:line="225"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32406B"/>
        </w:rPr>
        <w:t>As of September 30, 2020 we held cash and cash equivalents of €41,948,476. We expect that the net proceeds from this offering, together with our existing cash and cash equivalents, will enable us to fund our operating expenses and capital expenditure requirements for the next 24 months.</w:t>
      </w:r>
    </w:p>
    <w:p>
      <w:pPr>
        <w:spacing w:after="0" w:line="162"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89" w:lineRule="exact"/>
        <w:rPr>
          <w:sz w:val="20"/>
          <w:szCs w:val="20"/>
          <w:color w:val="auto"/>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and cost of our discovery, preclinical and nonclinical development;</w:t>
      </w:r>
    </w:p>
    <w:p>
      <w:pPr>
        <w:spacing w:after="0" w:line="130" w:lineRule="exact"/>
        <w:rPr>
          <w:rFonts w:ascii="Times New Roman" w:cs="Times New Roman" w:eastAsia="Times New Roman" w:hAnsi="Times New Roman"/>
          <w:sz w:val="18"/>
          <w:szCs w:val="18"/>
          <w:color w:val="32406B"/>
        </w:rPr>
      </w:pPr>
    </w:p>
    <w:p>
      <w:pPr>
        <w:ind w:left="1000" w:right="440" w:hanging="547"/>
        <w:spacing w:after="0" w:line="282" w:lineRule="auto"/>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and cost of our clinical trials, including payments of patient and clinical site cost, clinical investigator cost and payments to CROs that are assisting with our sponsored clinical trials, and other research and development activities;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and timing of obtaining regulatory approval to commence further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costs associated with any future investigator-sponsored clinical trials;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filing, prosecuting, defending and enforcing any patent applications, claims, patents and other intellectual property rights;</w:t>
      </w:r>
    </w:p>
    <w:p>
      <w:pPr>
        <w:spacing w:after="0" w:line="130" w:lineRule="exact"/>
        <w:rPr>
          <w:rFonts w:ascii="Times New Roman" w:cs="Times New Roman" w:eastAsia="Times New Roman" w:hAnsi="Times New Roman"/>
          <w:sz w:val="18"/>
          <w:szCs w:val="18"/>
          <w:color w:val="32406B"/>
        </w:rPr>
      </w:pPr>
    </w:p>
    <w:p>
      <w:pPr>
        <w:ind w:left="1000" w:right="300" w:hanging="547"/>
        <w:spacing w:after="0" w:line="282" w:lineRule="auto"/>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and timing of obtaining sufficient quantities of our product candidates for clinical trials by establishing our contracted and/or own production capacities;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terms and timing of any collaborative, licensing and other arrangements that we may establish;</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costs of any delays caused by the COVID-19 pandemic and associated restrictions;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86</w:t>
      </w:r>
    </w:p>
    <w:p>
      <w:pPr>
        <w:sectPr>
          <w:pgSz w:w="11900" w:h="16838" w:orient="portrait"/>
          <w:cols w:equalWidth="0" w:num="1">
            <w:col w:w="11240"/>
          </w:cols>
          <w:pgMar w:left="320" w:top="455" w:right="3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preparing for launch and commercialization of our product candidates;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cost of operating as a public company in the United States.</w:t>
      </w:r>
    </w:p>
    <w:p>
      <w:pPr>
        <w:spacing w:after="0" w:line="225"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32406B"/>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6"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32406B"/>
        </w:rPr>
        <w:t>To the extent that we raise additional funds by issuing and selling equity or equity-linked securities, shareholders will experience dilution. Debt financings,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the COVID-19 pandemic). If we are unable to raise additional funds when needed, we may be required to delay, reduce, or terminate some or all of our development programs and clinical trials. We may also be required to sell or license to others technologies or our clinical product candidates that we would prefer to develop and commercialize ourselves.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Cash Flows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Comparison for the nine months ended September 30, 2020 and September 20, 2019</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sets forth our primary sources and uses of our cash and cash equivalents for each of the periods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32406B"/>
              </w:rPr>
              <w:t>For the nine months ended</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23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32406B"/>
              </w:rPr>
              <w:t>September 30,</w:t>
            </w: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3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Borders>
              <w:top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32406B"/>
              </w:rPr>
              <w:t>2020</w:t>
            </w:r>
          </w:p>
        </w:tc>
        <w:tc>
          <w:tcPr>
            <w:tcW w:w="94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cash flows used in operating activities</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32406B"/>
              </w:rPr>
              <w:t>(12,588,520)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(3,529,943)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(9,058,577)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257%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32406B"/>
              </w:rPr>
              <w:t>Net cash flows used in investing activities</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32406B"/>
              </w:rPr>
              <w:t>(35,657)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(4,297)</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(31,360)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730%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cash flows provided by financing activities</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32406B"/>
              </w:rPr>
              <w:t>34,246,281</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22,297,707</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11,948,574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54%</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increase in cash and cash equivalents</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32406B"/>
              </w:rPr>
              <w:t>21,622,104</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18,763,467</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2,858,637</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15%</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beginning of period</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32406B"/>
              </w:rPr>
              <w:t>20,326,372</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5,385,333</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14,941,039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277%</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end of period</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32406B"/>
              </w:rPr>
              <w:t>41,948,476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24,148,800</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17,799,676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74%</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Operating Activities</w:t>
      </w:r>
    </w:p>
    <w:p>
      <w:pPr>
        <w:spacing w:after="0" w:line="121"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32406B"/>
        </w:rPr>
        <w:t>Net cash flows used in operating activities reflects our results for the period adjusted for, among other things, depreciation, unrealized foreign exchange results, share-based payments, changes in working capital and accruals.</w:t>
      </w:r>
    </w:p>
    <w:p>
      <w:pPr>
        <w:spacing w:after="0" w:line="162" w:lineRule="exact"/>
        <w:rPr>
          <w:sz w:val="20"/>
          <w:szCs w:val="20"/>
          <w:color w:val="auto"/>
        </w:rPr>
      </w:pPr>
    </w:p>
    <w:p>
      <w:pPr>
        <w:ind w:right="340" w:firstLine="449"/>
        <w:spacing w:after="0" w:line="261" w:lineRule="auto"/>
        <w:rPr>
          <w:sz w:val="20"/>
          <w:szCs w:val="20"/>
          <w:color w:val="auto"/>
        </w:rPr>
      </w:pPr>
      <w:r>
        <w:rPr>
          <w:rFonts w:ascii="Times New Roman" w:cs="Times New Roman" w:eastAsia="Times New Roman" w:hAnsi="Times New Roman"/>
          <w:sz w:val="18"/>
          <w:szCs w:val="18"/>
          <w:color w:val="32406B"/>
        </w:rPr>
        <w:t>Net cash flows used in operating activities increased by €9,058,577, or 257%, from €3,529,943 for the nine months ended September 30, 2019 to €12,588,520 for the nine months ended September 30, 2020, primarily reflecting the increase in costs related to outsourced preclinical, clinical development activities and manufacturing of PHA121, financing activities and the accompanying growth of the Group, in particular with respect to the increase in personnel.</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Investing Activities</w:t>
      </w:r>
    </w:p>
    <w:p>
      <w:pPr>
        <w:spacing w:after="0" w:line="121"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Net cash flows used in investing activities increased by €31,360 from €4,297 for the nine months ended September 30, 2019 to €35,657 for the nine months ended September 30, 2020, primarily as a result of capital expenditure related to office equipment as a result of the increase in personnel and the number of offices rented.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87</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Financing Activities</w:t>
      </w:r>
    </w:p>
    <w:p>
      <w:pPr>
        <w:spacing w:after="0" w:line="121"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Net cash flows provided by financing activities increased by €11,948,574 from €22,297,707 for the nine months ended September 30, 2019 to €34,246,281 for the nine months ended September 30, 2020, primarily as a result of the proceeds of €34,246,281 from the second tranche of the Series B financing.</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Comparison for the years ended December 31, 2019 and December 31, 2018</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sets forth our primary sources and uses of our cash and cash equivalents for each of the periods set forth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22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32406B"/>
              </w:rPr>
              <w:t>For the year ended</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22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32406B"/>
              </w:rPr>
              <w:t>Change</w:t>
            </w:r>
          </w:p>
        </w:tc>
        <w:tc>
          <w:tcPr>
            <w:tcW w:w="4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32406B"/>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0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32406B"/>
              </w:rPr>
              <w:t>2019</w:t>
            </w:r>
          </w:p>
        </w:tc>
        <w:tc>
          <w:tcPr>
            <w:tcW w:w="9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32406B"/>
              </w:rPr>
              <w:t>2018</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cash flows used in operating activities</w:t>
            </w:r>
          </w:p>
        </w:tc>
        <w:tc>
          <w:tcPr>
            <w:tcW w:w="1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32406B"/>
              </w:rPr>
              <w:t>(6,677,011)</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(3,918,653)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(2,758,358)</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70%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32406B"/>
              </w:rPr>
              <w:t>Net cash flows used in investing activities</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32406B"/>
              </w:rPr>
              <w:t>(13,476)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(13,476)</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n.m.</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cash flows provided by financing activities</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32406B"/>
              </w:rPr>
              <w:t>21,631,526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4,508,851</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17,122,675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380%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increase in cash and cash equivalents</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32406B"/>
              </w:rPr>
              <w:t>14,941,039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32406B"/>
              </w:rPr>
              <w:t>590,198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32406B"/>
              </w:rPr>
              <w:t>14,350,841</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32406B"/>
              </w:rPr>
              <w:t>n.m.</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beginning of period</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b w:val="1"/>
                <w:bCs w:val="1"/>
                <w:color w:val="32406B"/>
              </w:rPr>
              <w:t>5,385,333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32406B"/>
              </w:rPr>
              <w:t>4,795,135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32406B"/>
              </w:rPr>
              <w:t>590,198</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12%</w:t>
            </w:r>
          </w:p>
        </w:tc>
        <w:tc>
          <w:tcPr>
            <w:tcW w:w="0" w:type="dxa"/>
            <w:vAlign w:val="bottom"/>
          </w:tcPr>
          <w:p>
            <w:pPr>
              <w:spacing w:after="0"/>
              <w:rPr>
                <w:sz w:val="1"/>
                <w:szCs w:val="1"/>
                <w:color w:val="auto"/>
              </w:rPr>
            </w:pPr>
          </w:p>
        </w:tc>
      </w:tr>
      <w:tr>
        <w:trPr>
          <w:trHeight w:val="238"/>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end of period</w:t>
            </w: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32406B"/>
              </w:rPr>
              <w:t>20,326,372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32406B"/>
              </w:rPr>
              <w:t>5,385,333</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32406B"/>
              </w:rPr>
              <w:t>14,941,039</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32406B"/>
              </w:rPr>
              <w:t>277%</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Operating Activities</w:t>
      </w:r>
    </w:p>
    <w:p>
      <w:pPr>
        <w:spacing w:after="0" w:line="121"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32406B"/>
        </w:rPr>
        <w:t>Net cash flows used in operating activities reflects our results for the period adjusted for, among other things, depreciation, unrealized foreign exchange results, share-based payments, changes in working capital and accruals.</w:t>
      </w:r>
    </w:p>
    <w:p>
      <w:pPr>
        <w:spacing w:after="0" w:line="162" w:lineRule="exact"/>
        <w:rPr>
          <w:sz w:val="20"/>
          <w:szCs w:val="20"/>
          <w:color w:val="auto"/>
        </w:rPr>
      </w:pPr>
    </w:p>
    <w:p>
      <w:pPr>
        <w:jc w:val="both"/>
        <w:ind w:right="100" w:firstLine="449"/>
        <w:spacing w:after="0" w:line="261" w:lineRule="auto"/>
        <w:rPr>
          <w:sz w:val="20"/>
          <w:szCs w:val="20"/>
          <w:color w:val="auto"/>
        </w:rPr>
      </w:pPr>
      <w:r>
        <w:rPr>
          <w:rFonts w:ascii="Times New Roman" w:cs="Times New Roman" w:eastAsia="Times New Roman" w:hAnsi="Times New Roman"/>
          <w:sz w:val="18"/>
          <w:szCs w:val="18"/>
          <w:color w:val="32406B"/>
        </w:rPr>
        <w:t>Net cash flows used in operating activities increased by €2,758,358, or 70%, from €3,918,653 for the year ended December 31, 2018 to €6,677,011 for the year ended December 31, 2019, primarily reflecting the increase in costs related to outsourced clinical development activities and manufacturing of PHA121, due to the transition from a preclinical stage into a clinical stage company, financing activities and the accompanying growth of the Company, in particular with respect to the increase in personnel.</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Investing Activities</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Net cash flows used in investing activities increased by €13,476 from nil for the year ended December 31, 2018 to €13,476 for the year ended December 31, 2019, primarily as a result of expenses related to capital expenditures related to office equipment. In 2018 no such expenses were incurred.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Financing Activities</w:t>
      </w:r>
    </w:p>
    <w:p>
      <w:pPr>
        <w:spacing w:after="0" w:line="121"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32406B"/>
        </w:rPr>
        <w:t>Net cash flows provided by financing activities increased by €17,122,675, or 380%, from €4,508,851 for the year ended December 31, 2018 to €21,631,526 for the year ended December 31, 2019, primarily as the result of net proceeds from the Series B preferred shares issued in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Contractual Obligations and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sets forth information relating to our contractual obligations and commitments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32406B"/>
              </w:rPr>
              <w:t>Less than</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32406B"/>
              </w:rPr>
              <w:t>Between 1</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More than</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32406B"/>
              </w:rPr>
              <w:t>1 year</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32406B"/>
              </w:rPr>
              <w:t>and 3 years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5 years</w:t>
            </w: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32406B"/>
              </w:rPr>
              <w:t>(in €)</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Service contracts</w:t>
            </w:r>
          </w:p>
        </w:tc>
        <w:tc>
          <w:tcPr>
            <w:tcW w:w="4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5,013,700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4,005,200</w:t>
            </w:r>
          </w:p>
        </w:tc>
        <w:tc>
          <w:tcPr>
            <w:tcW w:w="10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rPr>
              <w:t>1,008,500</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w:t>
            </w:r>
          </w:p>
        </w:tc>
        <w:tc>
          <w:tcPr>
            <w:tcW w:w="39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5,013,700</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4,005,200</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32406B"/>
                <w:w w:val="97"/>
              </w:rPr>
              <w:t>1,008,500</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32406B"/>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92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32406B"/>
              </w:rPr>
              <w:t>88</w:t>
            </w: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32406B"/>
        </w:rPr>
        <w:t>The table above does not include potential milestone fees, sublicense fees, royalty fees, licensing maintenance fees, and reimbursement of patent maintenance costs that we may be required to pay under the agreement we have entered into with AnalytiCon to license intellectual property. We have not included such potential obligations in the table above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“Business—License Agreement.”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Service Contracts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commitments from service contracts mainly result from contracts with preclinical and clinical CROs and CDMOs.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As of September 30, 2020, we did not have any off-balance sheet arrangements other than the disclosed commitments.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Quantitative and Qualitative Disclosures about Market Risk</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We are exposed to market risk (including currency risk, interest rate risk and price risk), credit risk and liquidity risk. Our management manages each risk as discussed below.</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Currency Risk</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We operate internationally and therefore are exposed to currency risk arising from various currency exposure, primarily with respect to the British pound and the US Dollar as we have agreements with CROs which are based in Great Britain, and consulting agreements with parties that are based in the United States. From these transactions, currency risk arises. We have not established a formal policy to manage the currency risk against our functional currency. At September 30, 2020 and December 31, 2019 and 2018, we had a limited amount of trade payables in foreign currency.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Price Risk</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The market prices for the provision of preclinical and clinical materials and services, as well as external contracted research, may vary over time. The commercial prices of any of our products or product candidates are currently uncertain and we are not exposed to commodity price risk.</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Interest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have no borrowings and are therefore not exposed to interest risk.</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Credit Risk</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only exposure to credit risk is the carrying amounts of bank balances.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Liquidity Risk</w:t>
      </w:r>
    </w:p>
    <w:p>
      <w:pPr>
        <w:spacing w:after="0" w:line="12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We have no revenues to date and have relied on the financing from shareholders in order to ensure sufficient liquidity. We ensure the availability of cash for operational activities through appropriate budget and liquidity planning. Additionally, we maintain a level of cash, which is managed centrally, to finance our operational activities. As of September 30, 2020, we had cash and cash equivalents of €41,948,476. Subsequent to September 30, 2020 we issued Series C preferred shares in November 2020 for net proceeds of approximately $80 million. We believe we have sufficient capital to continue</w:t>
      </w:r>
    </w:p>
    <w:p>
      <w:pPr>
        <w:spacing w:after="0" w:line="3" w:lineRule="exact"/>
        <w:rPr>
          <w:sz w:val="20"/>
          <w:szCs w:val="20"/>
          <w:color w:val="auto"/>
        </w:rPr>
      </w:pPr>
    </w:p>
    <w:p>
      <w:pPr>
        <w:spacing w:after="0"/>
        <w:tabs>
          <w:tab w:leader="none" w:pos="2420" w:val="left"/>
        </w:tabs>
        <w:rPr>
          <w:sz w:val="20"/>
          <w:szCs w:val="20"/>
          <w:color w:val="auto"/>
        </w:rPr>
      </w:pPr>
      <w:r>
        <w:rPr>
          <w:rFonts w:ascii="Times New Roman" w:cs="Times New Roman" w:eastAsia="Times New Roman" w:hAnsi="Times New Roman"/>
          <w:sz w:val="18"/>
          <w:szCs w:val="18"/>
          <w:color w:val="32406B"/>
        </w:rPr>
        <w:t>operations for the next</w:t>
      </w:r>
      <w:r>
        <w:rPr>
          <w:sz w:val="20"/>
          <w:szCs w:val="20"/>
          <w:color w:val="auto"/>
        </w:rPr>
        <w:tab/>
      </w:r>
      <w:r>
        <w:rPr>
          <w:rFonts w:ascii="Times New Roman" w:cs="Times New Roman" w:eastAsia="Times New Roman" w:hAnsi="Times New Roman"/>
          <w:sz w:val="16"/>
          <w:szCs w:val="16"/>
          <w:color w:val="32406B"/>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89</w:t>
      </w:r>
    </w:p>
    <w:p>
      <w:pPr>
        <w:sectPr>
          <w:pgSz w:w="11900" w:h="16838" w:orient="portrait"/>
          <w:cols w:equalWidth="0" w:num="1">
            <w:col w:w="11220"/>
          </w:cols>
          <w:pgMar w:left="320" w:top="455" w:right="3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Critical Accounting Estimates and Judgments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prospectus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Share-Based Payments</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We adopted an equity-settled share-based compensation plan in 2016, pursuant to which certain participants are granted the right to acquire common shares or RSUs of the Company. The grants made under this plan are accounted for in accordance with the policy as stated in Note 2.14 to our consolidated financial statements included elsewhere in this prospectus. The total amount to be expensed is determined by reference to the fair value of the options or RSUs granted.</w:t>
      </w:r>
    </w:p>
    <w:p>
      <w:pPr>
        <w:spacing w:after="0" w:line="180"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32406B"/>
        </w:rPr>
        <w:t>Due to the lack of quoted market prices, we have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176" w:lineRule="exact"/>
        <w:rPr>
          <w:sz w:val="20"/>
          <w:szCs w:val="20"/>
          <w:color w:val="auto"/>
        </w:rPr>
      </w:pPr>
    </w:p>
    <w:p>
      <w:pPr>
        <w:jc w:val="both"/>
        <w:ind w:right="220" w:firstLine="449"/>
        <w:spacing w:after="0" w:line="282" w:lineRule="auto"/>
        <w:rPr>
          <w:sz w:val="20"/>
          <w:szCs w:val="20"/>
          <w:color w:val="auto"/>
        </w:rPr>
      </w:pPr>
      <w:r>
        <w:rPr>
          <w:rFonts w:ascii="Times New Roman" w:cs="Times New Roman" w:eastAsia="Times New Roman" w:hAnsi="Times New Roman"/>
          <w:sz w:val="18"/>
          <w:szCs w:val="18"/>
          <w:color w:val="32406B"/>
        </w:rPr>
        <w:t>We consider numerous objective and subjective factors to determine the best estimate of the fair value of the ordinary shares as of each grant date, including:</w:t>
      </w:r>
    </w:p>
    <w:p>
      <w:pPr>
        <w:spacing w:after="0" w:line="67" w:lineRule="exact"/>
        <w:rPr>
          <w:sz w:val="20"/>
          <w:szCs w:val="20"/>
          <w:color w:val="auto"/>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of the research and development programs;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contemporaneous third-party valuations of the ordinary shares;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rights and preferences of the preferred shares and the preferred shares relative to the ordinary shares;</w:t>
      </w:r>
    </w:p>
    <w:p>
      <w:pPr>
        <w:spacing w:after="0" w:line="130" w:lineRule="exact"/>
        <w:rPr>
          <w:rFonts w:ascii="Times New Roman" w:cs="Times New Roman" w:eastAsia="Times New Roman" w:hAnsi="Times New Roman"/>
          <w:sz w:val="18"/>
          <w:szCs w:val="18"/>
          <w:color w:val="32406B"/>
        </w:rPr>
      </w:pPr>
    </w:p>
    <w:p>
      <w:pPr>
        <w:ind w:left="1000" w:right="460" w:hanging="547"/>
        <w:spacing w:after="0" w:line="282" w:lineRule="auto"/>
        <w:tabs>
          <w:tab w:leader="none" w:pos="1000" w:val="left"/>
        </w:tabs>
        <w:numPr>
          <w:ilvl w:val="0"/>
          <w:numId w:val="5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likelihood of achieving a discrete liquidity event, such as a sale of the company or an initial public offering given prevailing market conditions;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5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external market and economic conditions impacting the industry sector.</w:t>
      </w:r>
    </w:p>
    <w:p>
      <w:pPr>
        <w:spacing w:after="0" w:line="22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The fair value of an option or an RSU was measured based on the estimated fair value of an ordinary shares at grant date. An external valuation expert has estimated the fair value of the Company’s ordinary shares as of the grant dates based on the pricing of the most recent financing round of the Company at the time. As we are a private company and the equity instruments are not marketable, an Option Pricing Model with estimated probabilities of two different exit scenarios (IPO and trade sale) was applied to back-solve the Company’s total equity value such that the value per Series A preferred share, Series B preferred share and Series C preferred share is equal to the investment price per share paid in the investment round.</w:t>
      </w:r>
    </w:p>
    <w:p>
      <w:pPr>
        <w:spacing w:after="0" w:line="183"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This estimated total equity value has been used as input to the Option Pricing Model when determining the fair value of the Company’s ordinary shares at the measurement dates of March 31, 2016, December 13, 2018, January 1, 2020, February 3, 2020, July 13, 2020 and September 30, 2020. The Option Pricing Model uses the Black-Scholes Option-Pricing Model to determine the fair value of the Company’s different share classes based upon the Company’s total equity value.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90</w:t>
      </w:r>
    </w:p>
    <w:p>
      <w:pPr>
        <w:sectPr>
          <w:pgSz w:w="11900" w:h="16838" w:orient="portrait"/>
          <w:cols w:equalWidth="0" w:num="1">
            <w:col w:w="11200"/>
          </w:cols>
          <w:pgMar w:left="320" w:top="455" w:right="3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The inputs used in the measurement of the fair value per ordinary share at each grant/measurement date based upon the total equity value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September 30, 2020</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July 13, 2020</w:t>
            </w: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February 3, 2020</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January 1, 2020</w:t>
            </w:r>
          </w:p>
        </w:tc>
        <w:tc>
          <w:tcPr>
            <w:tcW w:w="200" w:type="dxa"/>
            <w:vAlign w:val="bottom"/>
          </w:tcPr>
          <w:p>
            <w:pPr>
              <w:spacing w:after="0"/>
              <w:rPr>
                <w:sz w:val="15"/>
                <w:szCs w:val="15"/>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December 13, 2018</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March 31, 2016</w:t>
            </w:r>
          </w:p>
        </w:tc>
      </w:tr>
      <w:tr>
        <w:trPr>
          <w:trHeight w:val="209"/>
        </w:trPr>
        <w:tc>
          <w:tcPr>
            <w:tcW w:w="1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Number of options</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88,000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44,000</w:t>
            </w: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308,000</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600,000</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25,295</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392,850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32406B"/>
              </w:rPr>
              <w:t>Fair value of the options</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6.08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4.74</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1.66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1.67</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1.39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1.24</w:t>
            </w:r>
          </w:p>
        </w:tc>
      </w:tr>
      <w:tr>
        <w:trPr>
          <w:trHeight w:val="198"/>
        </w:trPr>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32406B"/>
              </w:rPr>
              <w:t>Fair value of the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32406B"/>
              </w:rPr>
              <w:t>ordinary shares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7.25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5.82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2.38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2.38</w:t>
            </w:r>
          </w:p>
        </w:tc>
        <w:tc>
          <w:tcPr>
            <w:tcW w:w="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32406B"/>
              </w:rPr>
              <w:t>1.39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1.24</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32406B"/>
              </w:rPr>
              <w:t>Exercise price</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2.38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2.38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2.38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2.38</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32406B"/>
              </w:rPr>
              <w:t>€</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0.01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0.01</w:t>
            </w:r>
          </w:p>
        </w:tc>
      </w:tr>
      <w:tr>
        <w:trPr>
          <w:trHeight w:val="21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Expected volatility (%)</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85%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85%</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80%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90%</w:t>
            </w: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32406B"/>
              </w:rPr>
              <w:t>Expected life (years)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6.0</w:t>
            </w:r>
          </w:p>
        </w:tc>
        <w:tc>
          <w:tcPr>
            <w:tcW w:w="2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6.0</w:t>
            </w:r>
          </w:p>
        </w:tc>
        <w:tc>
          <w:tcPr>
            <w:tcW w:w="2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6.1</w:t>
            </w:r>
          </w:p>
        </w:tc>
        <w:tc>
          <w:tcPr>
            <w:tcW w:w="2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6.1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0.5</w:t>
            </w: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3.25</w:t>
            </w:r>
          </w:p>
        </w:tc>
      </w:tr>
      <w:tr>
        <w:trPr>
          <w:trHeight w:val="198"/>
        </w:trPr>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32406B"/>
              </w:rPr>
              <w:t>Risk-free interest rate</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32406B"/>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-0.6%</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-0.6%</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-0.6%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-0.4%</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32406B"/>
              </w:rPr>
              <w:t>-0.8%</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-0.5%</w:t>
            </w:r>
          </w:p>
        </w:tc>
      </w:tr>
      <w:tr>
        <w:trPr>
          <w:trHeight w:val="234"/>
        </w:trPr>
        <w:tc>
          <w:tcPr>
            <w:tcW w:w="1960" w:type="dxa"/>
            <w:vAlign w:val="bottom"/>
          </w:tcPr>
          <w:p>
            <w:pPr>
              <w:spacing w:after="0"/>
              <w:rPr>
                <w:sz w:val="20"/>
                <w:szCs w:val="20"/>
                <w:color w:val="auto"/>
              </w:rPr>
            </w:pPr>
            <w:r>
              <w:rPr>
                <w:rFonts w:ascii="Times New Roman" w:cs="Times New Roman" w:eastAsia="Times New Roman" w:hAnsi="Times New Roman"/>
                <w:sz w:val="18"/>
                <w:szCs w:val="18"/>
                <w:color w:val="32406B"/>
              </w:rPr>
              <w:t>Expected dividend yield</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2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2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r>
    </w:tbl>
    <w:p>
      <w:pPr>
        <w:spacing w:after="0" w:line="17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Expected volatility was based on an evaluation of the historical volatilities of comparable listed biotech-companies over the most recent historical period that is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Group.</w:t>
      </w:r>
    </w:p>
    <w:p>
      <w:pPr>
        <w:spacing w:after="0" w:line="180"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On March 31, 2016, we granted 392,850 stock options to a consultant, with an exercise price of €0.01. The estimated fair value of the stock options at grant date was €1.24. On December 13, 2018, a total of 25,295 restricted stock units were granted to a consultant. The purchase price, as required under Dutch law, was €0.01 and the estimated fair value at the grant date was €1.39. On January 1, 2020, we granted a total of 600,000 stock options to certain members of our Senior Management, with an exercise price of €2.38. On February 3, 2020, we granted 440,000 stock options to a member of our Senior Management, with an exercise price of €2.38. 132,000 of the options in this grant have, in addition to the service condition, a performance condition. On July 13, 2020, the performance goals for 2020 were determined and the fair value of the related options was reassessed for the options subject to the performance goals for 2020. The fair value of the options related to the performance periods 2021 and 2022 was reassessed on September 30, 2020.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Research and Development Expenditures</w:t>
      </w:r>
    </w:p>
    <w:p>
      <w:pPr>
        <w:spacing w:after="0" w:line="121"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color w:val="32406B"/>
        </w:rPr>
        <w:t>Research and development expenses are currently not capitalized but are expensed because the criteria for capitalization are not met, see Note 2.15 and Note 4 to our consolidated financial statements included elsewhere in this prospectus.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Internal Control over Financial Reporting</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Our management is responsible for establishing and maintaining adequate internal control over financial reporting. Internal control over financial reporting is a process designed to provide reasonable assurance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91</w:t>
      </w:r>
    </w:p>
    <w:p>
      <w:pPr>
        <w:sectPr>
          <w:pgSz w:w="11900" w:h="16838" w:orient="portrait"/>
          <w:cols w:equalWidth="0" w:num="1">
            <w:col w:w="11240"/>
          </w:cols>
          <w:pgMar w:left="32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32406B"/>
        </w:rPr>
        <w:t>regarding the reliability of financial reporting and the preparation of financial statements in accordance with IFRS. As a result of becoming a public company, we will be required, pursuant to Section 404 of the Sarbanes-Oxley Act to furnish a report by our management on, among other things, the effectiveness of our internal control over financial reporting in our second annual report after the effectiveness of the registration statement of which this prospectus forms a part. This assessment will need to include disclosures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18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In connection with the preparation of our financial statements as of and for the years ended December 31, 2018 and 2019, and as of and for the nine months ended September 30, 2020, we identified material weaknesses in the design of our internal control over financial reporting across the principles for each component of the COSO framework at the entity level (</w:t>
      </w:r>
      <w:r>
        <w:rPr>
          <w:rFonts w:ascii="Times New Roman" w:cs="Times New Roman" w:eastAsia="Times New Roman" w:hAnsi="Times New Roman"/>
          <w:sz w:val="18"/>
          <w:szCs w:val="18"/>
          <w:i w:val="1"/>
          <w:iCs w:val="1"/>
          <w:color w:val="32406B"/>
        </w:rPr>
        <w:t>i</w:t>
      </w:r>
      <w:r>
        <w:rPr>
          <w:rFonts w:ascii="Times New Roman" w:cs="Times New Roman" w:eastAsia="Times New Roman" w:hAnsi="Times New Roman"/>
          <w:sz w:val="18"/>
          <w:szCs w:val="18"/>
          <w:color w:val="32406B"/>
        </w:rPr>
        <w:t>.</w:t>
      </w:r>
      <w:r>
        <w:rPr>
          <w:rFonts w:ascii="Times New Roman" w:cs="Times New Roman" w:eastAsia="Times New Roman" w:hAnsi="Times New Roman"/>
          <w:sz w:val="18"/>
          <w:szCs w:val="18"/>
          <w:i w:val="1"/>
          <w:iCs w:val="1"/>
          <w:color w:val="32406B"/>
        </w:rPr>
        <w:t>e</w:t>
      </w:r>
      <w:r>
        <w:rPr>
          <w:rFonts w:ascii="Times New Roman" w:cs="Times New Roman" w:eastAsia="Times New Roman" w:hAnsi="Times New Roman"/>
          <w:sz w:val="18"/>
          <w:szCs w:val="18"/>
          <w:color w:val="32406B"/>
        </w:rPr>
        <w:t>. control environment, risk assessment, monitoring, information &amp; communication and control activities) and accordingly, across our business and IT processes. The material weaknesses that we identified related to:</w:t>
      </w:r>
    </w:p>
    <w:p>
      <w:pPr>
        <w:spacing w:after="0" w:line="85" w:lineRule="exact"/>
        <w:rPr>
          <w:sz w:val="20"/>
          <w:szCs w:val="20"/>
          <w:color w:val="auto"/>
        </w:rPr>
      </w:pPr>
    </w:p>
    <w:p>
      <w:pPr>
        <w:jc w:val="both"/>
        <w:ind w:left="1000" w:right="300" w:hanging="547"/>
        <w:spacing w:after="0" w:line="266" w:lineRule="auto"/>
        <w:tabs>
          <w:tab w:leader="none" w:pos="1000" w:val="left"/>
        </w:tabs>
        <w:numPr>
          <w:ilvl w:val="0"/>
          <w:numId w:val="5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81" w:lineRule="exact"/>
        <w:rPr>
          <w:rFonts w:ascii="Times New Roman" w:cs="Times New Roman" w:eastAsia="Times New Roman" w:hAnsi="Times New Roman"/>
          <w:sz w:val="18"/>
          <w:szCs w:val="18"/>
          <w:color w:val="32406B"/>
        </w:rPr>
      </w:pPr>
    </w:p>
    <w:p>
      <w:pPr>
        <w:ind w:left="1000" w:hanging="547"/>
        <w:spacing w:after="0" w:line="258" w:lineRule="auto"/>
        <w:tabs>
          <w:tab w:leader="none" w:pos="1000" w:val="left"/>
        </w:tabs>
        <w:numPr>
          <w:ilvl w:val="0"/>
          <w:numId w:val="5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failure to maintain a sufficient complement of personnel commensurate with our accounting and reporting requirements as we continue to grow as a company, and ability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and (iii) design and maintain controls over the preparation and review of journal entries and financial statements, including maintaining appropriate segregation of duties.</w:t>
      </w:r>
    </w:p>
    <w:p>
      <w:pPr>
        <w:spacing w:after="0" w:line="183"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32406B"/>
        </w:rPr>
        <w:t>Although several oversight and control activities are performed, not all activities are formalized and documented properly. In addition, where control activities are dependent on information used in a control, we do not perform or document controls to determine the completeness and accuracy of such information</w:t>
      </w:r>
      <w:r>
        <w:rPr>
          <w:rFonts w:ascii="Times New Roman" w:cs="Times New Roman" w:eastAsia="Times New Roman" w:hAnsi="Times New Roman"/>
          <w:sz w:val="18"/>
          <w:szCs w:val="18"/>
          <w:i w:val="1"/>
          <w:iCs w:val="1"/>
          <w:color w:val="32406B"/>
        </w:rPr>
        <w:t>.</w:t>
      </w:r>
      <w:r>
        <w:rPr>
          <w:rFonts w:ascii="Times New Roman" w:cs="Times New Roman" w:eastAsia="Times New Roman" w:hAnsi="Times New Roman"/>
          <w:sz w:val="18"/>
          <w:szCs w:val="18"/>
          <w:color w:val="32406B"/>
        </w:rPr>
        <w:t xml:space="preserve"> We also did not have controls in place to monitor control activities and identify control deficiencies.</w:t>
      </w:r>
    </w:p>
    <w:p>
      <w:pPr>
        <w:spacing w:after="0" w:line="176" w:lineRule="exact"/>
        <w:rPr>
          <w:sz w:val="20"/>
          <w:szCs w:val="20"/>
          <w:color w:val="auto"/>
        </w:rPr>
      </w:pPr>
    </w:p>
    <w:p>
      <w:pPr>
        <w:ind w:right="160" w:firstLine="449"/>
        <w:spacing w:after="0" w:line="258" w:lineRule="auto"/>
        <w:rPr>
          <w:sz w:val="20"/>
          <w:szCs w:val="20"/>
          <w:color w:val="auto"/>
        </w:rPr>
      </w:pPr>
      <w:r>
        <w:rPr>
          <w:rFonts w:ascii="Times New Roman" w:cs="Times New Roman" w:eastAsia="Times New Roman" w:hAnsi="Times New Roman"/>
          <w:sz w:val="18"/>
          <w:szCs w:val="18"/>
          <w:color w:val="32406B"/>
        </w:rPr>
        <w:t>To address these material weaknesses, we will need to add personnel and continue to develop and implement new financial processes. We intend to take steps to remediate the material weaknesses described above through hiring additional qualified accounting and financial reporting personnel, and further evolving our accounting processes and policies. We will not be able to fully remediate these material weaknesses until these steps have been completed and have been operating effectively for a sufficient period of time. We cannot assure you that we will be able to successfully remediate these material weaknesses or that other material weakness will not be discovered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JOBS Act</w:t>
      </w:r>
    </w:p>
    <w:p>
      <w:pPr>
        <w:spacing w:after="0" w:line="121"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32406B"/>
        </w:rPr>
        <w:t>In April 2012, the U.S. Jumpstart Our Business Startups Act of 2012, or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92</w:t>
      </w:r>
    </w:p>
    <w:p>
      <w:pPr>
        <w:sectPr>
          <w:pgSz w:w="11900" w:h="16838" w:orient="portrait"/>
          <w:cols w:equalWidth="0" w:num="1">
            <w:col w:w="11220"/>
          </w:cols>
          <w:pgMar w:left="320" w:top="455" w:right="3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We intend to rely on other exemptions and reduced reporting requirements under the JOBS Act. 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would cease to be an emerging growth company upon the earliest to occur of (i) the last day of the fiscal year in which we have more than $1.07 billion in annual gross revenues; (ii) the date we qualify as a “large accelerated filer,” with at least $700.0 million of equity securities held by non-affiliates; (iii) the issuance, in any three-year period, by our Company of more than $1.0 billion in nonconvertible debt securities held by non-affiliates; and (iv) the last day of the fiscal year ending after the fifth anniversary of the global offering. We have taken advantage of reduced reporting requirements in this prospectus. Accordingly, the information contained herein may be different than the information you receive from other public companies in which you hold equity securities.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93</w:t>
      </w:r>
    </w:p>
    <w:p>
      <w:pPr>
        <w:sectPr>
          <w:pgSz w:w="11900" w:h="16838" w:orient="portrait"/>
          <w:cols w:equalWidth="0" w:num="1">
            <w:col w:w="11200"/>
          </w:cols>
          <w:pgMar w:left="320" w:top="455" w:right="3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Overview</w:t>
      </w:r>
    </w:p>
    <w:p>
      <w:pPr>
        <w:spacing w:after="0" w:line="121" w:lineRule="exact"/>
        <w:rPr>
          <w:sz w:val="20"/>
          <w:szCs w:val="20"/>
          <w:color w:val="auto"/>
        </w:rPr>
      </w:pPr>
    </w:p>
    <w:p>
      <w:pPr>
        <w:ind w:right="20" w:firstLine="449"/>
        <w:spacing w:after="0" w:line="268" w:lineRule="auto"/>
        <w:rPr>
          <w:sz w:val="20"/>
          <w:szCs w:val="20"/>
          <w:color w:val="auto"/>
        </w:rPr>
      </w:pPr>
      <w:r>
        <w:rPr>
          <w:rFonts w:ascii="Times New Roman" w:cs="Times New Roman" w:eastAsia="Times New Roman" w:hAnsi="Times New Roman"/>
          <w:sz w:val="17"/>
          <w:szCs w:val="17"/>
          <w:color w:val="32406B"/>
        </w:rPr>
        <w:t>We are a clinical-stage biopharmaceutical company focused on the development and commercialization of innovative therapies for rare diseases with significant unmet need, initially focused on angioedema and other bradykinin-mediated diseases. Our first molecule, PHA121, is a novel, small-molecule bradykinin B2-receptor antagonist for the treatment of hereditary angioedema, or HAE. Bradykinin-B2-receptor inhibition is a clinically validated mechanism for the treatment of HAE, as demonstrated by icatibant, which is a bradykinin B2-receptor antagonist approved in Europe in 2008 and in the United States in 2011 (as FIRAZYR). We designed PHA121 to improve upon the therapeutic profile of existing therapies and, through oral delivery, to provide patients with quality of life and convenience that is superior to current standard-of-care HAE treatments, which are injectables. We believe PHA121 has the potential to provide a safe, effective and convenient option for both acute and prophylactic treatments of HAE, in the form of our PHVS416 on-demand rapid exposure product candidate, and for prophylaxis of HAE, in the form of our PHVS719 small daily dose extended-release product candidate. We believe that our product candidates may address a broader range of angioedema attacks than other available treatments since PHA121 blocks the actual signal that leads to angioedema (the interaction of bradykinin, or BK, with the bradykinin B2 receptor), rather than an upstream signal. By blocking the action of bradykinin, we can prevent its aberrant signaling regardless of the pathway that generates it. In our Phase 1 completed trials to-date, we have observed that PHA121 was orally bioavailable and well tolerated at all doses studied, with approximately dose-proportional exposure. We also have successfully demonstrated proof-of-mechanism through a clinical pharmacodynamics, or PD, assessment with the bradykinin challenge, which had been utilized as a validated surrogate assessment for dose selection in the icatibant development program. The data also allowed us to compare the projected therapeutic performance of PHA121 with that of icatibant, but we do not yet have data from the PHA121 Phase 2 study. We plan to efficiently progress PHA121 through clinical development for on-demand and prophylactic use with our on-demand product candidate, PHVS416, and extended release product candidate, PHVS719, respectively. We anticipate commencing our RAPIDe-1 Phase 2 clinical trial of PHVS416 in 2021 and have Phase 2 data for the acute treatment of patients with HAE attacks in 2022. We are also planning to commence a Phase 2 clinical trial for prophylaxis in</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406B"/>
        </w:rPr>
        <w:t>2021 using twice-daily dosing of the PHVS416 soft capsules. Our primary objective with this trial is to assess the safety profile of PHVS416 dose regimens for prophylactic treatments in HAE patients. We also expect to conduct a bridging study between our formulation of PHVS719 and PHVS416 in a Phase 1 clinical trial starting in 2021.</w:t>
      </w:r>
    </w:p>
    <w:p>
      <w:pPr>
        <w:spacing w:after="0" w:line="18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 xml:space="preserve">PHA121 is a novel, highly potent inhibitor and selective small molecule bradykinin B2-receptor antagonist and, to our knowledge, the only orally available bradykinin B2-receptor antagonist currently in development. PHA121 has been observed to be a potent inhibitor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as assessed using human recombinant bradykinin B2 receptors (150 pM); </w:t>
      </w:r>
      <w:r>
        <w:rPr>
          <w:rFonts w:ascii="Times New Roman" w:cs="Times New Roman" w:eastAsia="Times New Roman" w:hAnsi="Times New Roman"/>
          <w:sz w:val="18"/>
          <w:szCs w:val="18"/>
          <w:i w:val="1"/>
          <w:iCs w:val="1"/>
          <w:color w:val="32406B"/>
        </w:rPr>
        <w:t>ex vivo</w:t>
      </w:r>
      <w:r>
        <w:rPr>
          <w:rFonts w:ascii="Times New Roman" w:cs="Times New Roman" w:eastAsia="Times New Roman" w:hAnsi="Times New Roman"/>
          <w:sz w:val="18"/>
          <w:szCs w:val="18"/>
          <w:color w:val="32406B"/>
        </w:rPr>
        <w:t xml:space="preserve"> as studied against endogenous bradykinin B2 receptors in a human umbilical vein model (350 pM);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in the human bradykinin-challenge model (170 pM). Potency as used in this prospectus refers to the amount of drug required to produce a pharmacological effect of given intensity and is not a measure of therapeutic efficacy. We do not yet have data from the PHA121 Phase 2 clinical trial to evaluate the potential therapeutic efficacy of PHA121 in HAE patients. PHA121 demonstrated 5000-fold selectivity for the bradykinin B2 receptor when compared to approximately 170 other molecular targets, including the bradykinin B1 receptor. We designed PHA121 as a new chemotype with properties compatible with oral delivery. We are developing PHA121 for the on-demand setting as PHVS416, which is delivered in a soft capsule designed to rapidly treat symptoms with a single dose. We are also developing PHA121 for the prophylactic setting as PHVS719, which is a small daily dose tablet with an extended release formulation designed for the patient to achieve a steady-state plasma concentration within 72 hours.</w:t>
      </w:r>
    </w:p>
    <w:p>
      <w:pPr>
        <w:spacing w:after="0" w:line="1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 xml:space="preserve">In our Phase 1 clinical trials to-date, we have observed rapid exposure and predictable linear pharmacokinetics, or PK, with and without food. In addition, we observed PHA121 to be a potent antagonist of the bradykinin B2 receptor,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with healthy volunteers. In our models based on PK data from our Phase 1 clinical trial of PHA121 and published data for icatibant, both in the BK challenge assessment, PHA121 was shown to be consistently 25-fold more potent at inhibiting the effects of administered bradykinin than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94</w:t>
      </w:r>
    </w:p>
    <w:p>
      <w:pPr>
        <w:sectPr>
          <w:pgSz w:w="11900" w:h="16838" w:orient="portrait"/>
          <w:cols w:equalWidth="0" w:num="1">
            <w:col w:w="11220"/>
          </w:cols>
          <w:pgMar w:left="320" w:top="455" w:right="3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32406B"/>
        </w:rPr>
        <w:t>icatibant on a molar basis.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3" w:lineRule="exact"/>
        <w:rPr>
          <w:sz w:val="20"/>
          <w:szCs w:val="20"/>
          <w:color w:val="auto"/>
        </w:rPr>
      </w:pPr>
    </w:p>
    <w:p>
      <w:pPr>
        <w:ind w:firstLine="449"/>
        <w:spacing w:after="0" w:line="274" w:lineRule="auto"/>
        <w:rPr>
          <w:sz w:val="20"/>
          <w:szCs w:val="20"/>
          <w:color w:val="auto"/>
        </w:rPr>
      </w:pPr>
      <w:r>
        <w:rPr>
          <w:rFonts w:ascii="Times New Roman" w:cs="Times New Roman" w:eastAsia="Times New Roman" w:hAnsi="Times New Roman"/>
          <w:sz w:val="17"/>
          <w:szCs w:val="17"/>
          <w:color w:val="32406B"/>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1:50,000 to 1:10,000 individuals globally, or at least 6,600 patients in the U.S. and at least 8,900 patients in the EU.</w:t>
      </w:r>
    </w:p>
    <w:p>
      <w:pPr>
        <w:spacing w:after="0" w:line="173"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Global sales of treatments for HAE achieved approximately $2 billion in 2018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all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We believe HAE patients are in need of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188"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32406B"/>
        </w:rPr>
        <w:t>Based on results observed from our three completed and one ongoing clinical trials to-date, we believe our product candidates that contain PHA121 will demonstrate advantages and differentiation relative to currently approved HAE therapies and other oral therapies in clinical development. Namely, PHA121’s bradykinin- B2-receptor-inhibition mechanism has a well-established clinical therapeutic profile in a currently approved product in the rapid treatment of acute HAE attacks. We have observed greater potency for PHA121 compared to icatibant in our early clinical trials, potentially resulting in both a smaller therapeutic dose and a longer duration of effect. We evaluated the PD and PK of PHA121 in a bradykinin-challenge model in healthy subjects.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We conducted a proof-of-concept clinical trial testing the effects of BK in healthy volunteers in our bradykinin-challenge trial, where we evaluated the effect of PHA121 on cardiovascular parameters affected by bradykinin such as blood pressure, heart rate and cardiac output in healthy volunteers. We observed that PHA121 was more potent in blocking the effects of BK in humans than icatibant, when comparing the PHA121 results of the trial to published data on icatibant. The data from this trial allowed us to generate a PK/PD correlation model. Based on this model and published data on icatibant, we predict the duration of effect for a single oral dose of 12 mg PHA121 will exceed that of 30 mg of icatibant and a single oral dose of 22 mg PHA121 will cover the same duration of effect as two icatibant injections of 30 mg administered six hours apart. Furthermore, analysis based on the results from this trial suggest that therapeutic doses of PHA121 may be at least 20 times smaller than the doses required for oral kallikrein inhibitors in development. In addition, we believe that the observed PK profile of our compound demonstrates the potential of PHVS719 as a</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95</w:t>
      </w:r>
    </w:p>
    <w:p>
      <w:pPr>
        <w:sectPr>
          <w:pgSz w:w="11900" w:h="16838" w:orient="portrait"/>
          <w:cols w:equalWidth="0" w:num="1">
            <w:col w:w="11220"/>
          </w:cols>
          <w:pgMar w:left="320" w:top="455" w:right="3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2406B"/>
        </w:rPr>
        <w:t>prophylactic treatment of HAE by achieving steady-state plasma concentrations within 72 hours. The BK-challenge data was generated in a Phase 1 clinical trial, and we do not yet have data from the PHA121 Phase 2 clinical trial to evaluate the potential efficacy of PHA121 in HAE patients. We have not conducted a head-to-head comparison of icatibant to PHA121 in a clinical trial but have compared the published data for icatibant to data from our Phase 1 clinical trial of PHA121. Potency as used in this prospectus refers to the amount of drug required to produce a pharmacological effect of given intensity and is not a measure of therapeutic efficacy.</w:t>
      </w:r>
    </w:p>
    <w:p>
      <w:pPr>
        <w:spacing w:after="0" w:line="183"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We are planning a Phase 2 clinical trial, RAPIDe-1, that will evaluate angioedema symptom relief within four hours of different doses of PHVS416 or placebo while treating acute attacks of patients. We anticipate having Phase 2 data from RAPIDe-1 in 2022. Additional trials may be required by the FDA, EMA or other regulators even if we receive positive data from RAPIDe-1. We are also planning to subsequently conduct a pivotal trial in the on-demand setting.</w:t>
      </w:r>
    </w:p>
    <w:p>
      <w:pPr>
        <w:spacing w:after="0" w:line="180"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32406B"/>
        </w:rPr>
        <w:t>We are similarly planning two clinical trials in the prophylactic setting. In the first, subjects will be randomized to receive PHVS416 or placebo for three months. The primary objective is to assess the safety profile in HAE patients. For the second, we are planning a registration-directed trial with patients who will be randomized to receive PHVS719 or placebo to assess safety and efficacy in HAE patients. In addition, we also plan to run an open-label extension study in the prophylactic setting with both rollover and non-rollover subjects to collect longer duration safety data.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Differentiation of PHA121</w:t>
      </w:r>
    </w:p>
    <w:p>
      <w:pPr>
        <w:spacing w:after="0" w:line="121" w:lineRule="exact"/>
        <w:rPr>
          <w:sz w:val="20"/>
          <w:szCs w:val="20"/>
          <w:color w:val="auto"/>
        </w:rPr>
      </w:pPr>
    </w:p>
    <w:p>
      <w:pPr>
        <w:ind w:right="680" w:firstLine="449"/>
        <w:spacing w:after="0" w:line="282" w:lineRule="auto"/>
        <w:rPr>
          <w:sz w:val="20"/>
          <w:szCs w:val="20"/>
          <w:color w:val="auto"/>
        </w:rPr>
      </w:pPr>
      <w:r>
        <w:rPr>
          <w:rFonts w:ascii="Times New Roman" w:cs="Times New Roman" w:eastAsia="Times New Roman" w:hAnsi="Times New Roman"/>
          <w:sz w:val="18"/>
          <w:szCs w:val="18"/>
          <w:color w:val="32406B"/>
        </w:rPr>
        <w:t>We believe that PHA121, as the molecule underlying both PHVS416 and PHVS719, has the potential to be highly differentiated for both the on-demand and prophylactic settings with the key benefits below:</w:t>
      </w:r>
    </w:p>
    <w:p>
      <w:pPr>
        <w:spacing w:after="0" w:line="160"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PHVS416</w:t>
      </w:r>
      <w:r>
        <w:rPr>
          <w:rFonts w:ascii="Times New Roman" w:cs="Times New Roman" w:eastAsia="Times New Roman" w:hAnsi="Times New Roman"/>
          <w:sz w:val="18"/>
          <w:szCs w:val="18"/>
          <w:color w:val="32406B"/>
        </w:rPr>
        <w:t>. We believe that PHVS416, an on-demand, rapid exposure soft capsule, has potential to be highly differentiated for patients suffering from</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acute HAE attacks with the following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80" w:type="dxa"/>
            <w:vAlign w:val="bottom"/>
            <w:tcBorders>
              <w:top w:val="single" w:sz="8" w:color="32406B"/>
            </w:tcBorders>
          </w:tcPr>
          <w:p>
            <w:pPr>
              <w:spacing w:after="0"/>
              <w:rPr>
                <w:sz w:val="21"/>
                <w:szCs w:val="21"/>
                <w:color w:val="auto"/>
              </w:rPr>
            </w:pPr>
          </w:p>
        </w:tc>
        <w:tc>
          <w:tcPr>
            <w:tcW w:w="980" w:type="dxa"/>
            <w:vAlign w:val="bottom"/>
            <w:tcBorders>
              <w:top w:val="single" w:sz="8" w:color="32406B"/>
            </w:tcBorders>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Borders>
              <w:top w:val="single" w:sz="8" w:color="32406B"/>
            </w:tcBorders>
          </w:tcPr>
          <w:p>
            <w:pPr>
              <w:ind w:left="140"/>
              <w:spacing w:after="0"/>
              <w:rPr>
                <w:sz w:val="20"/>
                <w:szCs w:val="20"/>
                <w:color w:val="auto"/>
              </w:rPr>
            </w:pPr>
            <w:r>
              <w:rPr>
                <w:rFonts w:ascii="Times New Roman" w:cs="Times New Roman" w:eastAsia="Times New Roman" w:hAnsi="Times New Roman"/>
                <w:sz w:val="18"/>
                <w:szCs w:val="18"/>
                <w:color w:val="32406B"/>
              </w:rPr>
              <w:t>Clinically validated mechanism of bradykinin-B2-receptor antagonism</w:t>
            </w:r>
          </w:p>
        </w:tc>
        <w:tc>
          <w:tcPr>
            <w:tcW w:w="0" w:type="dxa"/>
            <w:vAlign w:val="bottom"/>
          </w:tcPr>
          <w:p>
            <w:pPr>
              <w:spacing w:after="0"/>
              <w:rPr>
                <w:sz w:val="1"/>
                <w:szCs w:val="1"/>
                <w:color w:val="auto"/>
              </w:rPr>
            </w:pPr>
          </w:p>
        </w:tc>
      </w:tr>
      <w:tr>
        <w:trPr>
          <w:trHeight w:val="319"/>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Complete Symptom Resolution</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32406B"/>
                <w:w w:val="99"/>
              </w:rPr>
              <w:t>Utilizing same surrogate assessment for dose selection as the development program for icatibant</w:t>
            </w:r>
          </w:p>
        </w:tc>
        <w:tc>
          <w:tcPr>
            <w:tcW w:w="0" w:type="dxa"/>
            <w:vAlign w:val="bottom"/>
          </w:tcPr>
          <w:p>
            <w:pPr>
              <w:spacing w:after="0"/>
              <w:rPr>
                <w:sz w:val="1"/>
                <w:szCs w:val="1"/>
                <w:color w:val="auto"/>
              </w:rPr>
            </w:pPr>
          </w:p>
        </w:tc>
      </w:tr>
      <w:tr>
        <w:trPr>
          <w:trHeight w:val="135"/>
        </w:trPr>
        <w:tc>
          <w:tcPr>
            <w:tcW w:w="3180" w:type="dxa"/>
            <w:vAlign w:val="bottom"/>
            <w:vMerge w:val="continue"/>
          </w:tcPr>
          <w:p>
            <w:pPr>
              <w:spacing w:after="0"/>
              <w:rPr>
                <w:sz w:val="11"/>
                <w:szCs w:val="11"/>
                <w:color w:val="auto"/>
              </w:rPr>
            </w:pP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32406B"/>
              </w:rPr>
              <w:t>More potent inhibitor than icatibant</w:t>
            </w:r>
          </w:p>
        </w:tc>
        <w:tc>
          <w:tcPr>
            <w:tcW w:w="0" w:type="dxa"/>
            <w:vAlign w:val="bottom"/>
          </w:tcPr>
          <w:p>
            <w:pPr>
              <w:spacing w:after="0"/>
              <w:rPr>
                <w:sz w:val="1"/>
                <w:szCs w:val="1"/>
                <w:color w:val="auto"/>
              </w:rPr>
            </w:pPr>
          </w:p>
        </w:tc>
      </w:tr>
      <w:tr>
        <w:trPr>
          <w:trHeight w:val="203"/>
        </w:trPr>
        <w:tc>
          <w:tcPr>
            <w:tcW w:w="31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7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3180" w:type="dxa"/>
            <w:vAlign w:val="bottom"/>
            <w:tcBorders>
              <w:bottom w:val="single" w:sz="8" w:color="32406B"/>
            </w:tcBorders>
          </w:tcPr>
          <w:p>
            <w:pPr>
              <w:spacing w:after="0"/>
              <w:rPr>
                <w:sz w:val="24"/>
                <w:szCs w:val="24"/>
                <w:color w:val="auto"/>
              </w:rPr>
            </w:pPr>
          </w:p>
        </w:tc>
        <w:tc>
          <w:tcPr>
            <w:tcW w:w="980" w:type="dxa"/>
            <w:vAlign w:val="bottom"/>
            <w:tcBorders>
              <w:bottom w:val="single" w:sz="8" w:color="32406B"/>
            </w:tcBorders>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Borders>
              <w:bottom w:val="single" w:sz="8" w:color="32406B"/>
            </w:tcBorders>
          </w:tcPr>
          <w:p>
            <w:pPr>
              <w:ind w:left="140"/>
              <w:spacing w:after="0"/>
              <w:rPr>
                <w:sz w:val="20"/>
                <w:szCs w:val="20"/>
                <w:color w:val="auto"/>
              </w:rPr>
            </w:pPr>
            <w:r>
              <w:rPr>
                <w:rFonts w:ascii="Times New Roman" w:cs="Times New Roman" w:eastAsia="Times New Roman" w:hAnsi="Times New Roman"/>
                <w:sz w:val="18"/>
                <w:szCs w:val="18"/>
                <w:color w:val="32406B"/>
              </w:rPr>
              <w:t>Longer half-life than icatibant</w:t>
            </w:r>
          </w:p>
        </w:tc>
        <w:tc>
          <w:tcPr>
            <w:tcW w:w="0" w:type="dxa"/>
            <w:vAlign w:val="bottom"/>
          </w:tcPr>
          <w:p>
            <w:pPr>
              <w:spacing w:after="0"/>
              <w:rPr>
                <w:sz w:val="1"/>
                <w:szCs w:val="1"/>
                <w:color w:val="auto"/>
              </w:rPr>
            </w:pPr>
          </w:p>
        </w:tc>
      </w:tr>
      <w:tr>
        <w:trPr>
          <w:trHeight w:val="292"/>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Rapid Onset of Activity</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Exposure exceeds the anticipated threshold therapeutic plasma level (EC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in 15 minutes, with</w:t>
            </w:r>
          </w:p>
        </w:tc>
        <w:tc>
          <w:tcPr>
            <w:tcW w:w="0" w:type="dxa"/>
            <w:vAlign w:val="bottom"/>
          </w:tcPr>
          <w:p>
            <w:pPr>
              <w:spacing w:after="0"/>
              <w:rPr>
                <w:sz w:val="1"/>
                <w:szCs w:val="1"/>
                <w:color w:val="auto"/>
              </w:rPr>
            </w:pPr>
          </w:p>
        </w:tc>
      </w:tr>
      <w:tr>
        <w:trPr>
          <w:trHeight w:val="126"/>
        </w:trPr>
        <w:tc>
          <w:tcPr>
            <w:tcW w:w="31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32406B"/>
              </w:rPr>
              <w:t>or without food</w:t>
            </w:r>
          </w:p>
        </w:tc>
        <w:tc>
          <w:tcPr>
            <w:tcW w:w="0" w:type="dxa"/>
            <w:vAlign w:val="bottom"/>
          </w:tcPr>
          <w:p>
            <w:pPr>
              <w:spacing w:after="0"/>
              <w:rPr>
                <w:sz w:val="1"/>
                <w:szCs w:val="1"/>
                <w:color w:val="auto"/>
              </w:rPr>
            </w:pPr>
          </w:p>
        </w:tc>
      </w:tr>
      <w:tr>
        <w:trPr>
          <w:trHeight w:val="108"/>
        </w:trPr>
        <w:tc>
          <w:tcPr>
            <w:tcW w:w="3180" w:type="dxa"/>
            <w:vAlign w:val="bottom"/>
            <w:tcBorders>
              <w:bottom w:val="single" w:sz="8" w:color="32406B"/>
            </w:tcBorders>
          </w:tcPr>
          <w:p>
            <w:pPr>
              <w:spacing w:after="0"/>
              <w:rPr>
                <w:sz w:val="9"/>
                <w:szCs w:val="9"/>
                <w:color w:val="auto"/>
              </w:rPr>
            </w:pPr>
          </w:p>
        </w:tc>
        <w:tc>
          <w:tcPr>
            <w:tcW w:w="980" w:type="dxa"/>
            <w:vAlign w:val="bottom"/>
            <w:tcBorders>
              <w:bottom w:val="single" w:sz="8" w:color="32406B"/>
            </w:tcBorders>
          </w:tcPr>
          <w:p>
            <w:pPr>
              <w:spacing w:after="0"/>
              <w:rPr>
                <w:sz w:val="9"/>
                <w:szCs w:val="9"/>
                <w:color w:val="auto"/>
              </w:rPr>
            </w:pPr>
          </w:p>
        </w:tc>
        <w:tc>
          <w:tcPr>
            <w:tcW w:w="7080" w:type="dxa"/>
            <w:vAlign w:val="bottom"/>
            <w:tcBorders>
              <w:bottom w:val="single" w:sz="8" w:color="32406B"/>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180" w:type="dxa"/>
            <w:vAlign w:val="bottom"/>
          </w:tcPr>
          <w:p>
            <w:pPr>
              <w:spacing w:after="0"/>
              <w:rPr>
                <w:sz w:val="24"/>
                <w:szCs w:val="24"/>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No injection needed</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Potential Reduced Treatment</w:t>
            </w: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Pr>
          <w:p>
            <w:pPr>
              <w:ind w:left="140"/>
              <w:spacing w:after="0"/>
              <w:rPr>
                <w:sz w:val="20"/>
                <w:szCs w:val="20"/>
                <w:color w:val="auto"/>
              </w:rPr>
            </w:pPr>
            <w:r>
              <w:rPr>
                <w:rFonts w:ascii="Times New Roman" w:cs="Times New Roman" w:eastAsia="Times New Roman" w:hAnsi="Times New Roman"/>
                <w:sz w:val="18"/>
                <w:szCs w:val="18"/>
                <w:color w:val="32406B"/>
              </w:rPr>
              <w:t>Convenient oral formulation enables early treatment of acute HAE attacks</w:t>
            </w:r>
          </w:p>
        </w:tc>
        <w:tc>
          <w:tcPr>
            <w:tcW w:w="0" w:type="dxa"/>
            <w:vAlign w:val="bottom"/>
          </w:tcPr>
          <w:p>
            <w:pPr>
              <w:spacing w:after="0"/>
              <w:rPr>
                <w:sz w:val="1"/>
                <w:szCs w:val="1"/>
                <w:color w:val="auto"/>
              </w:rPr>
            </w:pPr>
          </w:p>
        </w:tc>
      </w:tr>
      <w:tr>
        <w:trPr>
          <w:trHeight w:val="194"/>
        </w:trPr>
        <w:tc>
          <w:tcPr>
            <w:tcW w:w="31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32406B"/>
              </w:rPr>
              <w:t>Burden / Enhanced Patient</w:t>
            </w:r>
          </w:p>
        </w:tc>
        <w:tc>
          <w:tcPr>
            <w:tcW w:w="98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32406B"/>
              </w:rPr>
              <w:t>Capsule reduces treatment burden</w:t>
            </w:r>
          </w:p>
        </w:tc>
        <w:tc>
          <w:tcPr>
            <w:tcW w:w="0" w:type="dxa"/>
            <w:vAlign w:val="bottom"/>
          </w:tcPr>
          <w:p>
            <w:pPr>
              <w:spacing w:after="0"/>
              <w:rPr>
                <w:sz w:val="1"/>
                <w:szCs w:val="1"/>
                <w:color w:val="auto"/>
              </w:rPr>
            </w:pP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Convenience</w:t>
            </w:r>
          </w:p>
        </w:tc>
        <w:tc>
          <w:tcPr>
            <w:tcW w:w="980" w:type="dxa"/>
            <w:vAlign w:val="bottom"/>
            <w:vMerge w:val="continue"/>
          </w:tcPr>
          <w:p>
            <w:pPr>
              <w:spacing w:after="0"/>
              <w:rPr>
                <w:sz w:val="20"/>
                <w:szCs w:val="20"/>
                <w:color w:val="auto"/>
              </w:rPr>
            </w:pPr>
          </w:p>
        </w:tc>
        <w:tc>
          <w:tcPr>
            <w:tcW w:w="7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180" w:type="dxa"/>
            <w:vAlign w:val="bottom"/>
            <w:tcBorders>
              <w:bottom w:val="single" w:sz="8" w:color="32406B"/>
            </w:tcBorders>
          </w:tcPr>
          <w:p>
            <w:pPr>
              <w:spacing w:after="0"/>
              <w:rPr>
                <w:sz w:val="24"/>
                <w:szCs w:val="24"/>
                <w:color w:val="auto"/>
              </w:rPr>
            </w:pPr>
          </w:p>
        </w:tc>
        <w:tc>
          <w:tcPr>
            <w:tcW w:w="980" w:type="dxa"/>
            <w:vAlign w:val="bottom"/>
            <w:tcBorders>
              <w:bottom w:val="single" w:sz="8" w:color="32406B"/>
            </w:tcBorders>
          </w:tcPr>
          <w:p>
            <w:pPr>
              <w:ind w:left="780"/>
              <w:spacing w:after="0"/>
              <w:rPr>
                <w:sz w:val="20"/>
                <w:szCs w:val="20"/>
                <w:color w:val="auto"/>
              </w:rPr>
            </w:pPr>
            <w:r>
              <w:rPr>
                <w:rFonts w:ascii="Times New Roman" w:cs="Times New Roman" w:eastAsia="Times New Roman" w:hAnsi="Times New Roman"/>
                <w:sz w:val="18"/>
                <w:szCs w:val="18"/>
                <w:color w:val="32406B"/>
              </w:rPr>
              <w:t>•</w:t>
            </w:r>
          </w:p>
        </w:tc>
        <w:tc>
          <w:tcPr>
            <w:tcW w:w="7080" w:type="dxa"/>
            <w:vAlign w:val="bottom"/>
            <w:tcBorders>
              <w:bottom w:val="single" w:sz="8" w:color="32406B"/>
            </w:tcBorders>
          </w:tcPr>
          <w:p>
            <w:pPr>
              <w:ind w:left="140"/>
              <w:spacing w:after="0"/>
              <w:rPr>
                <w:sz w:val="20"/>
                <w:szCs w:val="20"/>
                <w:color w:val="auto"/>
              </w:rPr>
            </w:pPr>
            <w:r>
              <w:rPr>
                <w:rFonts w:ascii="Times New Roman" w:cs="Times New Roman" w:eastAsia="Times New Roman" w:hAnsi="Times New Roman"/>
                <w:sz w:val="18"/>
                <w:szCs w:val="18"/>
                <w:color w:val="32406B"/>
              </w:rPr>
              <w:t>Potential lowest dosage of any oral HAE on-demand treatment</w:t>
            </w:r>
          </w:p>
        </w:tc>
        <w:tc>
          <w:tcPr>
            <w:tcW w:w="0" w:type="dxa"/>
            <w:vAlign w:val="bottom"/>
          </w:tcPr>
          <w:p>
            <w:pPr>
              <w:spacing w:after="0"/>
              <w:rPr>
                <w:sz w:val="1"/>
                <w:szCs w:val="1"/>
                <w:color w:val="auto"/>
              </w:rPr>
            </w:pPr>
          </w:p>
        </w:tc>
      </w:tr>
      <w:tr>
        <w:trPr>
          <w:trHeight w:val="365"/>
        </w:trPr>
        <w:tc>
          <w:tcPr>
            <w:tcW w:w="3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80" w:type="dxa"/>
            <w:vAlign w:val="bottom"/>
          </w:tcPr>
          <w:p>
            <w:pPr>
              <w:ind w:left="1380"/>
              <w:spacing w:after="0"/>
              <w:rPr>
                <w:sz w:val="20"/>
                <w:szCs w:val="20"/>
                <w:color w:val="auto"/>
              </w:rPr>
            </w:pPr>
            <w:r>
              <w:rPr>
                <w:rFonts w:ascii="Times New Roman" w:cs="Times New Roman" w:eastAsia="Times New Roman" w:hAnsi="Times New Roman"/>
                <w:sz w:val="18"/>
                <w:szCs w:val="18"/>
                <w:color w:val="32406B"/>
              </w:rPr>
              <w:t>96</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34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PHVS719</w:t>
      </w:r>
      <w:r>
        <w:rPr>
          <w:rFonts w:ascii="Times New Roman" w:cs="Times New Roman" w:eastAsia="Times New Roman" w:hAnsi="Times New Roman"/>
          <w:sz w:val="18"/>
          <w:szCs w:val="18"/>
          <w:color w:val="32406B"/>
        </w:rPr>
        <w:t>. We believe that PHVS719, a prophylactic extended-release tablet designed to be taken in small, daily doses, has potential to be highly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differentiated for HAE patients with the following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Borders>
              <w:top w:val="single" w:sz="8" w:color="32406B"/>
              <w:bottom w:val="single" w:sz="8" w:color="32406B"/>
            </w:tcBorders>
          </w:tcPr>
          <w:p>
            <w:pPr>
              <w:spacing w:after="0"/>
              <w:rPr>
                <w:sz w:val="20"/>
                <w:szCs w:val="20"/>
                <w:color w:val="auto"/>
              </w:rPr>
            </w:pPr>
            <w:r>
              <w:rPr>
                <w:rFonts w:ascii="Times New Roman" w:cs="Times New Roman" w:eastAsia="Times New Roman" w:hAnsi="Times New Roman"/>
                <w:sz w:val="18"/>
                <w:szCs w:val="18"/>
                <w:b w:val="1"/>
                <w:bCs w:val="1"/>
                <w:color w:val="32406B"/>
              </w:rPr>
              <w:t>Protection From Attacks</w:t>
            </w:r>
          </w:p>
        </w:tc>
        <w:tc>
          <w:tcPr>
            <w:tcW w:w="560" w:type="dxa"/>
            <w:vAlign w:val="bottom"/>
            <w:tcBorders>
              <w:top w:val="single" w:sz="8" w:color="32406B"/>
              <w:bottom w:val="single" w:sz="8" w:color="32406B"/>
            </w:tcBorders>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Borders>
              <w:top w:val="single" w:sz="8" w:color="32406B"/>
              <w:bottom w:val="single" w:sz="8" w:color="32406B"/>
            </w:tcBorders>
          </w:tcPr>
          <w:p>
            <w:pPr>
              <w:ind w:left="160"/>
              <w:spacing w:after="0"/>
              <w:rPr>
                <w:sz w:val="20"/>
                <w:szCs w:val="20"/>
                <w:color w:val="auto"/>
              </w:rPr>
            </w:pPr>
            <w:r>
              <w:rPr>
                <w:rFonts w:ascii="Times New Roman" w:cs="Times New Roman" w:eastAsia="Times New Roman" w:hAnsi="Times New Roman"/>
                <w:sz w:val="18"/>
                <w:szCs w:val="18"/>
                <w:color w:val="32406B"/>
              </w:rPr>
              <w:t>Validated, proven mechanism to address all bradykinin, regardless of pathway</w:t>
            </w:r>
          </w:p>
        </w:tc>
        <w:tc>
          <w:tcPr>
            <w:tcW w:w="0" w:type="dxa"/>
            <w:vAlign w:val="bottom"/>
          </w:tcPr>
          <w:p>
            <w:pPr>
              <w:spacing w:after="0"/>
              <w:rPr>
                <w:sz w:val="1"/>
                <w:szCs w:val="1"/>
                <w:color w:val="auto"/>
              </w:rPr>
            </w:pPr>
          </w:p>
        </w:tc>
      </w:tr>
      <w:tr>
        <w:trPr>
          <w:trHeight w:val="30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Ideal Release Profile for Prophylactic Use</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32406B"/>
              </w:rPr>
              <w:t>Reaches and maintains steady-state concentration within 72 hours</w:t>
            </w:r>
          </w:p>
        </w:tc>
        <w:tc>
          <w:tcPr>
            <w:tcW w:w="0" w:type="dxa"/>
            <w:vAlign w:val="bottom"/>
          </w:tcPr>
          <w:p>
            <w:pPr>
              <w:spacing w:after="0"/>
              <w:rPr>
                <w:sz w:val="1"/>
                <w:szCs w:val="1"/>
                <w:color w:val="auto"/>
              </w:rPr>
            </w:pPr>
          </w:p>
        </w:tc>
      </w:tr>
      <w:tr>
        <w:trPr>
          <w:trHeight w:val="81"/>
        </w:trPr>
        <w:tc>
          <w:tcPr>
            <w:tcW w:w="35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7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3580" w:type="dxa"/>
            <w:vAlign w:val="bottom"/>
            <w:tcBorders>
              <w:bottom w:val="single" w:sz="8" w:color="32406B"/>
            </w:tcBorders>
          </w:tcPr>
          <w:p>
            <w:pPr>
              <w:spacing w:after="0"/>
              <w:rPr>
                <w:sz w:val="24"/>
                <w:szCs w:val="24"/>
                <w:color w:val="auto"/>
              </w:rPr>
            </w:pPr>
          </w:p>
        </w:tc>
        <w:tc>
          <w:tcPr>
            <w:tcW w:w="560" w:type="dxa"/>
            <w:vAlign w:val="bottom"/>
            <w:tcBorders>
              <w:bottom w:val="single" w:sz="8" w:color="32406B"/>
            </w:tcBorders>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Borders>
              <w:bottom w:val="single" w:sz="8" w:color="32406B"/>
            </w:tcBorders>
          </w:tcPr>
          <w:p>
            <w:pPr>
              <w:ind w:left="140"/>
              <w:spacing w:after="0"/>
              <w:rPr>
                <w:sz w:val="20"/>
                <w:szCs w:val="20"/>
                <w:color w:val="auto"/>
              </w:rPr>
            </w:pPr>
            <w:r>
              <w:rPr>
                <w:rFonts w:ascii="Times New Roman" w:cs="Times New Roman" w:eastAsia="Times New Roman" w:hAnsi="Times New Roman"/>
                <w:sz w:val="18"/>
                <w:szCs w:val="18"/>
                <w:color w:val="32406B"/>
              </w:rPr>
              <w:t>Appropriate pharmacokinetic profile with standard meals</w:t>
            </w:r>
          </w:p>
        </w:tc>
        <w:tc>
          <w:tcPr>
            <w:tcW w:w="0" w:type="dxa"/>
            <w:vAlign w:val="bottom"/>
          </w:tcPr>
          <w:p>
            <w:pPr>
              <w:spacing w:after="0"/>
              <w:rPr>
                <w:sz w:val="1"/>
                <w:szCs w:val="1"/>
                <w:color w:val="auto"/>
              </w:rPr>
            </w:pPr>
          </w:p>
        </w:tc>
      </w:tr>
      <w:tr>
        <w:trPr>
          <w:trHeight w:val="837"/>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Potential Reduced Treatment</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32406B"/>
              </w:rPr>
              <w:t>Convenient oral daily dosing with extended-release tablet</w:t>
            </w:r>
          </w:p>
        </w:tc>
        <w:tc>
          <w:tcPr>
            <w:tcW w:w="0" w:type="dxa"/>
            <w:vAlign w:val="bottom"/>
          </w:tcPr>
          <w:p>
            <w:pPr>
              <w:spacing w:after="0"/>
              <w:rPr>
                <w:sz w:val="1"/>
                <w:szCs w:val="1"/>
                <w:color w:val="auto"/>
              </w:rPr>
            </w:pPr>
          </w:p>
        </w:tc>
      </w:tr>
      <w:tr>
        <w:trPr>
          <w:trHeight w:val="59"/>
        </w:trPr>
        <w:tc>
          <w:tcPr>
            <w:tcW w:w="3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Burden / Enhanced Patient</w:t>
            </w: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32406B"/>
              </w:rPr>
              <w:t>Twice-daily dosing with the potential for once a day</w:t>
            </w: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Convenience</w:t>
            </w:r>
          </w:p>
        </w:tc>
        <w:tc>
          <w:tcPr>
            <w:tcW w:w="5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32406B"/>
              </w:rPr>
              <w:t>Potential lowest dosage of any oral HAE treatment; ease of administration</w:t>
            </w:r>
          </w:p>
        </w:tc>
        <w:tc>
          <w:tcPr>
            <w:tcW w:w="0" w:type="dxa"/>
            <w:vAlign w:val="bottom"/>
          </w:tcPr>
          <w:p>
            <w:pPr>
              <w:spacing w:after="0"/>
              <w:rPr>
                <w:sz w:val="1"/>
                <w:szCs w:val="1"/>
                <w:color w:val="auto"/>
              </w:rPr>
            </w:pPr>
          </w:p>
        </w:tc>
      </w:tr>
      <w:tr>
        <w:trPr>
          <w:trHeight w:val="153"/>
        </w:trPr>
        <w:tc>
          <w:tcPr>
            <w:tcW w:w="35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3580" w:type="dxa"/>
            <w:vAlign w:val="bottom"/>
          </w:tcPr>
          <w:p>
            <w:pPr>
              <w:spacing w:after="0"/>
              <w:rPr>
                <w:sz w:val="24"/>
                <w:szCs w:val="24"/>
                <w:color w:val="auto"/>
              </w:rPr>
            </w:pPr>
          </w:p>
        </w:tc>
        <w:tc>
          <w:tcPr>
            <w:tcW w:w="560" w:type="dxa"/>
            <w:vAlign w:val="bottom"/>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Pr>
          <w:p>
            <w:pPr>
              <w:ind w:left="160"/>
              <w:spacing w:after="0"/>
              <w:rPr>
                <w:sz w:val="20"/>
                <w:szCs w:val="20"/>
                <w:color w:val="auto"/>
              </w:rPr>
            </w:pPr>
            <w:r>
              <w:rPr>
                <w:rFonts w:ascii="Times New Roman" w:cs="Times New Roman" w:eastAsia="Times New Roman" w:hAnsi="Times New Roman"/>
                <w:sz w:val="18"/>
                <w:szCs w:val="18"/>
                <w:color w:val="32406B"/>
              </w:rPr>
              <w:t>Well tolerated throughout therapeutic ranges as demonstrated by multiple clinical trials to-date</w:t>
            </w:r>
          </w:p>
        </w:tc>
        <w:tc>
          <w:tcPr>
            <w:tcW w:w="0" w:type="dxa"/>
            <w:vAlign w:val="bottom"/>
          </w:tcPr>
          <w:p>
            <w:pPr>
              <w:spacing w:after="0"/>
              <w:rPr>
                <w:sz w:val="1"/>
                <w:szCs w:val="1"/>
                <w:color w:val="auto"/>
              </w:rPr>
            </w:pPr>
          </w:p>
        </w:tc>
      </w:tr>
      <w:tr>
        <w:trPr>
          <w:trHeight w:val="344"/>
        </w:trPr>
        <w:tc>
          <w:tcPr>
            <w:tcW w:w="3580" w:type="dxa"/>
            <w:vAlign w:val="bottom"/>
            <w:tcBorders>
              <w:bottom w:val="single" w:sz="8" w:color="32406B"/>
            </w:tcBorders>
          </w:tcPr>
          <w:p>
            <w:pPr>
              <w:spacing w:after="0"/>
              <w:rPr>
                <w:sz w:val="24"/>
                <w:szCs w:val="24"/>
                <w:color w:val="auto"/>
              </w:rPr>
            </w:pPr>
          </w:p>
        </w:tc>
        <w:tc>
          <w:tcPr>
            <w:tcW w:w="560" w:type="dxa"/>
            <w:vAlign w:val="bottom"/>
            <w:tcBorders>
              <w:bottom w:val="single" w:sz="8" w:color="32406B"/>
            </w:tcBorders>
          </w:tcPr>
          <w:p>
            <w:pPr>
              <w:ind w:left="380"/>
              <w:spacing w:after="0"/>
              <w:rPr>
                <w:sz w:val="20"/>
                <w:szCs w:val="20"/>
                <w:color w:val="auto"/>
              </w:rPr>
            </w:pPr>
            <w:r>
              <w:rPr>
                <w:rFonts w:ascii="Times New Roman" w:cs="Times New Roman" w:eastAsia="Times New Roman" w:hAnsi="Times New Roman"/>
                <w:sz w:val="18"/>
                <w:szCs w:val="18"/>
                <w:color w:val="32406B"/>
              </w:rPr>
              <w:t>•</w:t>
            </w:r>
          </w:p>
        </w:tc>
        <w:tc>
          <w:tcPr>
            <w:tcW w:w="7100" w:type="dxa"/>
            <w:vAlign w:val="bottom"/>
            <w:tcBorders>
              <w:bottom w:val="single" w:sz="8" w:color="32406B"/>
            </w:tcBorders>
          </w:tcPr>
          <w:p>
            <w:pPr>
              <w:ind w:left="160"/>
              <w:spacing w:after="0"/>
              <w:rPr>
                <w:sz w:val="20"/>
                <w:szCs w:val="20"/>
                <w:color w:val="auto"/>
              </w:rPr>
            </w:pPr>
            <w:r>
              <w:rPr>
                <w:rFonts w:ascii="Times New Roman" w:cs="Times New Roman" w:eastAsia="Times New Roman" w:hAnsi="Times New Roman"/>
                <w:sz w:val="18"/>
                <w:szCs w:val="18"/>
                <w:color w:val="32406B"/>
              </w:rPr>
              <w:t>No injection needed</w:t>
            </w:r>
          </w:p>
        </w:tc>
        <w:tc>
          <w:tcPr>
            <w:tcW w:w="0" w:type="dxa"/>
            <w:vAlign w:val="bottom"/>
          </w:tcPr>
          <w:p>
            <w:pPr>
              <w:spacing w:after="0"/>
              <w:rPr>
                <w:sz w:val="1"/>
                <w:szCs w:val="1"/>
                <w:color w:val="auto"/>
              </w:rPr>
            </w:pPr>
          </w:p>
        </w:tc>
      </w:tr>
      <w:tr>
        <w:trPr>
          <w:trHeight w:val="54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Our Pipeline</w:t>
            </w:r>
          </w:p>
        </w:tc>
        <w:tc>
          <w:tcPr>
            <w:tcW w:w="5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154305</wp:posOffset>
            </wp:positionV>
            <wp:extent cx="4483100" cy="1619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48310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We plan to develop separate products for on-demand and prophylactic use, PHVS416 and PHVS719 respectively, with both products utilizing the same active ingredient, PHA121. PHVS416 will be a soft-gel capsule, and PHVS719 will be an extended release tablet. We expect to commence our RAPIDe-1 Phase 2 clinical trial of PHVS416 for on-demand use in 2021. We are also planning to commence a Phase 2 clinical trial for prophylaxis in 2021. In this trial, we plan to assess twice-daily dosing of PHVS416 soft gel capsules for prophylactic use while we continue to advance the development of our extended-release formulation, PHVS719. A bridging study between our formulation of PHVS719 and PHVS416 in a Phase 1 clinical trial is planned in 2021 before conducting the trial of PHVS719 in the prophylactic setting.</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Expansion of the Portfolio</w:t>
      </w:r>
    </w:p>
    <w:p>
      <w:pPr>
        <w:spacing w:after="0" w:line="121" w:lineRule="exact"/>
        <w:rPr>
          <w:sz w:val="20"/>
          <w:szCs w:val="20"/>
          <w:color w:val="auto"/>
        </w:rPr>
      </w:pPr>
    </w:p>
    <w:p>
      <w:pPr>
        <w:jc w:val="both"/>
        <w:ind w:right="120" w:firstLine="449"/>
        <w:spacing w:after="0" w:line="266" w:lineRule="auto"/>
        <w:rPr>
          <w:sz w:val="20"/>
          <w:szCs w:val="20"/>
          <w:color w:val="auto"/>
        </w:rPr>
      </w:pPr>
      <w:r>
        <w:rPr>
          <w:rFonts w:ascii="Times New Roman" w:cs="Times New Roman" w:eastAsia="Times New Roman" w:hAnsi="Times New Roman"/>
          <w:sz w:val="18"/>
          <w:szCs w:val="18"/>
          <w:color w:val="32406B"/>
        </w:rPr>
        <w:t>Our ultimate goal is to expand our portfolio with additional programs addressing other BK-mediated diseases, building on our strategic strength and expertise in the bradykinin-B2-receptor pathway. Our approach is to identify additional disease areas and indications with strong scientific rationale, high unmet medical need, a defined target population and significant differentiation potential. We are actively pursuing new synthesis,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97</w:t>
      </w:r>
    </w:p>
    <w:p>
      <w:pPr>
        <w:sectPr>
          <w:pgSz w:w="11900" w:h="16838" w:orient="portrait"/>
          <w:cols w:equalWidth="0" w:num="1">
            <w:col w:w="11240"/>
          </w:cols>
          <w:pgMar w:left="320" w:top="455" w:right="3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2406B"/>
        </w:rPr>
        <w:t>medicinal chemistry and lead optimization to identify additional and/or follow-on product candidates. In collaboration and discussion with key opinion leaders, we are considering exploratory proof-of-concept studies to validate the potential of bradykinin-B2-receptor antagonism in new indications such as cardiovascular, allergy and immunology, neurological disease and others.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Our Team and Investors</w:t>
      </w:r>
    </w:p>
    <w:p>
      <w:pPr>
        <w:spacing w:after="0" w:line="121" w:lineRule="exact"/>
        <w:rPr>
          <w:sz w:val="20"/>
          <w:szCs w:val="20"/>
          <w:color w:val="auto"/>
        </w:rPr>
      </w:pPr>
    </w:p>
    <w:p>
      <w:pPr>
        <w:ind w:right="80" w:firstLine="449"/>
        <w:spacing w:after="0" w:line="252" w:lineRule="auto"/>
        <w:rPr>
          <w:sz w:val="20"/>
          <w:szCs w:val="20"/>
          <w:color w:val="auto"/>
        </w:rPr>
      </w:pPr>
      <w:r>
        <w:rPr>
          <w:rFonts w:ascii="Times New Roman" w:cs="Times New Roman" w:eastAsia="Times New Roman" w:hAnsi="Times New Roman"/>
          <w:sz w:val="18"/>
          <w:szCs w:val="18"/>
          <w:color w:val="32406B"/>
        </w:rPr>
        <w:t>We are led by a strong management team with extensive experience in the biopharmaceutical industry and rare disease drug development, most notably the development of drugs for the treatment of HAE. Our Chief Executive Officer, Berndt Modig, has extensive experience in the pharmaceutical industry, most recently as Chief Financial Officer of Prosensa Holding N.V. and Chief Financial Officer of Jerini AG, which developed and launched icatibant. Our Chief Scientific Officer and Chief Operating Officer, Jochen Knolle, Ph.D. has extensive experience in every aspect of drug discovery as the former Chief Science Officer and Head of R&amp;D at Jerini AG, former Vice President for Medicinal Chemistry and Structural Biology at Axys Pharmaceuticals Inc., and Hoechst AG and Hoechst-Marion-Roussel where he co-invented icatibant. Our Chief Medical Officer, Peng Lu, M.D., Ph.D. previously served as Vice President, Global Program Lead for Rare Diseases at Shire PLC, now Takeda Pharmaceutical Company Limited, where she led the development and successful approval of TAKHZYRO for the prevention of HAE attacks in the U.S., the EU and the rest of the world. Our Chief Early Development Officer, Anne Lesage, Ph.D. brings in deep expertise in drug discovery and GPCR pharmacology, has held various leadership positions at Janssen Pharmaceutica and is inventor on nine patents and author on 45 publications. Our Chief Business Officer, Morgan Conn, Ph.D. has extensive experience in the biopharmaceutical industry including as the Head of Business Development at PTC Therapeutics, Inc. where he was instrumental to a variety of financing events and corporate transactions with leading pharma, biotech, and academic organizations. In addition, we are backed by a group of renowned institutional investors and have raised over $163 million of capital since our inception, including our recent financing that closed on November 5, 2020. Our investors include LSP, Kurma Partners, Idinvest Partners, Foresite Capital, Bain Capital Life Sciences, venBio Partners, Venrock Partners, Viking Global Investors, General Atlantic, and Cormorant Asset Management.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Our Strengths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company is built upon the following strengths:</w:t>
      </w:r>
    </w:p>
    <w:p>
      <w:pPr>
        <w:spacing w:after="0" w:line="131" w:lineRule="exact"/>
        <w:rPr>
          <w:sz w:val="20"/>
          <w:szCs w:val="20"/>
          <w:color w:val="auto"/>
        </w:rPr>
      </w:pPr>
    </w:p>
    <w:p>
      <w:pPr>
        <w:ind w:left="1000" w:right="140" w:hanging="547"/>
        <w:spacing w:after="0" w:line="282"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Broad strength and expertise in the bradykinin-B2-receptor pathway. Members of the management team include an inventor of icatibant, the leadership team that developed icatibant through European approval, and a key member from the TAKHZYRO development team;</w:t>
      </w:r>
    </w:p>
    <w:p>
      <w:pPr>
        <w:spacing w:after="0" w:line="67"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is an orally available product candidate with a clinically validated mechanism of action that addresses serious unmet medical need in HAE;</w:t>
      </w:r>
    </w:p>
    <w:p>
      <w:pPr>
        <w:spacing w:after="0" w:line="67" w:lineRule="exact"/>
        <w:rPr>
          <w:rFonts w:ascii="Times New Roman" w:cs="Times New Roman" w:eastAsia="Times New Roman" w:hAnsi="Times New Roman"/>
          <w:sz w:val="18"/>
          <w:szCs w:val="18"/>
          <w:color w:val="32406B"/>
        </w:rPr>
      </w:pPr>
    </w:p>
    <w:p>
      <w:pPr>
        <w:ind w:left="1000" w:right="280" w:hanging="547"/>
        <w:spacing w:after="0" w:line="282"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has demonstrated physicochemical properties suitable to formulations as both an on-demand product candidate, PHVS416, and a distinct prophylactic product candidate, PHVS719;</w:t>
      </w:r>
    </w:p>
    <w:p>
      <w:pPr>
        <w:spacing w:after="0" w:line="67" w:lineRule="exact"/>
        <w:rPr>
          <w:rFonts w:ascii="Times New Roman" w:cs="Times New Roman" w:eastAsia="Times New Roman" w:hAnsi="Times New Roman"/>
          <w:sz w:val="18"/>
          <w:szCs w:val="18"/>
          <w:color w:val="32406B"/>
        </w:rPr>
      </w:pPr>
    </w:p>
    <w:p>
      <w:pPr>
        <w:jc w:val="both"/>
        <w:ind w:left="1000" w:right="560" w:hanging="547"/>
        <w:spacing w:after="0" w:line="266"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PHA121, compared to icatibant, the currently approved bradykinin B2-receptor inhibitor, demonstrated superior preclinical potency in blocking bradykinin signaling at the bradykinin B2-receptor, and good oral bioavailability and a longer half-life in humans, which has resulted in longer duration of the BK-blocking pharmacodynamic effect in humans;</w:t>
      </w:r>
    </w:p>
    <w:p>
      <w:pPr>
        <w:spacing w:after="0" w:line="81" w:lineRule="exact"/>
        <w:rPr>
          <w:rFonts w:ascii="Times New Roman" w:cs="Times New Roman" w:eastAsia="Times New Roman" w:hAnsi="Times New Roman"/>
          <w:sz w:val="18"/>
          <w:szCs w:val="18"/>
          <w:color w:val="32406B"/>
        </w:rPr>
      </w:pPr>
    </w:p>
    <w:p>
      <w:pPr>
        <w:ind w:left="1000" w:right="260" w:hanging="547"/>
        <w:spacing w:after="0" w:line="282"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wholly own intellectual property – including allowed and in-process patent applications – covering PHA121 and additional molecules; and</w:t>
      </w:r>
    </w:p>
    <w:p>
      <w:pPr>
        <w:spacing w:after="0" w:line="67" w:lineRule="exact"/>
        <w:rPr>
          <w:rFonts w:ascii="Times New Roman" w:cs="Times New Roman" w:eastAsia="Times New Roman" w:hAnsi="Times New Roman"/>
          <w:sz w:val="18"/>
          <w:szCs w:val="18"/>
          <w:color w:val="32406B"/>
        </w:rPr>
      </w:pPr>
    </w:p>
    <w:p>
      <w:pPr>
        <w:ind w:left="1000" w:right="220" w:hanging="547"/>
        <w:spacing w:after="0" w:line="282" w:lineRule="auto"/>
        <w:tabs>
          <w:tab w:leader="none" w:pos="1000" w:val="left"/>
        </w:tabs>
        <w:numPr>
          <w:ilvl w:val="0"/>
          <w:numId w:val="5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scientific experience allows us to leverage deep insight and experience in the bradykinin- B2-receptor pathway to expand our portfolio into other BK-mediated angioedema and BK-mediated diseases beyond angioedema.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98</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Our Strategy</w:t>
      </w:r>
    </w:p>
    <w:p>
      <w:pPr>
        <w:spacing w:after="0" w:line="121"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32406B"/>
        </w:rPr>
        <w:t>Our strategy is to develop and commercialize therapies that are superior to currently available treatment options and improve patient quality of life and convenience. Our initial approach for HAE and potential expansions into non-hereditary angioedema and other BK-mediated diseases is based upon extensive patient, physician and payer research to identify the key needs in the market. According to our analysis, oral therapy remains the highest unmet need for both on-demand and prophylactic use in HAE. More importantly, our research shows that patients are not willing to accept significantly reduced efficacy or safety with a switch to oral therapy, and so we place a high degree of emphasis on advancing product candidates that we believe can be comparable to or improve upon existing approved therapies in both safety and efficacy.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key elements of our strategy include:</w:t>
      </w:r>
    </w:p>
    <w:p>
      <w:pPr>
        <w:spacing w:after="0" w:line="129" w:lineRule="exact"/>
        <w:rPr>
          <w:sz w:val="20"/>
          <w:szCs w:val="20"/>
          <w:color w:val="auto"/>
        </w:rPr>
      </w:pPr>
    </w:p>
    <w:p>
      <w:pPr>
        <w:ind w:left="1000" w:right="220" w:hanging="547"/>
        <w:spacing w:after="0" w:line="261" w:lineRule="auto"/>
        <w:tabs>
          <w:tab w:leader="none" w:pos="1000" w:val="left"/>
        </w:tabs>
        <w:numPr>
          <w:ilvl w:val="0"/>
          <w:numId w:val="5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Continue to advance PHA121 through clinical development for on-demand treatment of HAE utilizing a fast-onset formulation, known as PHVS416</w:t>
      </w:r>
      <w:r>
        <w:rPr>
          <w:rFonts w:ascii="Times New Roman" w:cs="Times New Roman" w:eastAsia="Times New Roman" w:hAnsi="Times New Roman"/>
          <w:sz w:val="18"/>
          <w:szCs w:val="18"/>
          <w:color w:val="32406B"/>
        </w:rPr>
        <w:t>. We intend to develop and commercialize PHVS416 as a fast-acting, orally available, potent inhibitor and selective treatment for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acute HAE. If considered appropriate by the FDA, we plan to pursue an expedited regulatory pathway that could allow us to more quickly provide patients with a potentially more effective oral therapy that is also more convenient.</w:t>
      </w:r>
    </w:p>
    <w:p>
      <w:pPr>
        <w:spacing w:after="0" w:line="85" w:lineRule="exact"/>
        <w:rPr>
          <w:rFonts w:ascii="Times New Roman" w:cs="Times New Roman" w:eastAsia="Times New Roman" w:hAnsi="Times New Roman"/>
          <w:sz w:val="18"/>
          <w:szCs w:val="18"/>
          <w:color w:val="32406B"/>
        </w:rPr>
      </w:pPr>
    </w:p>
    <w:p>
      <w:pPr>
        <w:ind w:left="1000" w:right="180" w:hanging="547"/>
        <w:spacing w:after="0" w:line="258" w:lineRule="auto"/>
        <w:tabs>
          <w:tab w:leader="none" w:pos="1000" w:val="left"/>
        </w:tabs>
        <w:numPr>
          <w:ilvl w:val="0"/>
          <w:numId w:val="5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Advance the development of PHA121 for prophylactic treatment of HAE utilizing an extended-release formulation, known as PHVS719</w:t>
      </w:r>
      <w:r>
        <w:rPr>
          <w:rFonts w:ascii="Times New Roman" w:cs="Times New Roman" w:eastAsia="Times New Roman" w:hAnsi="Times New Roman"/>
          <w:sz w:val="18"/>
          <w:szCs w:val="18"/>
          <w:color w:val="32406B"/>
        </w:rPr>
        <w:t>. We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intend to advance PHVS719 through clinical development as an extended-release prophylactic treatment of HAE. We plan to leverage our clinical data and experience from the development of PHVS416 in the on-demand setting to expedite our efforts in the prophylactic setting. We expect the PK data from our Phase 2 trial RAPIDe-1 of PHVS416 to help select and refine our prophylactic dose for the PHVS719 clinical trials.</w:t>
      </w:r>
    </w:p>
    <w:p>
      <w:pPr>
        <w:spacing w:after="0" w:line="88" w:lineRule="exact"/>
        <w:rPr>
          <w:rFonts w:ascii="Times New Roman" w:cs="Times New Roman" w:eastAsia="Times New Roman" w:hAnsi="Times New Roman"/>
          <w:sz w:val="18"/>
          <w:szCs w:val="18"/>
          <w:color w:val="32406B"/>
        </w:rPr>
      </w:pPr>
    </w:p>
    <w:p>
      <w:pPr>
        <w:ind w:left="1000" w:right="20" w:hanging="547"/>
        <w:spacing w:after="0" w:line="256" w:lineRule="auto"/>
        <w:tabs>
          <w:tab w:leader="none" w:pos="1000" w:val="left"/>
        </w:tabs>
        <w:numPr>
          <w:ilvl w:val="0"/>
          <w:numId w:val="5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Expand the range of bradykinin-mediated angioedema indications to which PHVS416 and PHVS719 can be applied. </w:t>
      </w:r>
      <w:r>
        <w:rPr>
          <w:rFonts w:ascii="Times New Roman" w:cs="Times New Roman" w:eastAsia="Times New Roman" w:hAnsi="Times New Roman"/>
          <w:sz w:val="18"/>
          <w:szCs w:val="18"/>
          <w:color w:val="32406B"/>
        </w:rPr>
        <w:t>In addition to Type 1 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Type 2 HAE, bradykinin is also an important mediator for other types of non-histaminergic angioedema, such as: non-histaminergic angioedema with normal C1-INH and acquired angioedema (AAE) due to C1-INH deficiency. Currently there are still no approved treatments for these angioedema patients who are unresponsive to conventional antihistamine/glucocorticoid treatment and have a high unmet medical need for effective therapies. Several clinical reports indicate that off-label use of icatibant has successfully treated acute attacks of non-histaminergic angioedema patients, which provides a strong rationale to expand the development PHVS416 and PHVS719 to address such a high unmet medical need.</w:t>
      </w:r>
    </w:p>
    <w:p>
      <w:pPr>
        <w:spacing w:after="0" w:line="88" w:lineRule="exact"/>
        <w:rPr>
          <w:rFonts w:ascii="Times New Roman" w:cs="Times New Roman" w:eastAsia="Times New Roman" w:hAnsi="Times New Roman"/>
          <w:sz w:val="18"/>
          <w:szCs w:val="18"/>
          <w:color w:val="32406B"/>
        </w:rPr>
      </w:pPr>
    </w:p>
    <w:p>
      <w:pPr>
        <w:ind w:left="1000" w:right="20" w:hanging="547"/>
        <w:spacing w:after="0" w:line="258" w:lineRule="auto"/>
        <w:tabs>
          <w:tab w:leader="none" w:pos="1000" w:val="left"/>
        </w:tabs>
        <w:numPr>
          <w:ilvl w:val="0"/>
          <w:numId w:val="5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Expand upon our expertise in the bradykinin-B2-receptor pathway</w:t>
      </w:r>
      <w:r>
        <w:rPr>
          <w:rFonts w:ascii="Times New Roman" w:cs="Times New Roman" w:eastAsia="Times New Roman" w:hAnsi="Times New Roman"/>
          <w:sz w:val="18"/>
          <w:szCs w:val="18"/>
          <w:color w:val="32406B"/>
        </w:rPr>
        <w:t>. We intend to leverage the strategic strengths, insight, and deep experience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of our team in the bradykinin-B2-receptor pathway to identify additional disease areas and indications with strong scientific rationale, high unmet medical need, a defined target population and significant differentiation potential. As such, we will seek to develop follow-on product candidates that serve additional BK-mediated diseases beyond angioedema, such as cardiovascular, allergy and immunology, neurological disease or others.</w:t>
      </w:r>
    </w:p>
    <w:p>
      <w:pPr>
        <w:spacing w:after="0" w:line="88" w:lineRule="exact"/>
        <w:rPr>
          <w:rFonts w:ascii="Times New Roman" w:cs="Times New Roman" w:eastAsia="Times New Roman" w:hAnsi="Times New Roman"/>
          <w:sz w:val="18"/>
          <w:szCs w:val="18"/>
          <w:color w:val="32406B"/>
        </w:rPr>
      </w:pPr>
    </w:p>
    <w:p>
      <w:pPr>
        <w:ind w:left="1000" w:hanging="547"/>
        <w:spacing w:after="0" w:line="261" w:lineRule="auto"/>
        <w:tabs>
          <w:tab w:leader="none" w:pos="1000" w:val="left"/>
        </w:tabs>
        <w:numPr>
          <w:ilvl w:val="0"/>
          <w:numId w:val="5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Commercialize our product candidates. </w:t>
      </w:r>
      <w:r>
        <w:rPr>
          <w:rFonts w:ascii="Times New Roman" w:cs="Times New Roman" w:eastAsia="Times New Roman" w:hAnsi="Times New Roman"/>
          <w:sz w:val="18"/>
          <w:szCs w:val="18"/>
          <w:color w:val="32406B"/>
        </w:rPr>
        <w:t>We intend to retain economic and commercial ownership of our current product candidates. If</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approved, we expect to independently commercialize both PHVS416 and PHVS719 in the United States, Europe and certain other countries. As we advance towards regulatory approval for our product candidates, we will establish a focused commercialization and sales infrastructure suitable for HAE.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Hereditary Angioedema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Disease Overview</w:t>
      </w:r>
    </w:p>
    <w:p>
      <w:pPr>
        <w:spacing w:after="0" w:line="121"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99</w:t>
      </w:r>
    </w:p>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32406B"/>
        </w:rPr>
        <w:t>gene, which codes for the C1-esterase inhibitor protein C1-INH. Deficiency or malfunction of C1-INH leads to uncontrolled synthesis and activity of plasma kallikrein and unconstrained BK production. Excessive BK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acute attacks of angioedema can occur idiopathically in individuals for which a hereditary cause has not yet been identified. Excessive amounts of BK can also be caused by increased circulation of estrogens, reduced C1-INH levels due to underlying diseases, reduced elimination of BK, or through use of medications such as angiotensin-converting enzyme, or ACE, inhibitors and tissue plasminogen activator, or tPA.</w:t>
      </w:r>
    </w:p>
    <w:p>
      <w:pPr>
        <w:spacing w:after="0" w:line="18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Excessive BK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present in young children and may take 5-10 years or until early adolescence or young adulthood to be diagnosed. HAE affects 1:50,000 to 1:10,000 individuals globally, or at least 6,600 patients in the U.S. and at least 8,900 patients in the EU.</w:t>
      </w:r>
    </w:p>
    <w:p>
      <w:pPr>
        <w:spacing w:after="0" w:line="194"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32406B"/>
        </w:rPr>
        <w:t>As a result of the lifelong nature of HAE and the challenges related to the use of many of the injected therapies, patient surveys consistently indicate an overwhelming desire for an oral therapy. We believe that a safe and effective oral agent has the potential to transform treatment for this disease. We also believe that opportunities exist for both acute and prophylactic treatments, and we intend to develop drug candidates for both on-demand and prophylactic use with the goal of providing patients with a set of oral options to prevent and treat their disease.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Current Treatments and Their Limitations</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32406B"/>
        </w:rPr>
        <w:t>There are currently two treatment approaches to the management of HAE: acute (on-demand) treatment of attacks and prevention of attacks with short- or long-term prophylactic therapy.</w:t>
      </w:r>
    </w:p>
    <w:p>
      <w:pPr>
        <w:spacing w:after="0" w:line="65" w:lineRule="exact"/>
        <w:rPr>
          <w:sz w:val="20"/>
          <w:szCs w:val="20"/>
          <w:color w:val="auto"/>
        </w:rPr>
      </w:pPr>
    </w:p>
    <w:p>
      <w:pPr>
        <w:ind w:left="1000" w:right="60" w:hanging="547"/>
        <w:spacing w:after="0" w:line="254" w:lineRule="auto"/>
        <w:tabs>
          <w:tab w:leader="none" w:pos="1000" w:val="left"/>
        </w:tabs>
        <w:numPr>
          <w:ilvl w:val="0"/>
          <w:numId w:val="6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On-Demand Treatment</w:t>
      </w:r>
      <w:r>
        <w:rPr>
          <w:rFonts w:ascii="Times New Roman" w:cs="Times New Roman" w:eastAsia="Times New Roman" w:hAnsi="Times New Roman"/>
          <w:sz w:val="18"/>
          <w:szCs w:val="18"/>
          <w:color w:val="32406B"/>
        </w:rPr>
        <w:t>: The currently approved products for treatment of acute HAE attacks are all injectable products and include C1-INH</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replacement products such as human plasma-derived C1-INH concentrates (BERINERT, CINRYZE, and CETOR) or recombinant human C1-INH (RUCONEST), the bradykinin-B2-receptor antagonist icatibant (FIRAZYR), and the plasma kallikrein inhibitor ecallantide (KALBITOR), which has been known to cause allergic reactions including anaphylaxis and must be administered by a doctor or nurse in a healthcare setting. The C1-INH concentrate products are isolated from donated human plasma and historically have been impacted by supply shortages. Subcutaneous, or s.c., icatibant is the only available bradykinin B2-receptor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100</w:t>
      </w:r>
    </w:p>
    <w:p>
      <w:pPr>
        <w:sectPr>
          <w:pgSz w:w="11900" w:h="16838" w:orient="portrait"/>
          <w:cols w:equalWidth="0" w:num="1">
            <w:col w:w="11220"/>
          </w:cols>
          <w:pgMar w:left="320" w:top="455" w:right="3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right="120" w:hanging="547"/>
        <w:spacing w:after="0" w:line="255" w:lineRule="auto"/>
        <w:tabs>
          <w:tab w:leader="none" w:pos="1000" w:val="left"/>
        </w:tabs>
        <w:numPr>
          <w:ilvl w:val="0"/>
          <w:numId w:val="6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Prophylactic Treatment</w:t>
      </w:r>
      <w:r>
        <w:rPr>
          <w:rFonts w:ascii="Times New Roman" w:cs="Times New Roman" w:eastAsia="Times New Roman" w:hAnsi="Times New Roman"/>
          <w:sz w:val="18"/>
          <w:szCs w:val="18"/>
          <w:color w:val="32406B"/>
        </w:rPr>
        <w:t>: Currently approved prophylactic therapies for HAE include C1-INH replacement products, such as intravenously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delivered CINRYZE and subcutaneously delivered HAEGARDA/BERINERT 2000/3000 (both of which require twice-weekly injections), and the monoclonal antibody and plasma kallikrein inhibitor lanadelumab-flyo (TAKHZYRO).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 AEs, and overall suboptimal control of HAE in many patients. The use of attenuated androgens is limited by numerous safety issues, including seborrhea, altered libido, depression, fatigue, menstrual abnormalities, and masculinization.</w:t>
      </w:r>
    </w:p>
    <w:p>
      <w:pPr>
        <w:spacing w:after="0" w:line="187"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To our knowledge, three other angioedema-specific oral medications for acute, as well as prophylactic, use are in clinical development, and one, ORLADEYO (also known as berotralstat or BCX7353), was approved in the U.S. in the fourth quarter of 2020. All of these are kallikrein inhibitors. The angioedema-specific oral medications which, to our knowledge, are currently in clinical development, include:</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1000" w:type="dxa"/>
            <w:vAlign w:val="bottom"/>
            <w:tcBorders>
              <w:top w:val="single" w:sz="8" w:color="32406B"/>
              <w:left w:val="single" w:sz="8" w:color="32406B"/>
              <w:right w:val="single" w:sz="8" w:color="32406B"/>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32406B"/>
              </w:rPr>
              <w:t>Company</w:t>
            </w:r>
          </w:p>
        </w:tc>
        <w:tc>
          <w:tcPr>
            <w:tcW w:w="1700" w:type="dxa"/>
            <w:vAlign w:val="bottom"/>
            <w:tcBorders>
              <w:top w:val="single" w:sz="8" w:color="32406B"/>
              <w:right w:val="single" w:sz="8" w:color="32406B"/>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32406B"/>
              </w:rPr>
              <w:t>Asset</w:t>
            </w:r>
          </w:p>
        </w:tc>
        <w:tc>
          <w:tcPr>
            <w:tcW w:w="4840" w:type="dxa"/>
            <w:vAlign w:val="bottom"/>
            <w:tcBorders>
              <w:top w:val="single" w:sz="8" w:color="32406B"/>
              <w:right w:val="single" w:sz="8" w:color="32406B"/>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32406B"/>
              </w:rPr>
              <w:t>Mechanism of Action</w:t>
            </w:r>
          </w:p>
        </w:tc>
        <w:tc>
          <w:tcPr>
            <w:tcW w:w="1260" w:type="dxa"/>
            <w:vAlign w:val="bottom"/>
            <w:tcBorders>
              <w:top w:val="single" w:sz="8" w:color="32406B"/>
              <w:right w:val="single" w:sz="8" w:color="32406B"/>
            </w:tcBorders>
          </w:tcPr>
          <w:p>
            <w:pPr>
              <w:jc w:val="right"/>
              <w:ind w:right="363"/>
              <w:spacing w:after="0" w:line="149" w:lineRule="exact"/>
              <w:rPr>
                <w:sz w:val="20"/>
                <w:szCs w:val="20"/>
                <w:color w:val="auto"/>
              </w:rPr>
            </w:pPr>
            <w:r>
              <w:rPr>
                <w:rFonts w:ascii="Times New Roman" w:cs="Times New Roman" w:eastAsia="Times New Roman" w:hAnsi="Times New Roman"/>
                <w:sz w:val="14"/>
                <w:szCs w:val="14"/>
                <w:b w:val="1"/>
                <w:bCs w:val="1"/>
                <w:color w:val="32406B"/>
              </w:rPr>
              <w:t>Route of</w:t>
            </w:r>
          </w:p>
        </w:tc>
        <w:tc>
          <w:tcPr>
            <w:tcW w:w="580" w:type="dxa"/>
            <w:vAlign w:val="bottom"/>
            <w:tcBorders>
              <w:top w:val="single" w:sz="8" w:color="32406B"/>
              <w:right w:val="single" w:sz="8" w:color="32406B"/>
            </w:tcBorders>
          </w:tcPr>
          <w:p>
            <w:pPr>
              <w:jc w:val="center"/>
              <w:ind w:left="123"/>
              <w:spacing w:after="0" w:line="149" w:lineRule="exact"/>
              <w:rPr>
                <w:sz w:val="20"/>
                <w:szCs w:val="20"/>
                <w:color w:val="auto"/>
              </w:rPr>
            </w:pPr>
            <w:r>
              <w:rPr>
                <w:rFonts w:ascii="Times New Roman" w:cs="Times New Roman" w:eastAsia="Times New Roman" w:hAnsi="Times New Roman"/>
                <w:sz w:val="14"/>
                <w:szCs w:val="14"/>
                <w:b w:val="1"/>
                <w:bCs w:val="1"/>
                <w:color w:val="32406B"/>
                <w:w w:val="98"/>
              </w:rPr>
              <w:t>Trial</w:t>
            </w:r>
          </w:p>
        </w:tc>
        <w:tc>
          <w:tcPr>
            <w:tcW w:w="1880" w:type="dxa"/>
            <w:vAlign w:val="bottom"/>
            <w:tcBorders>
              <w:top w:val="single" w:sz="8" w:color="32406B"/>
              <w:right w:val="single" w:sz="8" w:color="32406B"/>
            </w:tcBorders>
          </w:tcPr>
          <w:p>
            <w:pPr>
              <w:jc w:val="center"/>
              <w:ind w:left="283"/>
              <w:spacing w:after="0" w:line="149" w:lineRule="exact"/>
              <w:rPr>
                <w:sz w:val="20"/>
                <w:szCs w:val="20"/>
                <w:color w:val="auto"/>
              </w:rPr>
            </w:pPr>
            <w:r>
              <w:rPr>
                <w:rFonts w:ascii="Times New Roman" w:cs="Times New Roman" w:eastAsia="Times New Roman" w:hAnsi="Times New Roman"/>
                <w:sz w:val="14"/>
                <w:szCs w:val="14"/>
                <w:b w:val="1"/>
                <w:bCs w:val="1"/>
                <w:color w:val="32406B"/>
              </w:rPr>
              <w:t>Role in</w:t>
            </w:r>
          </w:p>
        </w:tc>
        <w:tc>
          <w:tcPr>
            <w:tcW w:w="0" w:type="dxa"/>
            <w:vAlign w:val="bottom"/>
          </w:tcPr>
          <w:p>
            <w:pPr>
              <w:spacing w:after="0"/>
              <w:rPr>
                <w:sz w:val="1"/>
                <w:szCs w:val="1"/>
                <w:color w:val="auto"/>
              </w:rPr>
            </w:pPr>
          </w:p>
        </w:tc>
      </w:tr>
      <w:tr>
        <w:trPr>
          <w:trHeight w:val="175"/>
        </w:trPr>
        <w:tc>
          <w:tcPr>
            <w:tcW w:w="1000" w:type="dxa"/>
            <w:vAlign w:val="bottom"/>
            <w:tcBorders>
              <w:left w:val="single" w:sz="8" w:color="32406B"/>
              <w:bottom w:val="single" w:sz="8" w:color="32406B"/>
              <w:right w:val="single" w:sz="8" w:color="32406B"/>
            </w:tcBorders>
            <w:vMerge w:val="continue"/>
          </w:tcPr>
          <w:p>
            <w:pPr>
              <w:spacing w:after="0"/>
              <w:rPr>
                <w:sz w:val="15"/>
                <w:szCs w:val="15"/>
                <w:color w:val="auto"/>
              </w:rPr>
            </w:pPr>
          </w:p>
        </w:tc>
        <w:tc>
          <w:tcPr>
            <w:tcW w:w="1700" w:type="dxa"/>
            <w:vAlign w:val="bottom"/>
            <w:tcBorders>
              <w:bottom w:val="single" w:sz="8" w:color="32406B"/>
              <w:right w:val="single" w:sz="8" w:color="32406B"/>
            </w:tcBorders>
            <w:vMerge w:val="continue"/>
          </w:tcPr>
          <w:p>
            <w:pPr>
              <w:spacing w:after="0"/>
              <w:rPr>
                <w:sz w:val="15"/>
                <w:szCs w:val="15"/>
                <w:color w:val="auto"/>
              </w:rPr>
            </w:pPr>
          </w:p>
        </w:tc>
        <w:tc>
          <w:tcPr>
            <w:tcW w:w="4840" w:type="dxa"/>
            <w:vAlign w:val="bottom"/>
            <w:tcBorders>
              <w:bottom w:val="single" w:sz="8" w:color="32406B"/>
              <w:right w:val="single" w:sz="8" w:color="32406B"/>
            </w:tcBorders>
            <w:vMerge w:val="continue"/>
          </w:tcPr>
          <w:p>
            <w:pPr>
              <w:spacing w:after="0"/>
              <w:rPr>
                <w:sz w:val="15"/>
                <w:szCs w:val="15"/>
                <w:color w:val="auto"/>
              </w:rPr>
            </w:pPr>
          </w:p>
        </w:tc>
        <w:tc>
          <w:tcPr>
            <w:tcW w:w="1260" w:type="dxa"/>
            <w:vAlign w:val="bottom"/>
            <w:tcBorders>
              <w:bottom w:val="single" w:sz="8" w:color="32406B"/>
              <w:right w:val="single" w:sz="8" w:color="32406B"/>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32406B"/>
              </w:rPr>
              <w:t>Administration</w:t>
            </w:r>
          </w:p>
        </w:tc>
        <w:tc>
          <w:tcPr>
            <w:tcW w:w="580" w:type="dxa"/>
            <w:vAlign w:val="bottom"/>
            <w:tcBorders>
              <w:bottom w:val="single" w:sz="8" w:color="32406B"/>
              <w:right w:val="single" w:sz="8" w:color="32406B"/>
            </w:tcBorders>
          </w:tcPr>
          <w:p>
            <w:pPr>
              <w:jc w:val="center"/>
              <w:ind w:left="103"/>
              <w:spacing w:after="0"/>
              <w:rPr>
                <w:sz w:val="20"/>
                <w:szCs w:val="20"/>
                <w:color w:val="auto"/>
              </w:rPr>
            </w:pPr>
            <w:r>
              <w:rPr>
                <w:rFonts w:ascii="Times New Roman" w:cs="Times New Roman" w:eastAsia="Times New Roman" w:hAnsi="Times New Roman"/>
                <w:sz w:val="14"/>
                <w:szCs w:val="14"/>
                <w:b w:val="1"/>
                <w:bCs w:val="1"/>
                <w:color w:val="32406B"/>
              </w:rPr>
              <w:t>Phase</w:t>
            </w:r>
          </w:p>
        </w:tc>
        <w:tc>
          <w:tcPr>
            <w:tcW w:w="1880" w:type="dxa"/>
            <w:vAlign w:val="bottom"/>
            <w:tcBorders>
              <w:bottom w:val="single" w:sz="8" w:color="32406B"/>
              <w:right w:val="single" w:sz="8" w:color="32406B"/>
            </w:tcBorders>
          </w:tcPr>
          <w:p>
            <w:pPr>
              <w:jc w:val="center"/>
              <w:ind w:left="283"/>
              <w:spacing w:after="0"/>
              <w:rPr>
                <w:sz w:val="20"/>
                <w:szCs w:val="20"/>
                <w:color w:val="auto"/>
              </w:rPr>
            </w:pPr>
            <w:r>
              <w:rPr>
                <w:rFonts w:ascii="Times New Roman" w:cs="Times New Roman" w:eastAsia="Times New Roman" w:hAnsi="Times New Roman"/>
                <w:sz w:val="14"/>
                <w:szCs w:val="14"/>
                <w:b w:val="1"/>
                <w:bCs w:val="1"/>
                <w:color w:val="32406B"/>
              </w:rPr>
              <w:t>Therapy</w:t>
            </w:r>
          </w:p>
        </w:tc>
        <w:tc>
          <w:tcPr>
            <w:tcW w:w="0" w:type="dxa"/>
            <w:vAlign w:val="bottom"/>
          </w:tcPr>
          <w:p>
            <w:pPr>
              <w:spacing w:after="0"/>
              <w:rPr>
                <w:sz w:val="1"/>
                <w:szCs w:val="1"/>
                <w:color w:val="auto"/>
              </w:rPr>
            </w:pPr>
          </w:p>
        </w:tc>
      </w:tr>
      <w:tr>
        <w:trPr>
          <w:trHeight w:val="196"/>
        </w:trPr>
        <w:tc>
          <w:tcPr>
            <w:tcW w:w="1000" w:type="dxa"/>
            <w:vAlign w:val="bottom"/>
            <w:tcBorders>
              <w:left w:val="single" w:sz="8" w:color="32406B"/>
              <w:right w:val="single" w:sz="8" w:color="32406B"/>
            </w:tcBorders>
          </w:tcPr>
          <w:p>
            <w:pPr>
              <w:ind w:left="160"/>
              <w:spacing w:after="0"/>
              <w:rPr>
                <w:sz w:val="20"/>
                <w:szCs w:val="20"/>
                <w:color w:val="auto"/>
              </w:rPr>
            </w:pPr>
            <w:r>
              <w:rPr>
                <w:rFonts w:ascii="Times New Roman" w:cs="Times New Roman" w:eastAsia="Times New Roman" w:hAnsi="Times New Roman"/>
                <w:sz w:val="16"/>
                <w:szCs w:val="16"/>
                <w:color w:val="32406B"/>
              </w:rPr>
              <w:t>KalVista</w:t>
            </w:r>
          </w:p>
        </w:tc>
        <w:tc>
          <w:tcPr>
            <w:tcW w:w="170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KVD900</w:t>
            </w:r>
          </w:p>
        </w:tc>
        <w:tc>
          <w:tcPr>
            <w:tcW w:w="484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Kallikrein inhibitor</w:t>
            </w:r>
          </w:p>
        </w:tc>
        <w:tc>
          <w:tcPr>
            <w:tcW w:w="1260" w:type="dxa"/>
            <w:vAlign w:val="bottom"/>
            <w:tcBorders>
              <w:bottom w:val="single" w:sz="8" w:color="32406B"/>
              <w:right w:val="single" w:sz="8" w:color="32406B"/>
            </w:tcBorders>
          </w:tcPr>
          <w:p>
            <w:pPr>
              <w:jc w:val="right"/>
              <w:ind w:right="163"/>
              <w:spacing w:after="0"/>
              <w:rPr>
                <w:sz w:val="20"/>
                <w:szCs w:val="20"/>
                <w:color w:val="auto"/>
              </w:rPr>
            </w:pPr>
            <w:r>
              <w:rPr>
                <w:rFonts w:ascii="Times New Roman" w:cs="Times New Roman" w:eastAsia="Times New Roman" w:hAnsi="Times New Roman"/>
                <w:sz w:val="16"/>
                <w:szCs w:val="16"/>
                <w:color w:val="32406B"/>
              </w:rPr>
              <w:t>Oral</w:t>
            </w:r>
          </w:p>
        </w:tc>
        <w:tc>
          <w:tcPr>
            <w:tcW w:w="580" w:type="dxa"/>
            <w:vAlign w:val="bottom"/>
            <w:tcBorders>
              <w:bottom w:val="single" w:sz="8" w:color="32406B"/>
              <w:right w:val="single" w:sz="8" w:color="32406B"/>
            </w:tcBorders>
          </w:tcPr>
          <w:p>
            <w:pPr>
              <w:jc w:val="center"/>
              <w:ind w:left="103"/>
              <w:spacing w:after="0"/>
              <w:rPr>
                <w:sz w:val="20"/>
                <w:szCs w:val="20"/>
                <w:color w:val="auto"/>
              </w:rPr>
            </w:pPr>
            <w:r>
              <w:rPr>
                <w:rFonts w:ascii="Times New Roman" w:cs="Times New Roman" w:eastAsia="Times New Roman" w:hAnsi="Times New Roman"/>
                <w:sz w:val="16"/>
                <w:szCs w:val="16"/>
                <w:color w:val="32406B"/>
                <w:w w:val="99"/>
              </w:rPr>
              <w:t>2</w:t>
            </w:r>
          </w:p>
        </w:tc>
        <w:tc>
          <w:tcPr>
            <w:tcW w:w="1880" w:type="dxa"/>
            <w:vAlign w:val="bottom"/>
            <w:tcBorders>
              <w:bottom w:val="single" w:sz="8" w:color="32406B"/>
              <w:right w:val="single" w:sz="8" w:color="32406B"/>
            </w:tcBorders>
          </w:tcPr>
          <w:p>
            <w:pPr>
              <w:jc w:val="center"/>
              <w:ind w:left="283"/>
              <w:spacing w:after="0"/>
              <w:rPr>
                <w:sz w:val="20"/>
                <w:szCs w:val="20"/>
                <w:color w:val="auto"/>
              </w:rPr>
            </w:pPr>
            <w:r>
              <w:rPr>
                <w:rFonts w:ascii="Times New Roman" w:cs="Times New Roman" w:eastAsia="Times New Roman" w:hAnsi="Times New Roman"/>
                <w:sz w:val="16"/>
                <w:szCs w:val="16"/>
                <w:color w:val="32406B"/>
              </w:rPr>
              <w:t>Acute treatment</w:t>
            </w:r>
          </w:p>
        </w:tc>
        <w:tc>
          <w:tcPr>
            <w:tcW w:w="0" w:type="dxa"/>
            <w:vAlign w:val="bottom"/>
          </w:tcPr>
          <w:p>
            <w:pPr>
              <w:spacing w:after="0"/>
              <w:rPr>
                <w:sz w:val="1"/>
                <w:szCs w:val="1"/>
                <w:color w:val="auto"/>
              </w:rPr>
            </w:pPr>
          </w:p>
        </w:tc>
      </w:tr>
      <w:tr>
        <w:trPr>
          <w:trHeight w:val="196"/>
        </w:trPr>
        <w:tc>
          <w:tcPr>
            <w:tcW w:w="1000" w:type="dxa"/>
            <w:vAlign w:val="bottom"/>
            <w:tcBorders>
              <w:left w:val="single" w:sz="8" w:color="32406B"/>
              <w:bottom w:val="single" w:sz="8" w:color="32406B"/>
              <w:right w:val="single" w:sz="8" w:color="32406B"/>
            </w:tcBorders>
          </w:tcPr>
          <w:p>
            <w:pPr>
              <w:spacing w:after="0"/>
              <w:rPr>
                <w:sz w:val="17"/>
                <w:szCs w:val="17"/>
                <w:color w:val="auto"/>
              </w:rPr>
            </w:pPr>
          </w:p>
        </w:tc>
        <w:tc>
          <w:tcPr>
            <w:tcW w:w="170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KVD824</w:t>
            </w:r>
          </w:p>
        </w:tc>
        <w:tc>
          <w:tcPr>
            <w:tcW w:w="484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Kallikrein inhibitor</w:t>
            </w:r>
          </w:p>
        </w:tc>
        <w:tc>
          <w:tcPr>
            <w:tcW w:w="1260" w:type="dxa"/>
            <w:vAlign w:val="bottom"/>
            <w:tcBorders>
              <w:bottom w:val="single" w:sz="8" w:color="32406B"/>
              <w:right w:val="single" w:sz="8" w:color="32406B"/>
            </w:tcBorders>
          </w:tcPr>
          <w:p>
            <w:pPr>
              <w:jc w:val="right"/>
              <w:ind w:right="163"/>
              <w:spacing w:after="0"/>
              <w:rPr>
                <w:sz w:val="20"/>
                <w:szCs w:val="20"/>
                <w:color w:val="auto"/>
              </w:rPr>
            </w:pPr>
            <w:r>
              <w:rPr>
                <w:rFonts w:ascii="Times New Roman" w:cs="Times New Roman" w:eastAsia="Times New Roman" w:hAnsi="Times New Roman"/>
                <w:sz w:val="16"/>
                <w:szCs w:val="16"/>
                <w:color w:val="32406B"/>
              </w:rPr>
              <w:t>Oral</w:t>
            </w:r>
          </w:p>
        </w:tc>
        <w:tc>
          <w:tcPr>
            <w:tcW w:w="580" w:type="dxa"/>
            <w:vAlign w:val="bottom"/>
            <w:tcBorders>
              <w:bottom w:val="single" w:sz="8" w:color="32406B"/>
              <w:right w:val="single" w:sz="8" w:color="32406B"/>
            </w:tcBorders>
          </w:tcPr>
          <w:p>
            <w:pPr>
              <w:jc w:val="center"/>
              <w:ind w:left="103"/>
              <w:spacing w:after="0"/>
              <w:rPr>
                <w:sz w:val="20"/>
                <w:szCs w:val="20"/>
                <w:color w:val="auto"/>
              </w:rPr>
            </w:pPr>
            <w:r>
              <w:rPr>
                <w:rFonts w:ascii="Times New Roman" w:cs="Times New Roman" w:eastAsia="Times New Roman" w:hAnsi="Times New Roman"/>
                <w:sz w:val="16"/>
                <w:szCs w:val="16"/>
                <w:color w:val="32406B"/>
                <w:w w:val="99"/>
              </w:rPr>
              <w:t>1</w:t>
            </w:r>
          </w:p>
        </w:tc>
        <w:tc>
          <w:tcPr>
            <w:tcW w:w="1880" w:type="dxa"/>
            <w:vAlign w:val="bottom"/>
            <w:tcBorders>
              <w:bottom w:val="single" w:sz="8" w:color="32406B"/>
              <w:right w:val="single" w:sz="8" w:color="32406B"/>
            </w:tcBorders>
          </w:tcPr>
          <w:p>
            <w:pPr>
              <w:jc w:val="center"/>
              <w:ind w:left="283"/>
              <w:spacing w:after="0"/>
              <w:rPr>
                <w:sz w:val="20"/>
                <w:szCs w:val="20"/>
                <w:color w:val="auto"/>
              </w:rPr>
            </w:pPr>
            <w:r>
              <w:rPr>
                <w:rFonts w:ascii="Times New Roman" w:cs="Times New Roman" w:eastAsia="Times New Roman" w:hAnsi="Times New Roman"/>
                <w:sz w:val="16"/>
                <w:szCs w:val="16"/>
                <w:color w:val="32406B"/>
                <w:w w:val="99"/>
              </w:rPr>
              <w:t>Prophylaxis</w:t>
            </w:r>
          </w:p>
        </w:tc>
        <w:tc>
          <w:tcPr>
            <w:tcW w:w="0" w:type="dxa"/>
            <w:vAlign w:val="bottom"/>
          </w:tcPr>
          <w:p>
            <w:pPr>
              <w:spacing w:after="0"/>
              <w:rPr>
                <w:sz w:val="1"/>
                <w:szCs w:val="1"/>
                <w:color w:val="auto"/>
              </w:rPr>
            </w:pPr>
          </w:p>
        </w:tc>
      </w:tr>
      <w:tr>
        <w:trPr>
          <w:trHeight w:val="196"/>
        </w:trPr>
        <w:tc>
          <w:tcPr>
            <w:tcW w:w="1000" w:type="dxa"/>
            <w:vAlign w:val="bottom"/>
            <w:tcBorders>
              <w:left w:val="single" w:sz="8" w:color="32406B"/>
              <w:bottom w:val="single" w:sz="8" w:color="32406B"/>
              <w:right w:val="single" w:sz="8" w:color="32406B"/>
            </w:tcBorders>
          </w:tcPr>
          <w:p>
            <w:pPr>
              <w:ind w:left="160"/>
              <w:spacing w:after="0"/>
              <w:rPr>
                <w:sz w:val="20"/>
                <w:szCs w:val="20"/>
                <w:color w:val="auto"/>
              </w:rPr>
            </w:pPr>
            <w:r>
              <w:rPr>
                <w:rFonts w:ascii="Times New Roman" w:cs="Times New Roman" w:eastAsia="Times New Roman" w:hAnsi="Times New Roman"/>
                <w:sz w:val="16"/>
                <w:szCs w:val="16"/>
                <w:color w:val="32406B"/>
              </w:rPr>
              <w:t>Attune</w:t>
            </w:r>
          </w:p>
        </w:tc>
        <w:tc>
          <w:tcPr>
            <w:tcW w:w="170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ATN-249</w:t>
            </w:r>
          </w:p>
        </w:tc>
        <w:tc>
          <w:tcPr>
            <w:tcW w:w="4840" w:type="dxa"/>
            <w:vAlign w:val="bottom"/>
            <w:tcBorders>
              <w:bottom w:val="single" w:sz="8" w:color="32406B"/>
              <w:right w:val="single" w:sz="8" w:color="32406B"/>
            </w:tcBorders>
          </w:tcPr>
          <w:p>
            <w:pPr>
              <w:ind w:left="300"/>
              <w:spacing w:after="0"/>
              <w:rPr>
                <w:sz w:val="20"/>
                <w:szCs w:val="20"/>
                <w:color w:val="auto"/>
              </w:rPr>
            </w:pPr>
            <w:r>
              <w:rPr>
                <w:rFonts w:ascii="Times New Roman" w:cs="Times New Roman" w:eastAsia="Times New Roman" w:hAnsi="Times New Roman"/>
                <w:sz w:val="16"/>
                <w:szCs w:val="16"/>
                <w:color w:val="32406B"/>
              </w:rPr>
              <w:t>Kallikrein inhibitor</w:t>
            </w:r>
          </w:p>
        </w:tc>
        <w:tc>
          <w:tcPr>
            <w:tcW w:w="1260" w:type="dxa"/>
            <w:vAlign w:val="bottom"/>
            <w:tcBorders>
              <w:bottom w:val="single" w:sz="8" w:color="32406B"/>
              <w:right w:val="single" w:sz="8" w:color="32406B"/>
            </w:tcBorders>
          </w:tcPr>
          <w:p>
            <w:pPr>
              <w:jc w:val="right"/>
              <w:ind w:right="163"/>
              <w:spacing w:after="0"/>
              <w:rPr>
                <w:sz w:val="20"/>
                <w:szCs w:val="20"/>
                <w:color w:val="auto"/>
              </w:rPr>
            </w:pPr>
            <w:r>
              <w:rPr>
                <w:rFonts w:ascii="Times New Roman" w:cs="Times New Roman" w:eastAsia="Times New Roman" w:hAnsi="Times New Roman"/>
                <w:sz w:val="16"/>
                <w:szCs w:val="16"/>
                <w:color w:val="32406B"/>
              </w:rPr>
              <w:t>Oral</w:t>
            </w:r>
          </w:p>
        </w:tc>
        <w:tc>
          <w:tcPr>
            <w:tcW w:w="580" w:type="dxa"/>
            <w:vAlign w:val="bottom"/>
            <w:tcBorders>
              <w:bottom w:val="single" w:sz="8" w:color="32406B"/>
              <w:right w:val="single" w:sz="8" w:color="32406B"/>
            </w:tcBorders>
          </w:tcPr>
          <w:p>
            <w:pPr>
              <w:jc w:val="center"/>
              <w:ind w:left="103"/>
              <w:spacing w:after="0"/>
              <w:rPr>
                <w:sz w:val="20"/>
                <w:szCs w:val="20"/>
                <w:color w:val="auto"/>
              </w:rPr>
            </w:pPr>
            <w:r>
              <w:rPr>
                <w:rFonts w:ascii="Times New Roman" w:cs="Times New Roman" w:eastAsia="Times New Roman" w:hAnsi="Times New Roman"/>
                <w:sz w:val="16"/>
                <w:szCs w:val="16"/>
                <w:color w:val="32406B"/>
                <w:w w:val="99"/>
              </w:rPr>
              <w:t>1</w:t>
            </w:r>
          </w:p>
        </w:tc>
        <w:tc>
          <w:tcPr>
            <w:tcW w:w="1880" w:type="dxa"/>
            <w:vAlign w:val="bottom"/>
            <w:tcBorders>
              <w:bottom w:val="single" w:sz="8" w:color="32406B"/>
              <w:right w:val="single" w:sz="8" w:color="32406B"/>
            </w:tcBorders>
          </w:tcPr>
          <w:p>
            <w:pPr>
              <w:jc w:val="center"/>
              <w:ind w:left="283"/>
              <w:spacing w:after="0"/>
              <w:rPr>
                <w:sz w:val="20"/>
                <w:szCs w:val="20"/>
                <w:color w:val="auto"/>
              </w:rPr>
            </w:pPr>
            <w:r>
              <w:rPr>
                <w:rFonts w:ascii="Times New Roman" w:cs="Times New Roman" w:eastAsia="Times New Roman" w:hAnsi="Times New Roman"/>
                <w:sz w:val="16"/>
                <w:szCs w:val="16"/>
                <w:color w:val="32406B"/>
                <w:w w:val="99"/>
              </w:rPr>
              <w:t>Prophylaxis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We believe that the properties and mechanism of PHA121 enable us to develop oral product candidates that will be generally more convenient for patients to take, without sacrificing efficacy for treatment or prevention of angioedema attacks. For example, the known oral kallikrein inhibitors tested in on-demand settings to date have utilized doses that are more than twenty-fold higher than the dose we predict for PHVS416, and have not yet demonstrated efficacy matching the approved injectable products. In the prophylactic setting, oral kallikrein inhibitors have not yet demonstrated efficacy similar to the approved injectable products, and have used or are projected to use doses much higher than we project for PHVS719.</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Related indications to BK</w:t>
      </w:r>
    </w:p>
    <w:p>
      <w:pPr>
        <w:spacing w:after="0" w:line="121"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8"/>
          <w:szCs w:val="18"/>
          <w:color w:val="32406B"/>
        </w:rPr>
        <w:t>In addition to Type 1 or Type 2 HAE, bradykinin is also an important mediator for other types of non-histaminergic angioedema, such as: non-histaminergic angioedema with normal C1-INH and acquired angioedema (AAE) due to C1-INH deficiency. Unlike HAE Types 1/2, for the other forms of non-histaminergic angioedema, an unclear pathophysiology and lack of consistent diagnostic criteria have limited the opportunity for the clinical investigation and new treatment development. Consequently, there are still no approved treatments for non-histaminergic angioedema patients with normal C1-INH or AAE due to C1-INH deficiency, who are unresponsive to conventional antihistamine/glucocorticoid treatment and have a high unmet medical need for effective modern therapies. Recently the clinical research for non-histaminergic angioedema has made significant progress. Similar to Type 1 or 2 HAE, the kinin pathway potentially plays a critical role in the underlying pathophysiology of non-histaminergic angioedema, for example, bradykinin has been shown to be elevated in plasma from non-histaminergic angioedema patients during acute attacks and several clinical reports indicate that icatibant has successfully treated acute attacks in either non-histaminergic angioedema patients with normal C1-INH or AAE due to C1-INH deficiency patients. All these provide strong rationales to expand the development PHVS416 and PHVS719 to these types of BK-mediated angioedema and address the high unmet medical need.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PHA121</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Overview</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Since the 1990s, many companies have tried but failed to discover oral bradykinin-B2-receptor antagonists, as the bradykinin B2 receptor has proved to be a difficult target for the development of orally available antagonists. Historically, compounds targeting the bradykinin B2 receptor with adequate potency have had</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32406B"/>
        </w:rPr>
        <w:t>101</w:t>
      </w:r>
    </w:p>
    <w:p>
      <w:pPr>
        <w:sectPr>
          <w:pgSz w:w="11900" w:h="16838" w:orient="portrait"/>
          <w:cols w:equalWidth="0" w:num="1">
            <w:col w:w="11260"/>
          </w:cols>
          <w:pgMar w:left="320" w:top="455" w:right="31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32406B"/>
        </w:rPr>
        <w:t>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 B2 receptor, preventing or halting its signaling activity, while also possessing desirable physicochemical properties and other profiling characteristics.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Bradykinin is the principal mediator of the signs and symptoms that represent acute HAE and other bradykinin-mediated angioedema attacks.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Bradykinin is a potent and selective agonist of the bradykinin B2 receptor.</w:t>
      </w:r>
    </w:p>
    <w:p>
      <w:pPr>
        <w:spacing w:after="0" w:line="207"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32406B"/>
        </w:rPr>
        <w:t>In HAE and other bradykinin-mediated angioedema, contact activation triggers increased activity of plasma kallikrein, resulting in excessive breakdown of high-molecular-weight kininogen (HMWK) and increased production of cleaved HMWK (cHMWK) and bradykinin.</w:t>
      </w:r>
    </w:p>
    <w:p>
      <w:pPr>
        <w:spacing w:after="0" w:line="162" w:lineRule="exact"/>
        <w:rPr>
          <w:sz w:val="20"/>
          <w:szCs w:val="20"/>
          <w:color w:val="auto"/>
        </w:rPr>
      </w:pPr>
    </w:p>
    <w:p>
      <w:pPr>
        <w:ind w:right="920" w:firstLine="449"/>
        <w:spacing w:after="0" w:line="282" w:lineRule="auto"/>
        <w:rPr>
          <w:sz w:val="20"/>
          <w:szCs w:val="20"/>
          <w:color w:val="auto"/>
        </w:rPr>
      </w:pPr>
      <w:r>
        <w:rPr>
          <w:rFonts w:ascii="Times New Roman" w:cs="Times New Roman" w:eastAsia="Times New Roman" w:hAnsi="Times New Roman"/>
          <w:sz w:val="18"/>
          <w:szCs w:val="18"/>
          <w:color w:val="32406B"/>
        </w:rPr>
        <w:t>Excessive bradykinin generation, as in HAE, promotes vascular permeability by activating the bradykinin B2 receptor, leading to plasma extravasation and subcutaneous or submucosal tissue swelling typical of an angioedema attack.</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As the figure below illustrates, treatment with PHA121,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PHA121 therefore has the therapeutic potential for both acute on-demand treatment and long-term prevention of attacks in patients with bradykinin-mediated angioedema.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8289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86045"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102</w:t>
      </w:r>
    </w:p>
    <w:p>
      <w:pPr>
        <w:sectPr>
          <w:pgSz w:w="11900" w:h="16838" w:orient="portrait"/>
          <w:cols w:equalWidth="0" w:num="1">
            <w:col w:w="11240"/>
          </w:cols>
          <w:pgMar w:left="320" w:top="455" w:right="3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PHA121 combines the preclinical selectivity of bradykinin-B2-receptor antagonism with oral bioavailability and extended exposure upon a single dose. PHA121 is being developed to become the first effective orally administered antagonist of BK activity with therapeutic potential for both acute on-demand treatment and long-term prevention of attacks in patients with HAE and other BK-mediated angioedema.</w:t>
      </w:r>
    </w:p>
    <w:p>
      <w:pPr>
        <w:spacing w:after="0" w:line="176"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 xml:space="preserve">PHA121 is an orally bioavailable competitive antagonist of the bradykinin B2 receptor with high affinity and high antagonist potency. PHA121 has been observed to be a potent inhibitor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as assessed using human recombinant bradykinin B2 receptors (150 pM); </w:t>
      </w:r>
      <w:r>
        <w:rPr>
          <w:rFonts w:ascii="Times New Roman" w:cs="Times New Roman" w:eastAsia="Times New Roman" w:hAnsi="Times New Roman"/>
          <w:sz w:val="18"/>
          <w:szCs w:val="18"/>
          <w:i w:val="1"/>
          <w:iCs w:val="1"/>
          <w:color w:val="32406B"/>
        </w:rPr>
        <w:t>ex vivo</w:t>
      </w:r>
      <w:r>
        <w:rPr>
          <w:rFonts w:ascii="Times New Roman" w:cs="Times New Roman" w:eastAsia="Times New Roman" w:hAnsi="Times New Roman"/>
          <w:sz w:val="18"/>
          <w:szCs w:val="18"/>
          <w:color w:val="32406B"/>
        </w:rPr>
        <w:t xml:space="preserve"> as studied against endogenous bradykinin B2 receptors in a human umbilical vein model (350 pM);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in the human bradykinin-challenge model (170 pM). PHA121 demonstrated 5000-fold selectivity for the bradykinin B2 receptor when compared to approximately 170 other molecular targets, including the bradykinin B1 receptor. As shown in the graphs below depicting mean arterial blood pressure (MABP) in a bradykinin challenge study in monkeys (back-translated from human), PHA121 showed clear dose-dependent activity. While differences between human and monkey PK prevent direct extrapolation to human dose, PHA121 demonstrated longer duration and faster onset of activity than injected icatibant in the same study.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32406B"/>
        </w:rPr>
        <w:t>BK-Challenge in Pre-Clinical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173990</wp:posOffset>
            </wp:positionV>
            <wp:extent cx="4389120" cy="2528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8912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103</w:t>
      </w:r>
    </w:p>
    <w:p>
      <w:pPr>
        <w:sectPr>
          <w:pgSz w:w="11900" w:h="16838" w:orient="portrait"/>
          <w:cols w:equalWidth="0" w:num="1">
            <w:col w:w="11180"/>
          </w:cols>
          <w:pgMar w:left="320" w:top="455" w:right="39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208280</wp:posOffset>
            </wp:positionV>
            <wp:extent cx="4389120" cy="2228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891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32406B"/>
        </w:rPr>
        <w:t>In a published study conducted by the Company, a dose of 0.6mg/kg sc icatibant was used in monkeys, as PK data indicated that this dose would provide an exposure (C</w:t>
      </w:r>
      <w:r>
        <w:rPr>
          <w:rFonts w:ascii="Times New Roman" w:cs="Times New Roman" w:eastAsia="Times New Roman" w:hAnsi="Times New Roman"/>
          <w:sz w:val="15"/>
          <w:szCs w:val="15"/>
          <w:color w:val="32406B"/>
        </w:rPr>
        <w:t>max</w:t>
      </w:r>
      <w:r>
        <w:rPr>
          <w:rFonts w:ascii="Times New Roman" w:cs="Times New Roman" w:eastAsia="Times New Roman" w:hAnsi="Times New Roman"/>
          <w:sz w:val="18"/>
          <w:szCs w:val="18"/>
          <w:color w:val="32406B"/>
        </w:rPr>
        <w:t xml:space="preserve"> 1,044 ng/ml, AUC 2,155 ng*h/ml, PHA0221-NC041) similar to the exposures seen in humans at a therapeutic dose of 30 mg sc (C</w:t>
      </w:r>
      <w:r>
        <w:rPr>
          <w:rFonts w:ascii="Times New Roman" w:cs="Times New Roman" w:eastAsia="Times New Roman" w:hAnsi="Times New Roman"/>
          <w:sz w:val="15"/>
          <w:szCs w:val="15"/>
          <w:color w:val="32406B"/>
        </w:rPr>
        <w:t>max</w:t>
      </w:r>
      <w:r>
        <w:rPr>
          <w:rFonts w:ascii="Times New Roman" w:cs="Times New Roman" w:eastAsia="Times New Roman" w:hAnsi="Times New Roman"/>
          <w:sz w:val="18"/>
          <w:szCs w:val="18"/>
          <w:color w:val="32406B"/>
        </w:rPr>
        <w:t xml:space="preserve"> 979 ng/ml, AUC 2,191 ng*h/ml). The dose was found to effectively antagonize the BK challenge in monkeys up to six hours after dosing, similar to its duration of action in humans. The maximal effect of icatibant in this model was reached at the second measure time point, two hours after dosing. The vehicle in the icatibant study was saline.</w:t>
      </w:r>
    </w:p>
    <w:p>
      <w:pPr>
        <w:spacing w:after="0" w:line="183"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PHA121 inhibited the BK-induced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BK-induced changes in MABP at two hours after dosing.</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Preclinical Toxicology</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We conducted secondary and safety pharmacology studies for PHA121 which did not reveal any safety concerns at exposure levels achieved or anticipated in conducted or planned clinical trials. In addition, PHA121 did not demonstrate any genotoxic or phototoxic potential. In repeat-dose general toxicity Good Laboratory Practices, or GLP studies in the rat and cynomolgus monkey of up to 3 months duration, and at doses up to the maximum tolerated in each species, no target organs of toxicity considered relevant to humans were observed. Functional assessment of male and female fertility is not yet complete but from repeat-dose GLP toxicity studies in rat and monkey, of up to 3 months duration, there are no organ weight or histopathological changes of concern in the reproductive tract of either gender. Furthermore, PHA121 has not demonstrated any adverse effects on embryo-fetal development in dose-range-finding embryo-fetal development studies in the humanized bradykinin-B2-receptor transgenic rat or in the rabbit.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104</w:t>
      </w:r>
    </w:p>
    <w:p>
      <w:pPr>
        <w:sectPr>
          <w:pgSz w:w="11900" w:h="16838" w:orient="portrait"/>
          <w:cols w:equalWidth="0" w:num="1">
            <w:col w:w="11220"/>
          </w:cols>
          <w:pgMar w:left="320" w:top="455" w:right="3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Clinical Trial Program</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540" w:type="dxa"/>
            <w:vAlign w:val="bottom"/>
            <w:tcBorders>
              <w:top w:val="single" w:sz="8" w:color="32406B"/>
              <w:left w:val="single" w:sz="8" w:color="32406B"/>
              <w:right w:val="single" w:sz="8" w:color="32406B"/>
            </w:tcBorders>
          </w:tcPr>
          <w:p>
            <w:pPr>
              <w:ind w:left="160"/>
              <w:spacing w:after="0"/>
              <w:rPr>
                <w:sz w:val="20"/>
                <w:szCs w:val="20"/>
                <w:color w:val="auto"/>
              </w:rPr>
            </w:pPr>
            <w:r>
              <w:rPr>
                <w:rFonts w:ascii="Times New Roman" w:cs="Times New Roman" w:eastAsia="Times New Roman" w:hAnsi="Times New Roman"/>
                <w:sz w:val="14"/>
                <w:szCs w:val="14"/>
                <w:b w:val="1"/>
                <w:bCs w:val="1"/>
                <w:color w:val="32406B"/>
              </w:rPr>
              <w:t>Study Number</w:t>
            </w:r>
          </w:p>
        </w:tc>
        <w:tc>
          <w:tcPr>
            <w:tcW w:w="1680" w:type="dxa"/>
            <w:vAlign w:val="bottom"/>
            <w:tcBorders>
              <w:top w:val="single" w:sz="8" w:color="32406B"/>
              <w:right w:val="single" w:sz="8" w:color="32406B"/>
            </w:tcBorders>
          </w:tcPr>
          <w:p>
            <w:pPr>
              <w:ind w:left="200"/>
              <w:spacing w:after="0"/>
              <w:rPr>
                <w:sz w:val="20"/>
                <w:szCs w:val="20"/>
                <w:color w:val="auto"/>
              </w:rPr>
            </w:pPr>
            <w:r>
              <w:rPr>
                <w:rFonts w:ascii="Times New Roman" w:cs="Times New Roman" w:eastAsia="Times New Roman" w:hAnsi="Times New Roman"/>
                <w:sz w:val="14"/>
                <w:szCs w:val="14"/>
                <w:b w:val="1"/>
                <w:bCs w:val="1"/>
                <w:color w:val="32406B"/>
              </w:rPr>
              <w:t>Short Description</w:t>
            </w:r>
          </w:p>
        </w:tc>
        <w:tc>
          <w:tcPr>
            <w:tcW w:w="7060" w:type="dxa"/>
            <w:vAlign w:val="bottom"/>
            <w:tcBorders>
              <w:top w:val="single" w:sz="8" w:color="32406B"/>
              <w:right w:val="single" w:sz="8" w:color="32406B"/>
            </w:tcBorders>
          </w:tcPr>
          <w:p>
            <w:pPr>
              <w:ind w:left="3520"/>
              <w:spacing w:after="0"/>
              <w:rPr>
                <w:sz w:val="20"/>
                <w:szCs w:val="20"/>
                <w:color w:val="auto"/>
              </w:rPr>
            </w:pPr>
            <w:r>
              <w:rPr>
                <w:rFonts w:ascii="Times New Roman" w:cs="Times New Roman" w:eastAsia="Times New Roman" w:hAnsi="Times New Roman"/>
                <w:sz w:val="14"/>
                <w:szCs w:val="14"/>
                <w:b w:val="1"/>
                <w:bCs w:val="1"/>
                <w:color w:val="32406B"/>
              </w:rPr>
              <w:t>Design</w:t>
            </w:r>
          </w:p>
        </w:tc>
        <w:tc>
          <w:tcPr>
            <w:tcW w:w="980" w:type="dxa"/>
            <w:vAlign w:val="bottom"/>
            <w:tcBorders>
              <w:top w:val="single" w:sz="8" w:color="32406B"/>
              <w:right w:val="single" w:sz="8" w:color="32406B"/>
            </w:tcBorders>
          </w:tcPr>
          <w:p>
            <w:pPr>
              <w:ind w:left="320"/>
              <w:spacing w:after="0"/>
              <w:rPr>
                <w:sz w:val="20"/>
                <w:szCs w:val="20"/>
                <w:color w:val="auto"/>
              </w:rPr>
            </w:pPr>
            <w:r>
              <w:rPr>
                <w:rFonts w:ascii="Times New Roman" w:cs="Times New Roman" w:eastAsia="Times New Roman" w:hAnsi="Times New Roman"/>
                <w:sz w:val="14"/>
                <w:szCs w:val="14"/>
                <w:b w:val="1"/>
                <w:bCs w:val="1"/>
                <w:color w:val="32406B"/>
              </w:rPr>
              <w:t>Status</w:t>
            </w:r>
          </w:p>
        </w:tc>
      </w:tr>
      <w:tr>
        <w:trPr>
          <w:trHeight w:val="37"/>
        </w:trPr>
        <w:tc>
          <w:tcPr>
            <w:tcW w:w="1540" w:type="dxa"/>
            <w:vAlign w:val="bottom"/>
            <w:tcBorders>
              <w:left w:val="single" w:sz="8" w:color="32406B"/>
              <w:bottom w:val="single" w:sz="8" w:color="32406B"/>
              <w:right w:val="single" w:sz="8" w:color="32406B"/>
            </w:tcBorders>
          </w:tcPr>
          <w:p>
            <w:pPr>
              <w:spacing w:after="0"/>
              <w:rPr>
                <w:sz w:val="3"/>
                <w:szCs w:val="3"/>
                <w:color w:val="auto"/>
              </w:rPr>
            </w:pPr>
          </w:p>
        </w:tc>
        <w:tc>
          <w:tcPr>
            <w:tcW w:w="1680" w:type="dxa"/>
            <w:vAlign w:val="bottom"/>
            <w:tcBorders>
              <w:bottom w:val="single" w:sz="8" w:color="32406B"/>
              <w:right w:val="single" w:sz="8" w:color="32406B"/>
            </w:tcBorders>
          </w:tcPr>
          <w:p>
            <w:pPr>
              <w:spacing w:after="0"/>
              <w:rPr>
                <w:sz w:val="3"/>
                <w:szCs w:val="3"/>
                <w:color w:val="auto"/>
              </w:rPr>
            </w:pPr>
          </w:p>
        </w:tc>
        <w:tc>
          <w:tcPr>
            <w:tcW w:w="7060" w:type="dxa"/>
            <w:vAlign w:val="bottom"/>
            <w:tcBorders>
              <w:bottom w:val="single" w:sz="8" w:color="32406B"/>
              <w:right w:val="single" w:sz="8" w:color="32406B"/>
            </w:tcBorders>
          </w:tcPr>
          <w:p>
            <w:pPr>
              <w:spacing w:after="0"/>
              <w:rPr>
                <w:sz w:val="3"/>
                <w:szCs w:val="3"/>
                <w:color w:val="auto"/>
              </w:rPr>
            </w:pPr>
          </w:p>
        </w:tc>
        <w:tc>
          <w:tcPr>
            <w:tcW w:w="980" w:type="dxa"/>
            <w:vAlign w:val="bottom"/>
            <w:tcBorders>
              <w:bottom w:val="single" w:sz="8" w:color="32406B"/>
              <w:right w:val="single" w:sz="8" w:color="32406B"/>
            </w:tcBorders>
          </w:tcPr>
          <w:p>
            <w:pPr>
              <w:spacing w:after="0"/>
              <w:rPr>
                <w:sz w:val="3"/>
                <w:szCs w:val="3"/>
                <w:color w:val="auto"/>
              </w:rPr>
            </w:pPr>
          </w:p>
        </w:tc>
      </w:tr>
      <w:tr>
        <w:trPr>
          <w:trHeight w:val="206"/>
        </w:trPr>
        <w:tc>
          <w:tcPr>
            <w:tcW w:w="1540" w:type="dxa"/>
            <w:vAlign w:val="bottom"/>
            <w:tcBorders>
              <w:left w:val="single" w:sz="8" w:color="32406B"/>
            </w:tcBorders>
          </w:tcPr>
          <w:p>
            <w:pPr>
              <w:ind w:left="160"/>
              <w:spacing w:after="0"/>
              <w:rPr>
                <w:sz w:val="20"/>
                <w:szCs w:val="20"/>
                <w:color w:val="auto"/>
              </w:rPr>
            </w:pPr>
            <w:r>
              <w:rPr>
                <w:rFonts w:ascii="Times New Roman" w:cs="Times New Roman" w:eastAsia="Times New Roman" w:hAnsi="Times New Roman"/>
                <w:sz w:val="16"/>
                <w:szCs w:val="16"/>
                <w:b w:val="1"/>
                <w:bCs w:val="1"/>
                <w:color w:val="32406B"/>
              </w:rPr>
              <w:t>Phase 1</w:t>
            </w:r>
          </w:p>
        </w:tc>
        <w:tc>
          <w:tcPr>
            <w:tcW w:w="16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85"/>
        </w:trPr>
        <w:tc>
          <w:tcPr>
            <w:tcW w:w="1540" w:type="dxa"/>
            <w:vAlign w:val="bottom"/>
            <w:tcBorders>
              <w:left w:val="single" w:sz="8" w:color="32406B"/>
              <w:bottom w:val="single" w:sz="8" w:color="32406B"/>
            </w:tcBorders>
          </w:tcPr>
          <w:p>
            <w:pPr>
              <w:spacing w:after="0"/>
              <w:rPr>
                <w:sz w:val="7"/>
                <w:szCs w:val="7"/>
                <w:color w:val="auto"/>
              </w:rPr>
            </w:pPr>
          </w:p>
        </w:tc>
        <w:tc>
          <w:tcPr>
            <w:tcW w:w="1680" w:type="dxa"/>
            <w:vAlign w:val="bottom"/>
            <w:tcBorders>
              <w:bottom w:val="single" w:sz="8" w:color="32406B"/>
            </w:tcBorders>
          </w:tcPr>
          <w:p>
            <w:pPr>
              <w:spacing w:after="0"/>
              <w:rPr>
                <w:sz w:val="7"/>
                <w:szCs w:val="7"/>
                <w:color w:val="auto"/>
              </w:rPr>
            </w:pPr>
          </w:p>
        </w:tc>
        <w:tc>
          <w:tcPr>
            <w:tcW w:w="7060" w:type="dxa"/>
            <w:vAlign w:val="bottom"/>
            <w:tcBorders>
              <w:bottom w:val="single" w:sz="8" w:color="32406B"/>
            </w:tcBorders>
          </w:tcPr>
          <w:p>
            <w:pPr>
              <w:spacing w:after="0"/>
              <w:rPr>
                <w:sz w:val="7"/>
                <w:szCs w:val="7"/>
                <w:color w:val="auto"/>
              </w:rPr>
            </w:pPr>
          </w:p>
        </w:tc>
        <w:tc>
          <w:tcPr>
            <w:tcW w:w="980" w:type="dxa"/>
            <w:vAlign w:val="bottom"/>
            <w:tcBorders>
              <w:bottom w:val="single" w:sz="8" w:color="32406B"/>
              <w:right w:val="single" w:sz="8" w:color="32406B"/>
            </w:tcBorders>
          </w:tcPr>
          <w:p>
            <w:pPr>
              <w:spacing w:after="0"/>
              <w:rPr>
                <w:sz w:val="7"/>
                <w:szCs w:val="7"/>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C001</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Single ascending dose</w:t>
            </w:r>
          </w:p>
        </w:tc>
        <w:tc>
          <w:tcPr>
            <w:tcW w:w="7060" w:type="dxa"/>
            <w:vAlign w:val="bottom"/>
            <w:tcBorders>
              <w:right w:val="single" w:sz="8" w:color="32406B"/>
            </w:tcBorders>
          </w:tcPr>
          <w:p>
            <w:pPr>
              <w:ind w:left="420"/>
              <w:spacing w:after="0" w:line="182" w:lineRule="exact"/>
              <w:rPr>
                <w:sz w:val="20"/>
                <w:szCs w:val="20"/>
                <w:color w:val="auto"/>
              </w:rPr>
            </w:pPr>
            <w:r>
              <w:rPr>
                <w:rFonts w:ascii="Times New Roman" w:cs="Times New Roman" w:eastAsia="Times New Roman" w:hAnsi="Times New Roman"/>
                <w:sz w:val="16"/>
                <w:szCs w:val="16"/>
                <w:color w:val="32406B"/>
              </w:rPr>
              <w:t>Randomized, double-blind, placebo-controlled, single ascending dose to assess safety and proof-of-</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Completed</w:t>
            </w: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(SAD) and BK</w:t>
            </w:r>
          </w:p>
        </w:tc>
        <w:tc>
          <w:tcPr>
            <w:tcW w:w="7060" w:type="dxa"/>
            <w:vAlign w:val="bottom"/>
            <w:tcBorders>
              <w:right w:val="single" w:sz="8" w:color="32406B"/>
            </w:tcBorders>
          </w:tcPr>
          <w:p>
            <w:pPr>
              <w:ind w:left="420"/>
              <w:spacing w:after="0"/>
              <w:rPr>
                <w:sz w:val="20"/>
                <w:szCs w:val="20"/>
                <w:color w:val="auto"/>
              </w:rPr>
            </w:pPr>
            <w:r>
              <w:rPr>
                <w:rFonts w:ascii="Times New Roman" w:cs="Times New Roman" w:eastAsia="Times New Roman" w:hAnsi="Times New Roman"/>
                <w:sz w:val="16"/>
                <w:szCs w:val="16"/>
                <w:color w:val="32406B"/>
              </w:rPr>
              <w:t>mechanism through BK-challenge</w:t>
            </w:r>
          </w:p>
        </w:tc>
        <w:tc>
          <w:tcPr>
            <w:tcW w:w="980" w:type="dxa"/>
            <w:vAlign w:val="bottom"/>
            <w:tcBorders>
              <w:right w:val="single" w:sz="8" w:color="32406B"/>
            </w:tcBorders>
          </w:tcPr>
          <w:p>
            <w:pPr>
              <w:spacing w:after="0"/>
              <w:rPr>
                <w:sz w:val="17"/>
                <w:szCs w:val="17"/>
                <w:color w:val="auto"/>
              </w:rPr>
            </w:pPr>
          </w:p>
        </w:tc>
      </w:tr>
      <w:tr>
        <w:trPr>
          <w:trHeight w:val="202"/>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challenge /</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SAD-proof of</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mechanism (POM)</w:t>
            </w:r>
          </w:p>
        </w:tc>
        <w:tc>
          <w:tcPr>
            <w:tcW w:w="7060" w:type="dxa"/>
            <w:vAlign w:val="bottom"/>
            <w:tcBorders>
              <w:right w:val="single" w:sz="8" w:color="32406B"/>
            </w:tcBorders>
          </w:tcPr>
          <w:p>
            <w:pPr>
              <w:spacing w:after="0"/>
              <w:rPr>
                <w:sz w:val="18"/>
                <w:szCs w:val="18"/>
                <w:color w:val="auto"/>
              </w:rPr>
            </w:pPr>
          </w:p>
        </w:tc>
        <w:tc>
          <w:tcPr>
            <w:tcW w:w="980" w:type="dxa"/>
            <w:vAlign w:val="bottom"/>
            <w:tcBorders>
              <w:right w:val="single" w:sz="8" w:color="32406B"/>
            </w:tcBorders>
          </w:tcPr>
          <w:p>
            <w:pPr>
              <w:spacing w:after="0"/>
              <w:rPr>
                <w:sz w:val="18"/>
                <w:szCs w:val="18"/>
                <w:color w:val="auto"/>
              </w:rPr>
            </w:pPr>
          </w:p>
        </w:tc>
      </w:tr>
      <w:tr>
        <w:trPr>
          <w:trHeight w:val="101"/>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r>
        <w:trPr>
          <w:trHeight w:val="204"/>
        </w:trPr>
        <w:tc>
          <w:tcPr>
            <w:tcW w:w="1540" w:type="dxa"/>
            <w:vAlign w:val="bottom"/>
            <w:tcBorders>
              <w:left w:val="single" w:sz="8" w:color="32406B"/>
              <w:right w:val="single" w:sz="8" w:color="32406B"/>
            </w:tcBorders>
          </w:tcPr>
          <w:p>
            <w:pPr>
              <w:ind w:left="160"/>
              <w:spacing w:after="0"/>
              <w:rPr>
                <w:sz w:val="20"/>
                <w:szCs w:val="20"/>
                <w:color w:val="auto"/>
              </w:rPr>
            </w:pPr>
            <w:r>
              <w:rPr>
                <w:rFonts w:ascii="Times New Roman" w:cs="Times New Roman" w:eastAsia="Times New Roman" w:hAnsi="Times New Roman"/>
                <w:sz w:val="16"/>
                <w:szCs w:val="16"/>
                <w:color w:val="32406B"/>
              </w:rPr>
              <w:t>C002</w:t>
            </w: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SAD extension</w:t>
            </w:r>
          </w:p>
        </w:tc>
        <w:tc>
          <w:tcPr>
            <w:tcW w:w="7060" w:type="dxa"/>
            <w:vAlign w:val="bottom"/>
            <w:tcBorders>
              <w:right w:val="single" w:sz="8" w:color="32406B"/>
            </w:tcBorders>
          </w:tcPr>
          <w:p>
            <w:pPr>
              <w:ind w:left="420"/>
              <w:spacing w:after="0"/>
              <w:rPr>
                <w:sz w:val="20"/>
                <w:szCs w:val="20"/>
                <w:color w:val="auto"/>
              </w:rPr>
            </w:pPr>
            <w:r>
              <w:rPr>
                <w:rFonts w:ascii="Times New Roman" w:cs="Times New Roman" w:eastAsia="Times New Roman" w:hAnsi="Times New Roman"/>
                <w:sz w:val="16"/>
                <w:szCs w:val="16"/>
                <w:color w:val="32406B"/>
              </w:rPr>
              <w:t>Randomized, double-blind, placebo-controlled, single ascending dose to assess safety</w:t>
            </w:r>
          </w:p>
        </w:tc>
        <w:tc>
          <w:tcPr>
            <w:tcW w:w="980" w:type="dxa"/>
            <w:vAlign w:val="bottom"/>
            <w:tcBorders>
              <w:right w:val="single" w:sz="8" w:color="32406B"/>
            </w:tcBorders>
          </w:tcPr>
          <w:p>
            <w:pPr>
              <w:ind w:left="80"/>
              <w:spacing w:after="0"/>
              <w:rPr>
                <w:sz w:val="20"/>
                <w:szCs w:val="20"/>
                <w:color w:val="auto"/>
              </w:rPr>
            </w:pPr>
            <w:r>
              <w:rPr>
                <w:rFonts w:ascii="Times New Roman" w:cs="Times New Roman" w:eastAsia="Times New Roman" w:hAnsi="Times New Roman"/>
                <w:sz w:val="16"/>
                <w:szCs w:val="16"/>
                <w:color w:val="32406B"/>
              </w:rPr>
              <w:t>Completed</w:t>
            </w:r>
          </w:p>
        </w:tc>
      </w:tr>
      <w:tr>
        <w:trPr>
          <w:trHeight w:val="87"/>
        </w:trPr>
        <w:tc>
          <w:tcPr>
            <w:tcW w:w="1540" w:type="dxa"/>
            <w:vAlign w:val="bottom"/>
            <w:tcBorders>
              <w:left w:val="single" w:sz="8" w:color="32406B"/>
              <w:bottom w:val="single" w:sz="8" w:color="32406B"/>
              <w:right w:val="single" w:sz="8" w:color="32406B"/>
            </w:tcBorders>
          </w:tcPr>
          <w:p>
            <w:pPr>
              <w:spacing w:after="0"/>
              <w:rPr>
                <w:sz w:val="7"/>
                <w:szCs w:val="7"/>
                <w:color w:val="auto"/>
              </w:rPr>
            </w:pPr>
          </w:p>
        </w:tc>
        <w:tc>
          <w:tcPr>
            <w:tcW w:w="1680" w:type="dxa"/>
            <w:vAlign w:val="bottom"/>
            <w:tcBorders>
              <w:bottom w:val="single" w:sz="8" w:color="32406B"/>
              <w:right w:val="single" w:sz="8" w:color="32406B"/>
            </w:tcBorders>
          </w:tcPr>
          <w:p>
            <w:pPr>
              <w:spacing w:after="0"/>
              <w:rPr>
                <w:sz w:val="7"/>
                <w:szCs w:val="7"/>
                <w:color w:val="auto"/>
              </w:rPr>
            </w:pPr>
          </w:p>
        </w:tc>
        <w:tc>
          <w:tcPr>
            <w:tcW w:w="7060" w:type="dxa"/>
            <w:vAlign w:val="bottom"/>
            <w:tcBorders>
              <w:bottom w:val="single" w:sz="8" w:color="32406B"/>
              <w:right w:val="single" w:sz="8" w:color="32406B"/>
            </w:tcBorders>
          </w:tcPr>
          <w:p>
            <w:pPr>
              <w:spacing w:after="0"/>
              <w:rPr>
                <w:sz w:val="7"/>
                <w:szCs w:val="7"/>
                <w:color w:val="auto"/>
              </w:rPr>
            </w:pPr>
          </w:p>
        </w:tc>
        <w:tc>
          <w:tcPr>
            <w:tcW w:w="980" w:type="dxa"/>
            <w:vAlign w:val="bottom"/>
            <w:tcBorders>
              <w:bottom w:val="single" w:sz="8" w:color="32406B"/>
              <w:right w:val="single" w:sz="8" w:color="32406B"/>
            </w:tcBorders>
          </w:tcPr>
          <w:p>
            <w:pPr>
              <w:spacing w:after="0"/>
              <w:rPr>
                <w:sz w:val="7"/>
                <w:szCs w:val="7"/>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C003</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Absorption,</w:t>
            </w:r>
          </w:p>
        </w:tc>
        <w:tc>
          <w:tcPr>
            <w:tcW w:w="7060" w:type="dxa"/>
            <w:vAlign w:val="bottom"/>
            <w:tcBorders>
              <w:right w:val="single" w:sz="8" w:color="32406B"/>
            </w:tcBorders>
          </w:tcPr>
          <w:p>
            <w:pPr>
              <w:ind w:left="420"/>
              <w:spacing w:after="0" w:line="183" w:lineRule="exact"/>
              <w:rPr>
                <w:sz w:val="20"/>
                <w:szCs w:val="20"/>
                <w:color w:val="auto"/>
              </w:rPr>
            </w:pPr>
            <w:r>
              <w:rPr>
                <w:rFonts w:ascii="Times New Roman" w:cs="Times New Roman" w:eastAsia="Times New Roman" w:hAnsi="Times New Roman"/>
                <w:sz w:val="13"/>
                <w:szCs w:val="13"/>
                <w:color w:val="32406B"/>
              </w:rPr>
              <w:t xml:space="preserve">Open-label, single dose </w:t>
            </w:r>
            <w:r>
              <w:rPr>
                <w:rFonts w:ascii="Times New Roman" w:cs="Times New Roman" w:eastAsia="Times New Roman" w:hAnsi="Times New Roman"/>
                <w:sz w:val="21"/>
                <w:szCs w:val="21"/>
                <w:color w:val="32406B"/>
                <w:vertAlign w:val="superscript"/>
              </w:rPr>
              <w:t>14</w:t>
            </w:r>
            <w:r>
              <w:rPr>
                <w:rFonts w:ascii="Times New Roman" w:cs="Times New Roman" w:eastAsia="Times New Roman" w:hAnsi="Times New Roman"/>
                <w:sz w:val="13"/>
                <w:szCs w:val="13"/>
                <w:color w:val="32406B"/>
              </w:rPr>
              <w:t>C-PHA121 to characterize the absorption, metabolism and excretion</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Planned</w:t>
            </w: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metabolism and</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ind w:left="80"/>
              <w:spacing w:after="0"/>
              <w:rPr>
                <w:sz w:val="20"/>
                <w:szCs w:val="20"/>
                <w:color w:val="auto"/>
              </w:rPr>
            </w:pPr>
            <w:r>
              <w:rPr>
                <w:rFonts w:ascii="Times New Roman" w:cs="Times New Roman" w:eastAsia="Times New Roman" w:hAnsi="Times New Roman"/>
                <w:sz w:val="16"/>
                <w:szCs w:val="16"/>
                <w:color w:val="32406B"/>
              </w:rPr>
              <w:t>(2021)</w:t>
            </w: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excretion (mass</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balance)</w:t>
            </w:r>
          </w:p>
        </w:tc>
        <w:tc>
          <w:tcPr>
            <w:tcW w:w="7060" w:type="dxa"/>
            <w:vAlign w:val="bottom"/>
            <w:tcBorders>
              <w:right w:val="single" w:sz="8" w:color="32406B"/>
            </w:tcBorders>
          </w:tcPr>
          <w:p>
            <w:pPr>
              <w:spacing w:after="0"/>
              <w:rPr>
                <w:sz w:val="18"/>
                <w:szCs w:val="18"/>
                <w:color w:val="auto"/>
              </w:rPr>
            </w:pPr>
          </w:p>
        </w:tc>
        <w:tc>
          <w:tcPr>
            <w:tcW w:w="980" w:type="dxa"/>
            <w:vAlign w:val="bottom"/>
            <w:tcBorders>
              <w:right w:val="single" w:sz="8" w:color="32406B"/>
            </w:tcBorders>
          </w:tcPr>
          <w:p>
            <w:pPr>
              <w:spacing w:after="0"/>
              <w:rPr>
                <w:sz w:val="18"/>
                <w:szCs w:val="18"/>
                <w:color w:val="auto"/>
              </w:rPr>
            </w:pPr>
          </w:p>
        </w:tc>
      </w:tr>
      <w:tr>
        <w:trPr>
          <w:trHeight w:val="100"/>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C004</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Drug-drug interaction</w:t>
            </w:r>
          </w:p>
        </w:tc>
        <w:tc>
          <w:tcPr>
            <w:tcW w:w="7060" w:type="dxa"/>
            <w:vAlign w:val="bottom"/>
            <w:tcBorders>
              <w:right w:val="single" w:sz="8" w:color="32406B"/>
            </w:tcBorders>
          </w:tcPr>
          <w:p>
            <w:pPr>
              <w:ind w:left="420"/>
              <w:spacing w:after="0" w:line="182" w:lineRule="exact"/>
              <w:rPr>
                <w:sz w:val="20"/>
                <w:szCs w:val="20"/>
                <w:color w:val="auto"/>
              </w:rPr>
            </w:pPr>
            <w:r>
              <w:rPr>
                <w:rFonts w:ascii="Times New Roman" w:cs="Times New Roman" w:eastAsia="Times New Roman" w:hAnsi="Times New Roman"/>
                <w:sz w:val="16"/>
                <w:szCs w:val="16"/>
                <w:color w:val="32406B"/>
              </w:rPr>
              <w:t>Open-label, single-sequence, crossover DDI study</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Completed</w:t>
            </w: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(DDI)—CYP3A4</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inhibitor</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03"/>
        </w:trPr>
        <w:tc>
          <w:tcPr>
            <w:tcW w:w="1540" w:type="dxa"/>
            <w:vAlign w:val="bottom"/>
            <w:tcBorders>
              <w:left w:val="single" w:sz="8" w:color="32406B"/>
              <w:right w:val="single" w:sz="8" w:color="32406B"/>
            </w:tcBorders>
          </w:tcPr>
          <w:p>
            <w:pPr>
              <w:spacing w:after="0"/>
              <w:rPr>
                <w:sz w:val="17"/>
                <w:szCs w:val="17"/>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(itraconazole)</w:t>
            </w:r>
          </w:p>
        </w:tc>
        <w:tc>
          <w:tcPr>
            <w:tcW w:w="7060" w:type="dxa"/>
            <w:vAlign w:val="bottom"/>
            <w:tcBorders>
              <w:right w:val="single" w:sz="8" w:color="32406B"/>
            </w:tcBorders>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interaction</w:t>
            </w:r>
          </w:p>
        </w:tc>
        <w:tc>
          <w:tcPr>
            <w:tcW w:w="7060" w:type="dxa"/>
            <w:vAlign w:val="bottom"/>
            <w:tcBorders>
              <w:right w:val="single" w:sz="8" w:color="32406B"/>
            </w:tcBorders>
          </w:tcPr>
          <w:p>
            <w:pPr>
              <w:spacing w:after="0"/>
              <w:rPr>
                <w:sz w:val="18"/>
                <w:szCs w:val="18"/>
                <w:color w:val="auto"/>
              </w:rPr>
            </w:pPr>
          </w:p>
        </w:tc>
        <w:tc>
          <w:tcPr>
            <w:tcW w:w="980" w:type="dxa"/>
            <w:vAlign w:val="bottom"/>
            <w:tcBorders>
              <w:right w:val="single" w:sz="8" w:color="32406B"/>
            </w:tcBorders>
          </w:tcPr>
          <w:p>
            <w:pPr>
              <w:spacing w:after="0"/>
              <w:rPr>
                <w:sz w:val="18"/>
                <w:szCs w:val="18"/>
                <w:color w:val="auto"/>
              </w:rPr>
            </w:pPr>
          </w:p>
        </w:tc>
      </w:tr>
      <w:tr>
        <w:trPr>
          <w:trHeight w:val="100"/>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C005</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DDI—CYP</w:t>
            </w:r>
          </w:p>
        </w:tc>
        <w:tc>
          <w:tcPr>
            <w:tcW w:w="7060" w:type="dxa"/>
            <w:vAlign w:val="bottom"/>
            <w:tcBorders>
              <w:right w:val="single" w:sz="8" w:color="32406B"/>
            </w:tcBorders>
          </w:tcPr>
          <w:p>
            <w:pPr>
              <w:ind w:left="420"/>
              <w:spacing w:after="0" w:line="182" w:lineRule="exact"/>
              <w:rPr>
                <w:sz w:val="20"/>
                <w:szCs w:val="20"/>
                <w:color w:val="auto"/>
              </w:rPr>
            </w:pPr>
            <w:r>
              <w:rPr>
                <w:rFonts w:ascii="Times New Roman" w:cs="Times New Roman" w:eastAsia="Times New Roman" w:hAnsi="Times New Roman"/>
                <w:sz w:val="16"/>
                <w:szCs w:val="16"/>
                <w:color w:val="32406B"/>
              </w:rPr>
              <w:t>Open-label, single-sequence, crossover DDI study</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Planned</w:t>
            </w: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interaction (cocktail)</w:t>
            </w:r>
          </w:p>
        </w:tc>
        <w:tc>
          <w:tcPr>
            <w:tcW w:w="7060" w:type="dxa"/>
            <w:vAlign w:val="bottom"/>
            <w:tcBorders>
              <w:right w:val="single" w:sz="8" w:color="32406B"/>
            </w:tcBorders>
          </w:tcPr>
          <w:p>
            <w:pPr>
              <w:spacing w:after="0"/>
              <w:rPr>
                <w:sz w:val="18"/>
                <w:szCs w:val="18"/>
                <w:color w:val="auto"/>
              </w:rPr>
            </w:pPr>
          </w:p>
        </w:tc>
        <w:tc>
          <w:tcPr>
            <w:tcW w:w="980" w:type="dxa"/>
            <w:vAlign w:val="bottom"/>
            <w:tcBorders>
              <w:right w:val="single" w:sz="8" w:color="32406B"/>
            </w:tcBorders>
          </w:tcPr>
          <w:p>
            <w:pPr>
              <w:ind w:left="80"/>
              <w:spacing w:after="0"/>
              <w:rPr>
                <w:sz w:val="20"/>
                <w:szCs w:val="20"/>
                <w:color w:val="auto"/>
              </w:rPr>
            </w:pPr>
            <w:r>
              <w:rPr>
                <w:rFonts w:ascii="Times New Roman" w:cs="Times New Roman" w:eastAsia="Times New Roman" w:hAnsi="Times New Roman"/>
                <w:sz w:val="16"/>
                <w:szCs w:val="16"/>
                <w:color w:val="32406B"/>
              </w:rPr>
              <w:t>(2021)</w:t>
            </w:r>
          </w:p>
        </w:tc>
      </w:tr>
      <w:tr>
        <w:trPr>
          <w:trHeight w:val="100"/>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C006</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Multiple ascending</w:t>
            </w:r>
          </w:p>
        </w:tc>
        <w:tc>
          <w:tcPr>
            <w:tcW w:w="7060" w:type="dxa"/>
            <w:vAlign w:val="bottom"/>
            <w:tcBorders>
              <w:right w:val="single" w:sz="8" w:color="32406B"/>
            </w:tcBorders>
          </w:tcPr>
          <w:p>
            <w:pPr>
              <w:ind w:left="420"/>
              <w:spacing w:after="0" w:line="182" w:lineRule="exact"/>
              <w:rPr>
                <w:sz w:val="20"/>
                <w:szCs w:val="20"/>
                <w:color w:val="auto"/>
              </w:rPr>
            </w:pPr>
            <w:r>
              <w:rPr>
                <w:rFonts w:ascii="Times New Roman" w:cs="Times New Roman" w:eastAsia="Times New Roman" w:hAnsi="Times New Roman"/>
                <w:sz w:val="16"/>
                <w:szCs w:val="16"/>
                <w:color w:val="32406B"/>
              </w:rPr>
              <w:t>Randomized, double-blind, placebo-controlled, multiple ascending dose to assess safety and different</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Completed</w:t>
            </w: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ind w:left="200"/>
              <w:spacing w:after="0"/>
              <w:rPr>
                <w:sz w:val="20"/>
                <w:szCs w:val="20"/>
                <w:color w:val="auto"/>
              </w:rPr>
            </w:pPr>
            <w:r>
              <w:rPr>
                <w:rFonts w:ascii="Times New Roman" w:cs="Times New Roman" w:eastAsia="Times New Roman" w:hAnsi="Times New Roman"/>
                <w:sz w:val="16"/>
                <w:szCs w:val="16"/>
                <w:color w:val="32406B"/>
              </w:rPr>
              <w:t>dose (MAD)</w:t>
            </w:r>
          </w:p>
        </w:tc>
        <w:tc>
          <w:tcPr>
            <w:tcW w:w="7060" w:type="dxa"/>
            <w:vAlign w:val="bottom"/>
            <w:tcBorders>
              <w:right w:val="single" w:sz="8" w:color="32406B"/>
            </w:tcBorders>
          </w:tcPr>
          <w:p>
            <w:pPr>
              <w:ind w:left="420"/>
              <w:spacing w:after="0"/>
              <w:rPr>
                <w:sz w:val="20"/>
                <w:szCs w:val="20"/>
                <w:color w:val="auto"/>
              </w:rPr>
            </w:pPr>
            <w:r>
              <w:rPr>
                <w:rFonts w:ascii="Times New Roman" w:cs="Times New Roman" w:eastAsia="Times New Roman" w:hAnsi="Times New Roman"/>
                <w:sz w:val="16"/>
                <w:szCs w:val="16"/>
                <w:color w:val="32406B"/>
              </w:rPr>
              <w:t>doses</w:t>
            </w:r>
          </w:p>
        </w:tc>
        <w:tc>
          <w:tcPr>
            <w:tcW w:w="980" w:type="dxa"/>
            <w:vAlign w:val="bottom"/>
            <w:tcBorders>
              <w:right w:val="single" w:sz="8" w:color="32406B"/>
            </w:tcBorders>
          </w:tcPr>
          <w:p>
            <w:pPr>
              <w:spacing w:after="0"/>
              <w:rPr>
                <w:sz w:val="18"/>
                <w:szCs w:val="18"/>
                <w:color w:val="auto"/>
              </w:rPr>
            </w:pPr>
          </w:p>
        </w:tc>
      </w:tr>
      <w:tr>
        <w:trPr>
          <w:trHeight w:val="100"/>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r>
        <w:trPr>
          <w:trHeight w:val="206"/>
        </w:trPr>
        <w:tc>
          <w:tcPr>
            <w:tcW w:w="1540" w:type="dxa"/>
            <w:vAlign w:val="bottom"/>
            <w:tcBorders>
              <w:left w:val="single" w:sz="8" w:color="32406B"/>
            </w:tcBorders>
          </w:tcPr>
          <w:p>
            <w:pPr>
              <w:ind w:left="160"/>
              <w:spacing w:after="0"/>
              <w:rPr>
                <w:sz w:val="20"/>
                <w:szCs w:val="20"/>
                <w:color w:val="auto"/>
              </w:rPr>
            </w:pPr>
            <w:r>
              <w:rPr>
                <w:rFonts w:ascii="Times New Roman" w:cs="Times New Roman" w:eastAsia="Times New Roman" w:hAnsi="Times New Roman"/>
                <w:sz w:val="16"/>
                <w:szCs w:val="16"/>
                <w:b w:val="1"/>
                <w:bCs w:val="1"/>
                <w:color w:val="32406B"/>
              </w:rPr>
              <w:t>Phase 2</w:t>
            </w:r>
          </w:p>
        </w:tc>
        <w:tc>
          <w:tcPr>
            <w:tcW w:w="168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980" w:type="dxa"/>
            <w:vAlign w:val="bottom"/>
            <w:tcBorders>
              <w:right w:val="single" w:sz="8" w:color="32406B"/>
            </w:tcBorders>
          </w:tcPr>
          <w:p>
            <w:pPr>
              <w:spacing w:after="0"/>
              <w:rPr>
                <w:sz w:val="17"/>
                <w:szCs w:val="17"/>
                <w:color w:val="auto"/>
              </w:rPr>
            </w:pPr>
          </w:p>
        </w:tc>
      </w:tr>
      <w:tr>
        <w:trPr>
          <w:trHeight w:val="85"/>
        </w:trPr>
        <w:tc>
          <w:tcPr>
            <w:tcW w:w="1540" w:type="dxa"/>
            <w:vAlign w:val="bottom"/>
            <w:tcBorders>
              <w:left w:val="single" w:sz="8" w:color="32406B"/>
              <w:bottom w:val="single" w:sz="8" w:color="32406B"/>
            </w:tcBorders>
          </w:tcPr>
          <w:p>
            <w:pPr>
              <w:spacing w:after="0"/>
              <w:rPr>
                <w:sz w:val="7"/>
                <w:szCs w:val="7"/>
                <w:color w:val="auto"/>
              </w:rPr>
            </w:pPr>
          </w:p>
        </w:tc>
        <w:tc>
          <w:tcPr>
            <w:tcW w:w="1680" w:type="dxa"/>
            <w:vAlign w:val="bottom"/>
            <w:tcBorders>
              <w:bottom w:val="single" w:sz="8" w:color="32406B"/>
            </w:tcBorders>
          </w:tcPr>
          <w:p>
            <w:pPr>
              <w:spacing w:after="0"/>
              <w:rPr>
                <w:sz w:val="7"/>
                <w:szCs w:val="7"/>
                <w:color w:val="auto"/>
              </w:rPr>
            </w:pPr>
          </w:p>
        </w:tc>
        <w:tc>
          <w:tcPr>
            <w:tcW w:w="7060" w:type="dxa"/>
            <w:vAlign w:val="bottom"/>
            <w:tcBorders>
              <w:bottom w:val="single" w:sz="8" w:color="32406B"/>
            </w:tcBorders>
          </w:tcPr>
          <w:p>
            <w:pPr>
              <w:spacing w:after="0"/>
              <w:rPr>
                <w:sz w:val="7"/>
                <w:szCs w:val="7"/>
                <w:color w:val="auto"/>
              </w:rPr>
            </w:pPr>
          </w:p>
        </w:tc>
        <w:tc>
          <w:tcPr>
            <w:tcW w:w="980" w:type="dxa"/>
            <w:vAlign w:val="bottom"/>
            <w:tcBorders>
              <w:bottom w:val="single" w:sz="8" w:color="32406B"/>
              <w:right w:val="single" w:sz="8" w:color="32406B"/>
            </w:tcBorders>
          </w:tcPr>
          <w:p>
            <w:pPr>
              <w:spacing w:after="0"/>
              <w:rPr>
                <w:sz w:val="7"/>
                <w:szCs w:val="7"/>
                <w:color w:val="auto"/>
              </w:rPr>
            </w:pPr>
          </w:p>
        </w:tc>
      </w:tr>
      <w:tr>
        <w:trPr>
          <w:trHeight w:val="182"/>
        </w:trPr>
        <w:tc>
          <w:tcPr>
            <w:tcW w:w="1540" w:type="dxa"/>
            <w:vAlign w:val="bottom"/>
            <w:tcBorders>
              <w:left w:val="single" w:sz="8" w:color="32406B"/>
              <w:right w:val="single" w:sz="8" w:color="32406B"/>
            </w:tcBorders>
          </w:tcPr>
          <w:p>
            <w:pPr>
              <w:ind w:left="160"/>
              <w:spacing w:after="0" w:line="182" w:lineRule="exact"/>
              <w:rPr>
                <w:sz w:val="20"/>
                <w:szCs w:val="20"/>
                <w:color w:val="auto"/>
              </w:rPr>
            </w:pPr>
            <w:r>
              <w:rPr>
                <w:rFonts w:ascii="Times New Roman" w:cs="Times New Roman" w:eastAsia="Times New Roman" w:hAnsi="Times New Roman"/>
                <w:sz w:val="16"/>
                <w:szCs w:val="16"/>
                <w:color w:val="32406B"/>
              </w:rPr>
              <w:t>C201 RAPIDe-1</w:t>
            </w:r>
          </w:p>
        </w:tc>
        <w:tc>
          <w:tcPr>
            <w:tcW w:w="1680" w:type="dxa"/>
            <w:vAlign w:val="bottom"/>
            <w:tcBorders>
              <w:right w:val="single" w:sz="8" w:color="32406B"/>
            </w:tcBorders>
          </w:tcPr>
          <w:p>
            <w:pPr>
              <w:ind w:left="200"/>
              <w:spacing w:after="0" w:line="182" w:lineRule="exact"/>
              <w:rPr>
                <w:sz w:val="20"/>
                <w:szCs w:val="20"/>
                <w:color w:val="auto"/>
              </w:rPr>
            </w:pPr>
            <w:r>
              <w:rPr>
                <w:rFonts w:ascii="Times New Roman" w:cs="Times New Roman" w:eastAsia="Times New Roman" w:hAnsi="Times New Roman"/>
                <w:sz w:val="16"/>
                <w:szCs w:val="16"/>
                <w:color w:val="32406B"/>
              </w:rPr>
              <w:t>PHVS416 on-demand</w:t>
            </w:r>
          </w:p>
        </w:tc>
        <w:tc>
          <w:tcPr>
            <w:tcW w:w="7060" w:type="dxa"/>
            <w:vAlign w:val="bottom"/>
            <w:tcBorders>
              <w:right w:val="single" w:sz="8" w:color="32406B"/>
            </w:tcBorders>
          </w:tcPr>
          <w:p>
            <w:pPr>
              <w:ind w:left="420"/>
              <w:spacing w:after="0" w:line="182" w:lineRule="exact"/>
              <w:rPr>
                <w:sz w:val="20"/>
                <w:szCs w:val="20"/>
                <w:color w:val="auto"/>
              </w:rPr>
            </w:pPr>
            <w:r>
              <w:rPr>
                <w:rFonts w:ascii="Times New Roman" w:cs="Times New Roman" w:eastAsia="Times New Roman" w:hAnsi="Times New Roman"/>
                <w:sz w:val="16"/>
                <w:szCs w:val="16"/>
                <w:color w:val="32406B"/>
              </w:rPr>
              <w:t>Phase 2, randomized, double blind, placebo-controlled, dose ranging study to assess safety and</w:t>
            </w:r>
          </w:p>
        </w:tc>
        <w:tc>
          <w:tcPr>
            <w:tcW w:w="980" w:type="dxa"/>
            <w:vAlign w:val="bottom"/>
            <w:tcBorders>
              <w:right w:val="single" w:sz="8" w:color="32406B"/>
            </w:tcBorders>
          </w:tcPr>
          <w:p>
            <w:pPr>
              <w:ind w:left="80"/>
              <w:spacing w:after="0" w:line="182" w:lineRule="exact"/>
              <w:rPr>
                <w:sz w:val="20"/>
                <w:szCs w:val="20"/>
                <w:color w:val="auto"/>
              </w:rPr>
            </w:pPr>
            <w:r>
              <w:rPr>
                <w:rFonts w:ascii="Times New Roman" w:cs="Times New Roman" w:eastAsia="Times New Roman" w:hAnsi="Times New Roman"/>
                <w:sz w:val="16"/>
                <w:szCs w:val="16"/>
                <w:color w:val="32406B"/>
              </w:rPr>
              <w:t>Initiating</w:t>
            </w:r>
          </w:p>
        </w:tc>
      </w:tr>
      <w:tr>
        <w:trPr>
          <w:trHeight w:val="210"/>
        </w:trPr>
        <w:tc>
          <w:tcPr>
            <w:tcW w:w="1540" w:type="dxa"/>
            <w:vAlign w:val="bottom"/>
            <w:tcBorders>
              <w:left w:val="single" w:sz="8" w:color="32406B"/>
              <w:right w:val="single" w:sz="8" w:color="32406B"/>
            </w:tcBorders>
          </w:tcPr>
          <w:p>
            <w:pPr>
              <w:spacing w:after="0"/>
              <w:rPr>
                <w:sz w:val="18"/>
                <w:szCs w:val="18"/>
                <w:color w:val="auto"/>
              </w:rPr>
            </w:pPr>
          </w:p>
        </w:tc>
        <w:tc>
          <w:tcPr>
            <w:tcW w:w="1680" w:type="dxa"/>
            <w:vAlign w:val="bottom"/>
            <w:tcBorders>
              <w:right w:val="single" w:sz="8" w:color="32406B"/>
            </w:tcBorders>
          </w:tcPr>
          <w:p>
            <w:pPr>
              <w:spacing w:after="0"/>
              <w:rPr>
                <w:sz w:val="18"/>
                <w:szCs w:val="18"/>
                <w:color w:val="auto"/>
              </w:rPr>
            </w:pPr>
          </w:p>
        </w:tc>
        <w:tc>
          <w:tcPr>
            <w:tcW w:w="7060" w:type="dxa"/>
            <w:vAlign w:val="bottom"/>
            <w:tcBorders>
              <w:right w:val="single" w:sz="8" w:color="32406B"/>
            </w:tcBorders>
          </w:tcPr>
          <w:p>
            <w:pPr>
              <w:ind w:left="420"/>
              <w:spacing w:after="0"/>
              <w:rPr>
                <w:sz w:val="20"/>
                <w:szCs w:val="20"/>
                <w:color w:val="auto"/>
              </w:rPr>
            </w:pPr>
            <w:r>
              <w:rPr>
                <w:rFonts w:ascii="Times New Roman" w:cs="Times New Roman" w:eastAsia="Times New Roman" w:hAnsi="Times New Roman"/>
                <w:sz w:val="16"/>
                <w:szCs w:val="16"/>
                <w:color w:val="32406B"/>
              </w:rPr>
              <w:t>efficacy</w:t>
            </w:r>
          </w:p>
        </w:tc>
        <w:tc>
          <w:tcPr>
            <w:tcW w:w="980" w:type="dxa"/>
            <w:vAlign w:val="bottom"/>
            <w:tcBorders>
              <w:right w:val="single" w:sz="8" w:color="32406B"/>
            </w:tcBorders>
          </w:tcPr>
          <w:p>
            <w:pPr>
              <w:ind w:left="80"/>
              <w:spacing w:after="0"/>
              <w:rPr>
                <w:sz w:val="20"/>
                <w:szCs w:val="20"/>
                <w:color w:val="auto"/>
              </w:rPr>
            </w:pPr>
            <w:r>
              <w:rPr>
                <w:rFonts w:ascii="Times New Roman" w:cs="Times New Roman" w:eastAsia="Times New Roman" w:hAnsi="Times New Roman"/>
                <w:sz w:val="16"/>
                <w:szCs w:val="16"/>
                <w:color w:val="32406B"/>
              </w:rPr>
              <w:t>(2021)</w:t>
            </w:r>
          </w:p>
        </w:tc>
      </w:tr>
      <w:tr>
        <w:trPr>
          <w:trHeight w:val="101"/>
        </w:trPr>
        <w:tc>
          <w:tcPr>
            <w:tcW w:w="1540" w:type="dxa"/>
            <w:vAlign w:val="bottom"/>
            <w:tcBorders>
              <w:left w:val="single" w:sz="8" w:color="32406B"/>
              <w:bottom w:val="single" w:sz="8" w:color="32406B"/>
              <w:right w:val="single" w:sz="8" w:color="32406B"/>
            </w:tcBorders>
          </w:tcPr>
          <w:p>
            <w:pPr>
              <w:spacing w:after="0"/>
              <w:rPr>
                <w:sz w:val="8"/>
                <w:szCs w:val="8"/>
                <w:color w:val="auto"/>
              </w:rPr>
            </w:pPr>
          </w:p>
        </w:tc>
        <w:tc>
          <w:tcPr>
            <w:tcW w:w="1680" w:type="dxa"/>
            <w:vAlign w:val="bottom"/>
            <w:tcBorders>
              <w:bottom w:val="single" w:sz="8" w:color="32406B"/>
              <w:right w:val="single" w:sz="8" w:color="32406B"/>
            </w:tcBorders>
          </w:tcPr>
          <w:p>
            <w:pPr>
              <w:spacing w:after="0"/>
              <w:rPr>
                <w:sz w:val="8"/>
                <w:szCs w:val="8"/>
                <w:color w:val="auto"/>
              </w:rPr>
            </w:pPr>
          </w:p>
        </w:tc>
        <w:tc>
          <w:tcPr>
            <w:tcW w:w="7060" w:type="dxa"/>
            <w:vAlign w:val="bottom"/>
            <w:tcBorders>
              <w:bottom w:val="single" w:sz="8" w:color="32406B"/>
              <w:right w:val="single" w:sz="8" w:color="32406B"/>
            </w:tcBorders>
          </w:tcPr>
          <w:p>
            <w:pPr>
              <w:spacing w:after="0"/>
              <w:rPr>
                <w:sz w:val="8"/>
                <w:szCs w:val="8"/>
                <w:color w:val="auto"/>
              </w:rPr>
            </w:pPr>
          </w:p>
        </w:tc>
        <w:tc>
          <w:tcPr>
            <w:tcW w:w="980" w:type="dxa"/>
            <w:vAlign w:val="bottom"/>
            <w:tcBorders>
              <w:bottom w:val="single" w:sz="8" w:color="32406B"/>
              <w:right w:val="single" w:sz="8" w:color="32406B"/>
            </w:tcBorders>
          </w:tcPr>
          <w:p>
            <w:pPr>
              <w:spacing w:after="0"/>
              <w:rPr>
                <w:sz w:val="8"/>
                <w:szCs w:val="8"/>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32406B"/>
        </w:rPr>
        <w:t>PHA121-C001 (SAD and BK challenge / SAD-POM)</w:t>
      </w:r>
    </w:p>
    <w:p>
      <w:pPr>
        <w:spacing w:after="0" w:line="117"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32406B"/>
        </w:rPr>
        <w:t>PHA121-C001 was a randomized, double-blind, placebo-controlled, single ascending dose and proof-of-mechanism study to examine the safety, tolerability, PK and PD of orally administered PHA121 in healthy subjects. A total of 52 subjects received single ascending oral doses of PHA121 up to 22 mg. The 16 remaining subjects received placebo. No adverse event, or AE, was reported as serious, no premature withdrawals due to AEs occurred and no severe AEs were reported. In addition, no clinically relevant fluctuations of blood pressure and no orthostatic hypotension linked to PHA121 groups occurred. The overall incidence of AEs was similar between the placebo and PHA121. Treatment-related AEs were reported for three subjects who received PHA121 (12 or 22 mg), all within the gastrointestinal system and of mild severity: upper abdominal pain, vomiting, and nausea. There were no apparent trends or dose-related changes in hematology, clinical chemistry, vital signs, or ECG.</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Pharmacokinetics Analysis</w:t>
      </w:r>
    </w:p>
    <w:p>
      <w:pPr>
        <w:spacing w:after="0" w:line="119"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32406B"/>
        </w:rPr>
        <w:t>Dose proportional PK was observed after single oral administration under fasting condition of PHA121 in the dose range of 1 mg to 22 mg for C</w:t>
      </w:r>
      <w:r>
        <w:rPr>
          <w:rFonts w:ascii="Times New Roman" w:cs="Times New Roman" w:eastAsia="Times New Roman" w:hAnsi="Times New Roman"/>
          <w:sz w:val="15"/>
          <w:szCs w:val="15"/>
          <w:color w:val="32406B"/>
        </w:rPr>
        <w:t>max</w:t>
      </w:r>
      <w:r>
        <w:rPr>
          <w:rFonts w:ascii="Times New Roman" w:cs="Times New Roman" w:eastAsia="Times New Roman" w:hAnsi="Times New Roman"/>
          <w:sz w:val="18"/>
          <w:szCs w:val="18"/>
          <w:color w:val="32406B"/>
        </w:rPr>
        <w:t>, AUC</w:t>
      </w:r>
      <w:r>
        <w:rPr>
          <w:rFonts w:ascii="Times New Roman" w:cs="Times New Roman" w:eastAsia="Times New Roman" w:hAnsi="Times New Roman"/>
          <w:sz w:val="15"/>
          <w:szCs w:val="15"/>
          <w:color w:val="32406B"/>
        </w:rPr>
        <w:t>last</w:t>
      </w:r>
      <w:r>
        <w:rPr>
          <w:rFonts w:ascii="Times New Roman" w:cs="Times New Roman" w:eastAsia="Times New Roman" w:hAnsi="Times New Roman"/>
          <w:sz w:val="18"/>
          <w:szCs w:val="18"/>
          <w:color w:val="32406B"/>
        </w:rPr>
        <w:t xml:space="preserve"> and AUC</w:t>
      </w:r>
      <w:r>
        <w:rPr>
          <w:rFonts w:ascii="Times New Roman" w:cs="Times New Roman" w:eastAsia="Times New Roman" w:hAnsi="Times New Roman"/>
          <w:sz w:val="15"/>
          <w:szCs w:val="15"/>
          <w:color w:val="32406B"/>
        </w:rPr>
        <w:t>inf</w:t>
      </w:r>
      <w:r>
        <w:rPr>
          <w:rFonts w:ascii="Times New Roman" w:cs="Times New Roman" w:eastAsia="Times New Roman" w:hAnsi="Times New Roman"/>
          <w:sz w:val="18"/>
          <w:szCs w:val="18"/>
          <w:color w:val="32406B"/>
        </w:rPr>
        <w:t>.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32406B"/>
        </w:rPr>
        <w:t>105</w:t>
      </w:r>
    </w:p>
    <w:p>
      <w:pPr>
        <w:sectPr>
          <w:pgSz w:w="11900" w:h="16838" w:orient="portrait"/>
          <w:cols w:equalWidth="0" w:num="1">
            <w:col w:w="11260"/>
          </w:cols>
          <w:pgMar w:left="320" w:top="455" w:right="3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Dose (mg)</w:t>
            </w:r>
          </w:p>
        </w:tc>
        <w:tc>
          <w:tcPr>
            <w:tcW w:w="19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32406B"/>
              </w:rPr>
              <w:t>C</w:t>
            </w:r>
            <w:r>
              <w:rPr>
                <w:rFonts w:ascii="Times New Roman" w:cs="Times New Roman" w:eastAsia="Times New Roman" w:hAnsi="Times New Roman"/>
                <w:sz w:val="12"/>
                <w:szCs w:val="12"/>
                <w:b w:val="1"/>
                <w:bCs w:val="1"/>
                <w:color w:val="32406B"/>
              </w:rPr>
              <w:t>max</w:t>
            </w:r>
            <w:r>
              <w:rPr>
                <w:rFonts w:ascii="Times New Roman" w:cs="Times New Roman" w:eastAsia="Times New Roman" w:hAnsi="Times New Roman"/>
                <w:sz w:val="14"/>
                <w:szCs w:val="14"/>
                <w:b w:val="1"/>
                <w:bCs w:val="1"/>
                <w:color w:val="32406B"/>
              </w:rPr>
              <w:t xml:space="preserve"> (ng/mL)</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32406B"/>
              </w:rPr>
              <w:t>C</w:t>
            </w:r>
            <w:r>
              <w:rPr>
                <w:rFonts w:ascii="Times New Roman" w:cs="Times New Roman" w:eastAsia="Times New Roman" w:hAnsi="Times New Roman"/>
                <w:sz w:val="12"/>
                <w:szCs w:val="12"/>
                <w:b w:val="1"/>
                <w:bCs w:val="1"/>
                <w:color w:val="32406B"/>
              </w:rPr>
              <w:t>0.25h</w:t>
            </w:r>
            <w:r>
              <w:rPr>
                <w:rFonts w:ascii="Times New Roman" w:cs="Times New Roman" w:eastAsia="Times New Roman" w:hAnsi="Times New Roman"/>
                <w:sz w:val="14"/>
                <w:szCs w:val="14"/>
                <w:b w:val="1"/>
                <w:bCs w:val="1"/>
                <w:color w:val="32406B"/>
              </w:rPr>
              <w:t xml:space="preserve"> (ng/mL)</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32406B"/>
              </w:rPr>
              <w:t>C</w:t>
            </w:r>
            <w:r>
              <w:rPr>
                <w:rFonts w:ascii="Times New Roman" w:cs="Times New Roman" w:eastAsia="Times New Roman" w:hAnsi="Times New Roman"/>
                <w:sz w:val="12"/>
                <w:szCs w:val="12"/>
                <w:b w:val="1"/>
                <w:bCs w:val="1"/>
                <w:color w:val="32406B"/>
              </w:rPr>
              <w:t>12h</w:t>
            </w:r>
            <w:r>
              <w:rPr>
                <w:rFonts w:ascii="Times New Roman" w:cs="Times New Roman" w:eastAsia="Times New Roman" w:hAnsi="Times New Roman"/>
                <w:sz w:val="14"/>
                <w:szCs w:val="14"/>
                <w:b w:val="1"/>
                <w:bCs w:val="1"/>
                <w:color w:val="32406B"/>
              </w:rPr>
              <w:t xml:space="preserve"> (ng/mL)</w:t>
            </w:r>
          </w:p>
        </w:tc>
        <w:tc>
          <w:tcPr>
            <w:tcW w:w="18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32406B"/>
              </w:rPr>
              <w:t>T</w:t>
            </w:r>
            <w:r>
              <w:rPr>
                <w:rFonts w:ascii="Times New Roman" w:cs="Times New Roman" w:eastAsia="Times New Roman" w:hAnsi="Times New Roman"/>
                <w:sz w:val="12"/>
                <w:szCs w:val="12"/>
                <w:b w:val="1"/>
                <w:bCs w:val="1"/>
                <w:color w:val="32406B"/>
              </w:rPr>
              <w:t>max</w:t>
            </w:r>
            <w:r>
              <w:rPr>
                <w:rFonts w:ascii="Times New Roman" w:cs="Times New Roman" w:eastAsia="Times New Roman" w:hAnsi="Times New Roman"/>
                <w:sz w:val="14"/>
                <w:szCs w:val="14"/>
                <w:b w:val="1"/>
                <w:bCs w:val="1"/>
                <w:color w:val="32406B"/>
              </w:rPr>
              <w:t xml:space="preserve"> (h)</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32406B"/>
              </w:rPr>
              <w:t>t</w:t>
            </w:r>
            <w:r>
              <w:rPr>
                <w:rFonts w:ascii="Times New Roman" w:cs="Times New Roman" w:eastAsia="Times New Roman" w:hAnsi="Times New Roman"/>
                <w:sz w:val="12"/>
                <w:szCs w:val="12"/>
                <w:b w:val="1"/>
                <w:bCs w:val="1"/>
                <w:color w:val="32406B"/>
              </w:rPr>
              <w:t>1/2</w:t>
            </w:r>
            <w:r>
              <w:rPr>
                <w:rFonts w:ascii="Times New Roman" w:cs="Times New Roman" w:eastAsia="Times New Roman" w:hAnsi="Times New Roman"/>
                <w:sz w:val="14"/>
                <w:szCs w:val="14"/>
                <w:b w:val="1"/>
                <w:bCs w:val="1"/>
                <w:color w:val="32406B"/>
              </w:rPr>
              <w:t xml:space="preserve"> (h)</w:t>
            </w:r>
          </w:p>
        </w:tc>
      </w:tr>
      <w:tr>
        <w:trPr>
          <w:trHeight w:val="196"/>
        </w:trPr>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32406B"/>
                <w:w w:val="99"/>
              </w:rPr>
              <w:t>1</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11</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6</w:t>
            </w:r>
          </w:p>
        </w:tc>
        <w:tc>
          <w:tcPr>
            <w:tcW w:w="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0.5</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0.5</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3.5</w:t>
            </w:r>
          </w:p>
        </w:tc>
      </w:tr>
      <w:tr>
        <w:trPr>
          <w:trHeight w:val="203"/>
        </w:trPr>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32406B"/>
                <w:w w:val="99"/>
              </w:rPr>
              <w:t>2</w:t>
            </w:r>
          </w:p>
        </w:tc>
        <w:tc>
          <w:tcPr>
            <w:tcW w:w="22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20</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13</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0.8</w:t>
            </w:r>
          </w:p>
        </w:tc>
        <w:tc>
          <w:tcPr>
            <w:tcW w:w="220" w:type="dxa"/>
            <w:vAlign w:val="bottom"/>
          </w:tcPr>
          <w:p>
            <w:pPr>
              <w:spacing w:after="0"/>
              <w:rPr>
                <w:sz w:val="17"/>
                <w:szCs w:val="17"/>
                <w:color w:val="auto"/>
              </w:rPr>
            </w:pPr>
          </w:p>
        </w:tc>
        <w:tc>
          <w:tcPr>
            <w:tcW w:w="168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0.75</w:t>
            </w:r>
          </w:p>
        </w:tc>
        <w:tc>
          <w:tcPr>
            <w:tcW w:w="200" w:type="dxa"/>
            <w:vAlign w:val="bottom"/>
          </w:tcPr>
          <w:p>
            <w:pPr>
              <w:spacing w:after="0"/>
              <w:rPr>
                <w:sz w:val="17"/>
                <w:szCs w:val="17"/>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4.3</w:t>
            </w:r>
          </w:p>
        </w:tc>
      </w:tr>
      <w:tr>
        <w:trPr>
          <w:trHeight w:val="203"/>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32406B"/>
              </w:rPr>
              <w:t>4.5</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33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13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1.9</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1.0</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4.4</w:t>
            </w:r>
          </w:p>
        </w:tc>
      </w:tr>
      <w:tr>
        <w:trPr>
          <w:trHeight w:val="203"/>
        </w:trPr>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32406B"/>
              </w:rPr>
              <w:t>12</w:t>
            </w:r>
          </w:p>
        </w:tc>
        <w:tc>
          <w:tcPr>
            <w:tcW w:w="22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97</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60</w:t>
            </w:r>
          </w:p>
        </w:tc>
        <w:tc>
          <w:tcPr>
            <w:tcW w:w="240" w:type="dxa"/>
            <w:vAlign w:val="bottom"/>
          </w:tcPr>
          <w:p>
            <w:pPr>
              <w:spacing w:after="0"/>
              <w:rPr>
                <w:sz w:val="17"/>
                <w:szCs w:val="17"/>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5.6</w:t>
            </w:r>
          </w:p>
        </w:tc>
        <w:tc>
          <w:tcPr>
            <w:tcW w:w="220" w:type="dxa"/>
            <w:vAlign w:val="bottom"/>
          </w:tcPr>
          <w:p>
            <w:pPr>
              <w:spacing w:after="0"/>
              <w:rPr>
                <w:sz w:val="17"/>
                <w:szCs w:val="17"/>
                <w:color w:val="auto"/>
              </w:rPr>
            </w:pPr>
          </w:p>
        </w:tc>
        <w:tc>
          <w:tcPr>
            <w:tcW w:w="168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0.5</w:t>
            </w:r>
          </w:p>
        </w:tc>
        <w:tc>
          <w:tcPr>
            <w:tcW w:w="200" w:type="dxa"/>
            <w:vAlign w:val="bottom"/>
          </w:tcPr>
          <w:p>
            <w:pPr>
              <w:spacing w:after="0"/>
              <w:rPr>
                <w:sz w:val="17"/>
                <w:szCs w:val="17"/>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4.3</w:t>
            </w:r>
          </w:p>
        </w:tc>
      </w:tr>
      <w:tr>
        <w:trPr>
          <w:trHeight w:val="203"/>
        </w:trPr>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32406B"/>
              </w:rPr>
              <w:t>22</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213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143</w:t>
            </w: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32406B"/>
              </w:rPr>
              <w:t>8.3</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0.75</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32406B"/>
              </w:rPr>
              <w:t>5.6</w:t>
            </w:r>
          </w:p>
        </w:tc>
      </w:tr>
      <w:tr>
        <w:trPr>
          <w:trHeight w:val="212"/>
        </w:trPr>
        <w:tc>
          <w:tcPr>
            <w:tcW w:w="26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32406B"/>
              </w:rPr>
              <w:t>22 (high-fat, high cholesterol)</w:t>
            </w: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145</w:t>
            </w:r>
          </w:p>
        </w:tc>
        <w:tc>
          <w:tcPr>
            <w:tcW w:w="240" w:type="dxa"/>
            <w:vAlign w:val="bottom"/>
          </w:tcPr>
          <w:p>
            <w:pPr>
              <w:spacing w:after="0"/>
              <w:rPr>
                <w:sz w:val="18"/>
                <w:szCs w:val="18"/>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48</w:t>
            </w:r>
          </w:p>
        </w:tc>
        <w:tc>
          <w:tcPr>
            <w:tcW w:w="240" w:type="dxa"/>
            <w:vAlign w:val="bottom"/>
          </w:tcPr>
          <w:p>
            <w:pPr>
              <w:spacing w:after="0"/>
              <w:rPr>
                <w:sz w:val="18"/>
                <w:szCs w:val="18"/>
                <w:color w:val="auto"/>
              </w:rPr>
            </w:pP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32406B"/>
              </w:rPr>
              <w:t>19.6</w:t>
            </w:r>
          </w:p>
        </w:tc>
        <w:tc>
          <w:tcPr>
            <w:tcW w:w="220" w:type="dxa"/>
            <w:vAlign w:val="bottom"/>
          </w:tcPr>
          <w:p>
            <w:pPr>
              <w:spacing w:after="0"/>
              <w:rPr>
                <w:sz w:val="18"/>
                <w:szCs w:val="18"/>
                <w:color w:val="auto"/>
              </w:rPr>
            </w:pPr>
          </w:p>
        </w:tc>
        <w:tc>
          <w:tcPr>
            <w:tcW w:w="168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3.0</w:t>
            </w:r>
          </w:p>
        </w:tc>
        <w:tc>
          <w:tcPr>
            <w:tcW w:w="200" w:type="dxa"/>
            <w:vAlign w:val="bottom"/>
          </w:tcPr>
          <w:p>
            <w:pPr>
              <w:spacing w:after="0"/>
              <w:rPr>
                <w:sz w:val="18"/>
                <w:szCs w:val="18"/>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32406B"/>
              </w:rPr>
              <w:t>5.3</w:t>
            </w:r>
          </w:p>
        </w:tc>
      </w:tr>
    </w:tbl>
    <w:p>
      <w:pPr>
        <w:spacing w:after="0" w:line="188"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In this study, a high-calorie, high-fat meal reduced peak exposure and slightly increased overall exposure of PHA121: after a 22 mg dose, the mean C</w:t>
      </w:r>
      <w:r>
        <w:rPr>
          <w:rFonts w:ascii="Times New Roman" w:cs="Times New Roman" w:eastAsia="Times New Roman" w:hAnsi="Times New Roman"/>
          <w:sz w:val="15"/>
          <w:szCs w:val="15"/>
          <w:color w:val="32406B"/>
        </w:rPr>
        <w:t>max</w:t>
      </w:r>
      <w:r>
        <w:rPr>
          <w:rFonts w:ascii="Times New Roman" w:cs="Times New Roman" w:eastAsia="Times New Roman" w:hAnsi="Times New Roman"/>
          <w:sz w:val="18"/>
          <w:szCs w:val="18"/>
          <w:color w:val="32406B"/>
        </w:rPr>
        <w:t xml:space="preserve"> of PHA121 was lower (~32%) while AUC</w:t>
      </w:r>
      <w:r>
        <w:rPr>
          <w:rFonts w:ascii="Times New Roman" w:cs="Times New Roman" w:eastAsia="Times New Roman" w:hAnsi="Times New Roman"/>
          <w:sz w:val="15"/>
          <w:szCs w:val="15"/>
          <w:color w:val="32406B"/>
        </w:rPr>
        <w:t>inf</w:t>
      </w:r>
      <w:r>
        <w:rPr>
          <w:rFonts w:ascii="Times New Roman" w:cs="Times New Roman" w:eastAsia="Times New Roman" w:hAnsi="Times New Roman"/>
          <w:sz w:val="18"/>
          <w:szCs w:val="18"/>
          <w:color w:val="32406B"/>
        </w:rPr>
        <w:t xml:space="preserve"> was higher (~ 42%) when PHA121 was administered after a high calorie, high-fat breakfast (fed conditions) compared to administration under fasted conditions. While the median T</w:t>
      </w:r>
      <w:r>
        <w:rPr>
          <w:rFonts w:ascii="Times New Roman" w:cs="Times New Roman" w:eastAsia="Times New Roman" w:hAnsi="Times New Roman"/>
          <w:sz w:val="15"/>
          <w:szCs w:val="15"/>
          <w:color w:val="32406B"/>
        </w:rPr>
        <w:t>max</w:t>
      </w:r>
      <w:r>
        <w:rPr>
          <w:rFonts w:ascii="Times New Roman" w:cs="Times New Roman" w:eastAsia="Times New Roman" w:hAnsi="Times New Roman"/>
          <w:sz w:val="18"/>
          <w:szCs w:val="18"/>
          <w:color w:val="32406B"/>
        </w:rPr>
        <w:t xml:space="preserve"> of PHA121 was delayed by approximately two hours after administration under fed conditions, the plasma concentration for PHA121 still reached the projected therapeutic levels (EC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as determined in the bradykinin challenge described below) within 15 minutes. As shown in the table, the concentration of PHA121 twelve hours post-dosing at 12 mg or 22 mg remained above projected therapeutic levels under both fed and fasted conditions.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172720</wp:posOffset>
            </wp:positionV>
            <wp:extent cx="4260215" cy="1183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6021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In addition, we also evaluated the PD of PHA121 in a bradykinin challenge model, which was designed to demonstrate PHA121-mediated inhibition of the drop in blood pressure and increase in heart rate resulting from injection of a bradykinin bolus in healthy subjects. The bradykinin challenge is administered at specific intervals after the PHA121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187" w:lineRule="exact"/>
        <w:rPr>
          <w:sz w:val="20"/>
          <w:szCs w:val="20"/>
          <w:color w:val="auto"/>
        </w:rPr>
      </w:pPr>
    </w:p>
    <w:p>
      <w:pPr>
        <w:ind w:right="480" w:firstLine="449"/>
        <w:spacing w:after="0" w:line="258" w:lineRule="auto"/>
        <w:rPr>
          <w:sz w:val="20"/>
          <w:szCs w:val="20"/>
          <w:color w:val="auto"/>
        </w:rPr>
      </w:pPr>
      <w:r>
        <w:rPr>
          <w:rFonts w:ascii="Times New Roman" w:cs="Times New Roman" w:eastAsia="Times New Roman" w:hAnsi="Times New Roman"/>
          <w:sz w:val="18"/>
          <w:szCs w:val="18"/>
          <w:color w:val="32406B"/>
        </w:rPr>
        <w:t>In the bradykinin challenge, we assessed the inhibition of bradykinin effects at single doses of 12 and 22 mg PHA121. Bradykinin was injected intravenously before PHA121 to calibrate each subject’s response, and then at 1, 4, 8, 12 and 24 hours after dosing with PHA121. We monitored cardiovascular responses at each time point (see figure above). At the same time, blood samples were drawn for PK assessment. Bradykinin injection induced a short-term change in mean arterial blood pressure, or MABP, heart rate, or HR, and cardiac output. In the presence of PHA121, this cardiovascular response was dampened to an extent depending on the concentration of PHA121.</w:t>
      </w:r>
    </w:p>
    <w:p>
      <w:pPr>
        <w:spacing w:after="0" w:line="183"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color w:val="32406B"/>
        </w:rPr>
        <w:t>We conducted a PK/PD analysis using the same approach as used by FDA in their evaluation of icatibant. The composite 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xml:space="preserve"> and 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xml:space="preserve"> values estimated from the combination of each PD response associated with the BK challenge are provided in the table below. PHA121 demonstrated higher PD potency based on plasma concentrations (roughly four-fold) than icatibant relative to published data for icatibant. Adjusting for the differences between molecular weight and plasma protein binding, we found that PHA121 is 24-fold more potent (170 pM) in the bradykinin challenge than icatibant (4.1 nM) on a molecule-by-molecule basis, consistent with our preclinical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measurements.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106</w:t>
      </w:r>
    </w:p>
    <w:p>
      <w:pPr>
        <w:sectPr>
          <w:pgSz w:w="11900" w:h="16838" w:orient="portrait"/>
          <w:cols w:equalWidth="0" w:num="1">
            <w:col w:w="11240"/>
          </w:cols>
          <w:pgMar w:left="320" w:top="455"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8"/>
        </w:trPr>
        <w:tc>
          <w:tcPr>
            <w:tcW w:w="4300" w:type="dxa"/>
            <w:vAlign w:val="bottom"/>
            <w:gridSpan w:val="3"/>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460" w:type="dxa"/>
            <w:vAlign w:val="bottom"/>
          </w:tcPr>
          <w:p>
            <w:pPr>
              <w:spacing w:after="0"/>
              <w:rPr>
                <w:sz w:val="24"/>
                <w:szCs w:val="24"/>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32406B"/>
                <w:w w:val="99"/>
              </w:rPr>
              <w:t>Composite</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32406B"/>
                <w:w w:val="99"/>
              </w:rPr>
              <w:t>average</w:t>
            </w: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32406B"/>
              </w:rPr>
              <w:t>PHA121</w:t>
            </w:r>
          </w:p>
        </w:tc>
        <w:tc>
          <w:tcPr>
            <w:tcW w:w="31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32406B"/>
              </w:rPr>
              <w:t>Icatibant</w:t>
            </w:r>
          </w:p>
        </w:tc>
        <w:tc>
          <w:tcPr>
            <w:tcW w:w="0" w:type="dxa"/>
            <w:vAlign w:val="bottom"/>
          </w:tcPr>
          <w:p>
            <w:pPr>
              <w:spacing w:after="0"/>
              <w:rPr>
                <w:sz w:val="1"/>
                <w:szCs w:val="1"/>
                <w:color w:val="auto"/>
              </w:rPr>
            </w:pPr>
          </w:p>
        </w:tc>
      </w:tr>
      <w:tr>
        <w:trPr>
          <w:trHeight w:val="94"/>
        </w:trPr>
        <w:tc>
          <w:tcPr>
            <w:tcW w:w="460" w:type="dxa"/>
            <w:vAlign w:val="bottom"/>
            <w:vMerge w:val="restart"/>
          </w:tcPr>
          <w:p>
            <w:pPr>
              <w:spacing w:after="0"/>
              <w:rPr>
                <w:sz w:val="8"/>
                <w:szCs w:val="8"/>
                <w:color w:val="auto"/>
              </w:rPr>
            </w:pPr>
          </w:p>
        </w:tc>
        <w:tc>
          <w:tcPr>
            <w:tcW w:w="3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xml:space="preserve"> (ng/mL)</w:t>
            </w:r>
          </w:p>
        </w:tc>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7"/>
              </w:rPr>
              <w:t>2.4</w:t>
            </w:r>
          </w:p>
        </w:tc>
        <w:tc>
          <w:tcPr>
            <w:tcW w:w="20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32406B"/>
              </w:rPr>
              <w:t>9.5</w:t>
            </w:r>
          </w:p>
        </w:tc>
        <w:tc>
          <w:tcPr>
            <w:tcW w:w="0" w:type="dxa"/>
            <w:vAlign w:val="bottom"/>
          </w:tcPr>
          <w:p>
            <w:pPr>
              <w:spacing w:after="0"/>
              <w:rPr>
                <w:sz w:val="1"/>
                <w:szCs w:val="1"/>
                <w:color w:val="auto"/>
              </w:rPr>
            </w:pPr>
          </w:p>
        </w:tc>
      </w:tr>
      <w:tr>
        <w:trPr>
          <w:trHeight w:val="451"/>
        </w:trPr>
        <w:tc>
          <w:tcPr>
            <w:tcW w:w="43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32406B"/>
              </w:rPr>
              <w:t>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xml:space="preserve"> (ng/mL)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32406B"/>
              </w:rPr>
              <w:t>13.8</w:t>
            </w:r>
          </w:p>
        </w:tc>
        <w:tc>
          <w:tcPr>
            <w:tcW w:w="200" w:type="dxa"/>
            <w:vAlign w:val="bottom"/>
          </w:tcPr>
          <w:p>
            <w:pPr>
              <w:spacing w:after="0"/>
              <w:rPr>
                <w:sz w:val="24"/>
                <w:szCs w:val="24"/>
                <w:color w:val="auto"/>
              </w:rPr>
            </w:pPr>
          </w:p>
        </w:tc>
        <w:tc>
          <w:tcPr>
            <w:tcW w:w="31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32406B"/>
              </w:rPr>
              <w:t>53.8</w:t>
            </w:r>
          </w:p>
        </w:tc>
        <w:tc>
          <w:tcPr>
            <w:tcW w:w="0" w:type="dxa"/>
            <w:vAlign w:val="bottom"/>
          </w:tcPr>
          <w:p>
            <w:pPr>
              <w:spacing w:after="0"/>
              <w:rPr>
                <w:sz w:val="1"/>
                <w:szCs w:val="1"/>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580" w:right="960"/>
        <w:spacing w:after="0" w:line="261" w:lineRule="auto"/>
        <w:rPr>
          <w:sz w:val="20"/>
          <w:szCs w:val="20"/>
          <w:color w:val="auto"/>
        </w:rPr>
      </w:pPr>
      <w:r>
        <w:rPr>
          <w:rFonts w:ascii="Times New Roman" w:cs="Times New Roman" w:eastAsia="Times New Roman" w:hAnsi="Times New Roman"/>
          <w:sz w:val="14"/>
          <w:szCs w:val="14"/>
          <w:color w:val="32406B"/>
        </w:rPr>
        <w:t>EC</w:t>
      </w:r>
      <w:r>
        <w:rPr>
          <w:rFonts w:ascii="Times New Roman" w:cs="Times New Roman" w:eastAsia="Times New Roman" w:hAnsi="Times New Roman"/>
          <w:sz w:val="12"/>
          <w:szCs w:val="12"/>
          <w:color w:val="32406B"/>
        </w:rPr>
        <w:t>50</w:t>
      </w:r>
      <w:r>
        <w:rPr>
          <w:rFonts w:ascii="Times New Roman" w:cs="Times New Roman" w:eastAsia="Times New Roman" w:hAnsi="Times New Roman"/>
          <w:sz w:val="14"/>
          <w:szCs w:val="14"/>
          <w:color w:val="32406B"/>
        </w:rPr>
        <w:t>: concentration at which compound induces a response half of its maximum possible response; EC</w:t>
      </w:r>
      <w:r>
        <w:rPr>
          <w:rFonts w:ascii="Times New Roman" w:cs="Times New Roman" w:eastAsia="Times New Roman" w:hAnsi="Times New Roman"/>
          <w:sz w:val="12"/>
          <w:szCs w:val="12"/>
          <w:color w:val="32406B"/>
        </w:rPr>
        <w:t>85</w:t>
      </w:r>
      <w:r>
        <w:rPr>
          <w:rFonts w:ascii="Times New Roman" w:cs="Times New Roman" w:eastAsia="Times New Roman" w:hAnsi="Times New Roman"/>
          <w:sz w:val="14"/>
          <w:szCs w:val="14"/>
          <w:color w:val="32406B"/>
        </w:rPr>
        <w:t>: concentration at which a compound induces 85% of its maximum response.</w:t>
      </w:r>
    </w:p>
    <w:p>
      <w:pPr>
        <w:spacing w:after="0" w:line="27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32406B"/>
        </w:rPr>
        <w:t>The data also allowed us to compare the projected therapeutic performance of PHA121 with that of icatibant, but we do not yet have data from the PHA121 Phase 2 study. In addition, we have not conducted a head-to-head comparison of icatibant to PHA121 in a clinical trial but have compared the published data for icatibant to data from our Phase 1 clinical trial of PHA121. While we believe this comparison to icatibant to be useful and appropriate, the value of this and other comparisons to icatibant in this prospectus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to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xml:space="preserve"> and a 50% probability to be above EC85 correlate with therapeutic efficacy. Applying these criteria as exposure targets for PHA121 leads us to project that due to PHA121’s longer half-life, we believe PHA121 will stay above these therapeutic targets for much longer than icatibant. The 12 mg dose of PHA121 showed rapid absorption and then stayed above 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xml:space="preserve"> for 10-12 hours and above the EC</w:t>
      </w:r>
      <w:r>
        <w:rPr>
          <w:rFonts w:ascii="Times New Roman" w:cs="Times New Roman" w:eastAsia="Times New Roman" w:hAnsi="Times New Roman"/>
          <w:sz w:val="15"/>
          <w:szCs w:val="15"/>
          <w:color w:val="32406B"/>
        </w:rPr>
        <w:t>85</w:t>
      </w:r>
      <w:r>
        <w:rPr>
          <w:rFonts w:ascii="Times New Roman" w:cs="Times New Roman" w:eastAsia="Times New Roman" w:hAnsi="Times New Roman"/>
          <w:sz w:val="18"/>
          <w:szCs w:val="18"/>
          <w:color w:val="32406B"/>
        </w:rPr>
        <w:t xml:space="preserve"> for 7 hours, suggesting that this dose may be at least as effective as a 30 mg s.c. injection of icatibant. A 30 mg s.c. icatibant dose has been documented to effectively treat 93% of acute HAE attacks (Icatibant Outcome Survey, or IOS, study reference).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table below compares 30 mg of icatibant to 12 mg and 22 mg of PHA121 based on BK-challenge modeling and simulation.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Response</w:t>
            </w:r>
          </w:p>
        </w:tc>
        <w:tc>
          <w:tcPr>
            <w:tcW w:w="2000" w:type="dxa"/>
            <w:vAlign w:val="bottom"/>
          </w:tcPr>
          <w:p>
            <w:pPr>
              <w:jc w:val="center"/>
              <w:ind w:left="515"/>
              <w:spacing w:after="0"/>
              <w:rPr>
                <w:sz w:val="20"/>
                <w:szCs w:val="20"/>
                <w:color w:val="auto"/>
              </w:rPr>
            </w:pPr>
            <w:r>
              <w:rPr>
                <w:rFonts w:ascii="Times New Roman" w:cs="Times New Roman" w:eastAsia="Times New Roman" w:hAnsi="Times New Roman"/>
                <w:sz w:val="14"/>
                <w:szCs w:val="14"/>
                <w:b w:val="1"/>
                <w:bCs w:val="1"/>
                <w:color w:val="32406B"/>
              </w:rPr>
              <w:t>Icatibant 30 mg</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32406B"/>
              </w:rPr>
              <w:t>PHA121 12 mg</w:t>
            </w:r>
          </w:p>
        </w:tc>
        <w:tc>
          <w:tcPr>
            <w:tcW w:w="1960" w:type="dxa"/>
            <w:vAlign w:val="bottom"/>
          </w:tcPr>
          <w:p>
            <w:pPr>
              <w:jc w:val="center"/>
              <w:ind w:right="435"/>
              <w:spacing w:after="0"/>
              <w:rPr>
                <w:sz w:val="20"/>
                <w:szCs w:val="20"/>
                <w:color w:val="auto"/>
              </w:rPr>
            </w:pPr>
            <w:r>
              <w:rPr>
                <w:rFonts w:ascii="Times New Roman" w:cs="Times New Roman" w:eastAsia="Times New Roman" w:hAnsi="Times New Roman"/>
                <w:sz w:val="14"/>
                <w:szCs w:val="14"/>
                <w:b w:val="1"/>
                <w:bCs w:val="1"/>
                <w:color w:val="32406B"/>
              </w:rPr>
              <w:t>PHA121 22 mg</w:t>
            </w:r>
          </w:p>
        </w:tc>
        <w:tc>
          <w:tcPr>
            <w:tcW w:w="0" w:type="dxa"/>
            <w:vAlign w:val="bottom"/>
          </w:tcPr>
          <w:p>
            <w:pPr>
              <w:spacing w:after="0"/>
              <w:rPr>
                <w:sz w:val="1"/>
                <w:szCs w:val="1"/>
                <w:color w:val="auto"/>
              </w:rPr>
            </w:pPr>
          </w:p>
        </w:tc>
      </w:tr>
      <w:tr>
        <w:trPr>
          <w:trHeight w:val="180"/>
        </w:trPr>
        <w:tc>
          <w:tcPr>
            <w:tcW w:w="3160" w:type="dxa"/>
            <w:vAlign w:val="bottom"/>
            <w:gridSpan w:val="2"/>
            <w:vMerge w:val="continue"/>
          </w:tcPr>
          <w:p>
            <w:pPr>
              <w:spacing w:after="0"/>
              <w:rPr>
                <w:sz w:val="15"/>
                <w:szCs w:val="15"/>
                <w:color w:val="auto"/>
              </w:rPr>
            </w:pPr>
          </w:p>
        </w:tc>
        <w:tc>
          <w:tcPr>
            <w:tcW w:w="2000" w:type="dxa"/>
            <w:vAlign w:val="bottom"/>
          </w:tcPr>
          <w:p>
            <w:pPr>
              <w:jc w:val="center"/>
              <w:ind w:left="515"/>
              <w:spacing w:after="0"/>
              <w:rPr>
                <w:sz w:val="20"/>
                <w:szCs w:val="20"/>
                <w:color w:val="auto"/>
              </w:rPr>
            </w:pPr>
            <w:r>
              <w:rPr>
                <w:rFonts w:ascii="Times New Roman" w:cs="Times New Roman" w:eastAsia="Times New Roman" w:hAnsi="Times New Roman"/>
                <w:sz w:val="14"/>
                <w:szCs w:val="14"/>
                <w:b w:val="1"/>
                <w:bCs w:val="1"/>
                <w:color w:val="32406B"/>
                <w:w w:val="99"/>
              </w:rPr>
              <w:t>(s.c.)</w:t>
            </w:r>
          </w:p>
        </w:tc>
        <w:tc>
          <w:tcPr>
            <w:tcW w:w="41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32406B"/>
              </w:rPr>
              <w:t>(oral)</w:t>
            </w:r>
          </w:p>
        </w:tc>
        <w:tc>
          <w:tcPr>
            <w:tcW w:w="1960" w:type="dxa"/>
            <w:vAlign w:val="bottom"/>
          </w:tcPr>
          <w:p>
            <w:pPr>
              <w:jc w:val="center"/>
              <w:ind w:right="415"/>
              <w:spacing w:after="0"/>
              <w:rPr>
                <w:sz w:val="20"/>
                <w:szCs w:val="20"/>
                <w:color w:val="auto"/>
              </w:rPr>
            </w:pPr>
            <w:r>
              <w:rPr>
                <w:rFonts w:ascii="Times New Roman" w:cs="Times New Roman" w:eastAsia="Times New Roman" w:hAnsi="Times New Roman"/>
                <w:sz w:val="14"/>
                <w:szCs w:val="14"/>
                <w:b w:val="1"/>
                <w:bCs w:val="1"/>
                <w:color w:val="32406B"/>
              </w:rPr>
              <w:t>(oral)</w:t>
            </w:r>
          </w:p>
        </w:tc>
        <w:tc>
          <w:tcPr>
            <w:tcW w:w="0" w:type="dxa"/>
            <w:vAlign w:val="bottom"/>
          </w:tcPr>
          <w:p>
            <w:pPr>
              <w:spacing w:after="0"/>
              <w:rPr>
                <w:sz w:val="1"/>
                <w:szCs w:val="1"/>
                <w:color w:val="auto"/>
              </w:rPr>
            </w:pPr>
          </w:p>
        </w:tc>
      </w:tr>
      <w:tr>
        <w:trPr>
          <w:trHeight w:val="162"/>
        </w:trPr>
        <w:tc>
          <w:tcPr>
            <w:tcW w:w="580" w:type="dxa"/>
            <w:vAlign w:val="bottom"/>
            <w:tcBorders>
              <w:top w:val="single" w:sz="8" w:color="auto"/>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000" w:type="dxa"/>
            <w:vAlign w:val="bottom"/>
            <w:tcBorders>
              <w:top w:val="single" w:sz="8" w:color="auto"/>
              <w:bottom w:val="single" w:sz="8" w:color="auto"/>
            </w:tcBorders>
          </w:tcPr>
          <w:p>
            <w:pPr>
              <w:spacing w:after="0"/>
              <w:rPr>
                <w:sz w:val="14"/>
                <w:szCs w:val="14"/>
                <w:color w:val="auto"/>
              </w:rPr>
            </w:pPr>
          </w:p>
        </w:tc>
        <w:tc>
          <w:tcPr>
            <w:tcW w:w="41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32406B"/>
              </w:rPr>
              <w:t>Time (h) plasma level above EC</w:t>
            </w:r>
            <w:r>
              <w:rPr>
                <w:rFonts w:ascii="Times New Roman" w:cs="Times New Roman" w:eastAsia="Times New Roman" w:hAnsi="Times New Roman"/>
                <w:sz w:val="12"/>
                <w:szCs w:val="12"/>
                <w:b w:val="1"/>
                <w:bCs w:val="1"/>
                <w:color w:val="32406B"/>
              </w:rPr>
              <w:t>50</w:t>
            </w:r>
            <w:r>
              <w:rPr>
                <w:rFonts w:ascii="Times New Roman" w:cs="Times New Roman" w:eastAsia="Times New Roman" w:hAnsi="Times New Roman"/>
                <w:sz w:val="14"/>
                <w:szCs w:val="14"/>
                <w:b w:val="1"/>
                <w:bCs w:val="1"/>
                <w:color w:val="32406B"/>
              </w:rPr>
              <w:t xml:space="preserve"> at a 75% confidence level</w:t>
            </w:r>
          </w:p>
        </w:tc>
        <w:tc>
          <w:tcPr>
            <w:tcW w:w="196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Diastolic blood pressure (DBP)</w:t>
            </w:r>
          </w:p>
        </w:tc>
        <w:tc>
          <w:tcPr>
            <w:tcW w:w="200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32406B"/>
                <w:w w:val="88"/>
              </w:rPr>
              <w:t>6</w:t>
            </w:r>
          </w:p>
        </w:tc>
        <w:tc>
          <w:tcPr>
            <w:tcW w:w="41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32406B"/>
                <w:w w:val="95"/>
              </w:rPr>
              <w:t>11.5</w:t>
            </w:r>
          </w:p>
        </w:tc>
        <w:tc>
          <w:tcPr>
            <w:tcW w:w="1960" w:type="dxa"/>
            <w:vAlign w:val="bottom"/>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32406B"/>
                <w:w w:val="99"/>
              </w:rPr>
              <w:t>14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MABP</w:t>
            </w:r>
          </w:p>
        </w:tc>
        <w:tc>
          <w:tcPr>
            <w:tcW w:w="200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32406B"/>
                <w:w w:val="88"/>
              </w:rPr>
              <w:t>6</w:t>
            </w:r>
          </w:p>
        </w:tc>
        <w:tc>
          <w:tcPr>
            <w:tcW w:w="4120" w:type="dxa"/>
            <w:vAlign w:val="bottom"/>
          </w:tcPr>
          <w:p>
            <w:pPr>
              <w:jc w:val="center"/>
              <w:ind w:left="17"/>
              <w:spacing w:after="0"/>
              <w:rPr>
                <w:sz w:val="20"/>
                <w:szCs w:val="20"/>
                <w:color w:val="auto"/>
              </w:rPr>
            </w:pPr>
            <w:r>
              <w:rPr>
                <w:rFonts w:ascii="Times New Roman" w:cs="Times New Roman" w:eastAsia="Times New Roman" w:hAnsi="Times New Roman"/>
                <w:sz w:val="18"/>
                <w:szCs w:val="18"/>
                <w:color w:val="32406B"/>
                <w:w w:val="99"/>
              </w:rPr>
              <w:t>12</w:t>
            </w:r>
          </w:p>
        </w:tc>
        <w:tc>
          <w:tcPr>
            <w:tcW w:w="1960" w:type="dxa"/>
            <w:vAlign w:val="bottom"/>
          </w:tcPr>
          <w:p>
            <w:pPr>
              <w:jc w:val="center"/>
              <w:ind w:right="435"/>
              <w:spacing w:after="0"/>
              <w:rPr>
                <w:sz w:val="20"/>
                <w:szCs w:val="20"/>
                <w:color w:val="auto"/>
              </w:rPr>
            </w:pPr>
            <w:r>
              <w:rPr>
                <w:rFonts w:ascii="Times New Roman" w:cs="Times New Roman" w:eastAsia="Times New Roman" w:hAnsi="Times New Roman"/>
                <w:sz w:val="18"/>
                <w:szCs w:val="18"/>
                <w:color w:val="32406B"/>
              </w:rPr>
              <w:t>15.5</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Heart rate</w:t>
            </w:r>
          </w:p>
        </w:tc>
        <w:tc>
          <w:tcPr>
            <w:tcW w:w="2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32406B"/>
                <w:w w:val="97"/>
              </w:rPr>
              <w:t>6.5</w:t>
            </w:r>
          </w:p>
        </w:tc>
        <w:tc>
          <w:tcPr>
            <w:tcW w:w="41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32406B"/>
                <w:w w:val="99"/>
              </w:rPr>
              <w:t>10</w:t>
            </w:r>
          </w:p>
        </w:tc>
        <w:tc>
          <w:tcPr>
            <w:tcW w:w="1960" w:type="dxa"/>
            <w:vAlign w:val="bottom"/>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32406B"/>
                <w:w w:val="99"/>
              </w:rPr>
              <w:t>13</w:t>
            </w:r>
          </w:p>
        </w:tc>
        <w:tc>
          <w:tcPr>
            <w:tcW w:w="0" w:type="dxa"/>
            <w:vAlign w:val="bottom"/>
          </w:tcPr>
          <w:p>
            <w:pPr>
              <w:spacing w:after="0"/>
              <w:rPr>
                <w:sz w:val="1"/>
                <w:szCs w:val="1"/>
                <w:color w:val="auto"/>
              </w:rPr>
            </w:pPr>
          </w:p>
        </w:tc>
      </w:tr>
      <w:tr>
        <w:trPr>
          <w:trHeight w:val="270"/>
        </w:trPr>
        <w:tc>
          <w:tcPr>
            <w:tcW w:w="580" w:type="dxa"/>
            <w:vAlign w:val="bottom"/>
            <w:tcBorders>
              <w:bottom w:val="single" w:sz="8" w:color="CCEEFF"/>
            </w:tcBorders>
          </w:tcPr>
          <w:p>
            <w:pPr>
              <w:spacing w:after="0"/>
              <w:rPr>
                <w:sz w:val="23"/>
                <w:szCs w:val="23"/>
                <w:color w:val="auto"/>
              </w:rPr>
            </w:pPr>
          </w:p>
        </w:tc>
        <w:tc>
          <w:tcPr>
            <w:tcW w:w="258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32406B"/>
              </w:rPr>
              <w:t>Time (h) plasma level above EC</w:t>
            </w:r>
            <w:r>
              <w:rPr>
                <w:rFonts w:ascii="Times New Roman" w:cs="Times New Roman" w:eastAsia="Times New Roman" w:hAnsi="Times New Roman"/>
                <w:sz w:val="12"/>
                <w:szCs w:val="12"/>
                <w:b w:val="1"/>
                <w:bCs w:val="1"/>
                <w:color w:val="32406B"/>
              </w:rPr>
              <w:t>85</w:t>
            </w:r>
            <w:r>
              <w:rPr>
                <w:rFonts w:ascii="Times New Roman" w:cs="Times New Roman" w:eastAsia="Times New Roman" w:hAnsi="Times New Roman"/>
                <w:sz w:val="14"/>
                <w:szCs w:val="14"/>
                <w:b w:val="1"/>
                <w:bCs w:val="1"/>
                <w:color w:val="32406B"/>
              </w:rPr>
              <w:t xml:space="preserve"> at a 50% confidence level</w:t>
            </w:r>
          </w:p>
        </w:tc>
        <w:tc>
          <w:tcPr>
            <w:tcW w:w="1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DBP</w:t>
            </w:r>
          </w:p>
        </w:tc>
        <w:tc>
          <w:tcPr>
            <w:tcW w:w="2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32406B"/>
                <w:w w:val="97"/>
              </w:rPr>
              <w:t>5.5</w:t>
            </w:r>
          </w:p>
        </w:tc>
        <w:tc>
          <w:tcPr>
            <w:tcW w:w="41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32406B"/>
                <w:w w:val="97"/>
              </w:rPr>
              <w:t>7.5</w:t>
            </w:r>
          </w:p>
        </w:tc>
        <w:tc>
          <w:tcPr>
            <w:tcW w:w="1960" w:type="dxa"/>
            <w:vAlign w:val="bottom"/>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32406B"/>
                <w:w w:val="99"/>
              </w:rPr>
              <w:t>10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MABP</w:t>
            </w:r>
          </w:p>
        </w:tc>
        <w:tc>
          <w:tcPr>
            <w:tcW w:w="20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32406B"/>
                <w:w w:val="97"/>
              </w:rPr>
              <w:t>5.5</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88"/>
              </w:rPr>
              <w:t>7</w:t>
            </w:r>
          </w:p>
        </w:tc>
        <w:tc>
          <w:tcPr>
            <w:tcW w:w="1960" w:type="dxa"/>
            <w:vAlign w:val="bottom"/>
          </w:tcPr>
          <w:p>
            <w:pPr>
              <w:jc w:val="center"/>
              <w:ind w:right="415"/>
              <w:spacing w:after="0"/>
              <w:rPr>
                <w:sz w:val="20"/>
                <w:szCs w:val="20"/>
                <w:color w:val="auto"/>
              </w:rPr>
            </w:pPr>
            <w:r>
              <w:rPr>
                <w:rFonts w:ascii="Times New Roman" w:cs="Times New Roman" w:eastAsia="Times New Roman" w:hAnsi="Times New Roman"/>
                <w:sz w:val="18"/>
                <w:szCs w:val="18"/>
                <w:color w:val="32406B"/>
                <w:w w:val="99"/>
              </w:rPr>
              <w:t>10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Heart rate</w:t>
            </w:r>
          </w:p>
        </w:tc>
        <w:tc>
          <w:tcPr>
            <w:tcW w:w="200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32406B"/>
                <w:w w:val="97"/>
              </w:rPr>
              <w:t>5.5</w:t>
            </w:r>
          </w:p>
        </w:tc>
        <w:tc>
          <w:tcPr>
            <w:tcW w:w="412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32406B"/>
                <w:w w:val="97"/>
              </w:rPr>
              <w:t>6.5</w:t>
            </w:r>
          </w:p>
        </w:tc>
        <w:tc>
          <w:tcPr>
            <w:tcW w:w="1960" w:type="dxa"/>
            <w:vAlign w:val="bottom"/>
            <w:shd w:val="clear" w:color="auto" w:fill="CCEEFF"/>
          </w:tcPr>
          <w:p>
            <w:pPr>
              <w:jc w:val="center"/>
              <w:ind w:right="415"/>
              <w:spacing w:after="0"/>
              <w:rPr>
                <w:sz w:val="20"/>
                <w:szCs w:val="20"/>
                <w:color w:val="auto"/>
              </w:rPr>
            </w:pPr>
            <w:r>
              <w:rPr>
                <w:rFonts w:ascii="Times New Roman" w:cs="Times New Roman" w:eastAsia="Times New Roman" w:hAnsi="Times New Roman"/>
                <w:sz w:val="18"/>
                <w:szCs w:val="18"/>
                <w:color w:val="32406B"/>
                <w:w w:val="97"/>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32406B"/>
        </w:rPr>
        <w:t>The chart below shows the simulation of PK and PD resulting from single (left) or double (right) doses of icatibant as compared to single doses of PHA121 at 12 mg (left) or 22 mg (right), using a non-linear mixed-effect model built from published data of icatibant and our bradykinin challenge study. As shown in the bottom row, the modeled PD effect of PHA121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 survey.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107</w:t>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208280</wp:posOffset>
            </wp:positionV>
            <wp:extent cx="4149090" cy="23399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4909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In conclusion, PHA121 was well tolerated when administered orally at the doses tested without any dose-limiting toxicity. PHA121 was rapidly absorbed in either fasting or fed conditions and showed dose proportional PK for PHA121. The BK challenge demonstrated that PHA121 potently blocks the effects of bradykinin-induced hemodynamic changes and provided the robust rationale for dose selection in future on-demand and prophylactic HAE trials.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32406B"/>
        </w:rPr>
        <w:t>PHA121-C002 (SAD extension)</w:t>
      </w:r>
    </w:p>
    <w:p>
      <w:pPr>
        <w:spacing w:after="0" w:line="117"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PHA121-C002 was a randomized, double-blind, placebo-controlled, single ascending dose extension trial designed to examine the safety, tolerability, and PK of single ascending oral doses of 22, 33, and 50 mg of PHA121 after a standard caloric meal and 40 mg in fasting conditions. A total of 32 subjects received either PHA121, with respect to 24 subjects, or placebo, with respect to 8 subjects.</w:t>
      </w:r>
    </w:p>
    <w:p>
      <w:pPr>
        <w:spacing w:after="0" w:line="176"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The trial results showed that PHA121 was well tolerated at doses up to 40 mg under fasting and 50 mg under fed conditions. There were no SAEs reported. Treatment-related AEs that were reported as possibly related to PHA121 were mild nausea (22 mg) (one subject), mild headache (50 mg) (one subject), and moderate headache associated with vomiting (50 mg) (one subject). There were no clinically significant changes in vital signs, laboratory or ECG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142875</wp:posOffset>
            </wp:positionV>
            <wp:extent cx="3737610" cy="2040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3761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108</w:t>
      </w:r>
    </w:p>
    <w:p>
      <w:pPr>
        <w:sectPr>
          <w:pgSz w:w="11900" w:h="16838" w:orient="portrait"/>
          <w:cols w:equalWidth="0" w:num="1">
            <w:col w:w="11220"/>
          </w:cols>
          <w:pgMar w:left="320" w:top="455" w:right="3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Over the investigated dose range from 22 to 50 mg (factor 2.27 increase) after a standardized breakfast, PHA121 showed dose-proportional PK with a 2.4-fold increase for mean Cmax and AUC0-24h. Administration of PHA121 after a standardized breakfast resulted in 40-50% decrease in Cmax without a change in AUCinf as compared to administration under fasting conditions. As a result, C12</w:t>
      </w:r>
      <w:r>
        <w:rPr>
          <w:rFonts w:ascii="Times New Roman" w:cs="Times New Roman" w:eastAsia="Times New Roman" w:hAnsi="Times New Roman"/>
          <w:sz w:val="15"/>
          <w:szCs w:val="15"/>
          <w:color w:val="32406B"/>
        </w:rPr>
        <w:t>h</w:t>
      </w:r>
      <w:r>
        <w:rPr>
          <w:rFonts w:ascii="Times New Roman" w:cs="Times New Roman" w:eastAsia="Times New Roman" w:hAnsi="Times New Roman"/>
          <w:sz w:val="18"/>
          <w:szCs w:val="18"/>
          <w:color w:val="32406B"/>
        </w:rPr>
        <w:t xml:space="preserve"> and C24</w:t>
      </w:r>
      <w:r>
        <w:rPr>
          <w:rFonts w:ascii="Times New Roman" w:cs="Times New Roman" w:eastAsia="Times New Roman" w:hAnsi="Times New Roman"/>
          <w:sz w:val="15"/>
          <w:szCs w:val="15"/>
          <w:color w:val="32406B"/>
        </w:rPr>
        <w:t>h</w:t>
      </w:r>
      <w:r>
        <w:rPr>
          <w:rFonts w:ascii="Times New Roman" w:cs="Times New Roman" w:eastAsia="Times New Roman" w:hAnsi="Times New Roman"/>
          <w:sz w:val="18"/>
          <w:szCs w:val="18"/>
          <w:color w:val="32406B"/>
        </w:rPr>
        <w:t xml:space="preserve"> plasma concentration for PHA121 were higher under fed conditions. These observations support the potential use of this formulation for initial studies in a prophylactic setting by dosing with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142875</wp:posOffset>
            </wp:positionV>
            <wp:extent cx="4003040" cy="1929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00304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22 mg of PHA121</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22 mg of PHA121</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32406B"/>
              </w:rPr>
              <w:t>22 mg of PHA121</w:t>
            </w:r>
          </w:p>
        </w:tc>
      </w:tr>
      <w:tr>
        <w:trPr>
          <w:trHeight w:val="187"/>
        </w:trPr>
        <w:tc>
          <w:tcPr>
            <w:tcW w:w="3160" w:type="dxa"/>
            <w:vAlign w:val="bottom"/>
          </w:tcPr>
          <w:p>
            <w:pPr>
              <w:spacing w:after="0"/>
              <w:rPr>
                <w:sz w:val="16"/>
                <w:szCs w:val="16"/>
                <w:color w:val="auto"/>
              </w:rPr>
            </w:pP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Fasted</w:t>
            </w:r>
          </w:p>
        </w:tc>
        <w:tc>
          <w:tcPr>
            <w:tcW w:w="2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32406B"/>
              </w:rPr>
              <w:t>HCHF</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32406B"/>
              </w:rPr>
              <w:t>Standard Meal</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w:t>
            </w:r>
            <w:r>
              <w:rPr>
                <w:rFonts w:ascii="Times New Roman" w:cs="Times New Roman" w:eastAsia="Times New Roman" w:hAnsi="Times New Roman"/>
                <w:sz w:val="15"/>
                <w:szCs w:val="15"/>
                <w:b w:val="1"/>
                <w:bCs w:val="1"/>
                <w:color w:val="32406B"/>
              </w:rPr>
              <w:t>12h’</w:t>
            </w:r>
            <w:r>
              <w:rPr>
                <w:rFonts w:ascii="Times New Roman" w:cs="Times New Roman" w:eastAsia="Times New Roman" w:hAnsi="Times New Roman"/>
                <w:sz w:val="18"/>
                <w:szCs w:val="18"/>
                <w:b w:val="1"/>
                <w:bCs w:val="1"/>
                <w:color w:val="32406B"/>
              </w:rPr>
              <w:t xml:space="preserve"> ng/mL</w:t>
            </w: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7"/>
              </w:rPr>
              <w:t>8.3</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rPr>
              <w:t>19.6</w:t>
            </w:r>
          </w:p>
        </w:tc>
        <w:tc>
          <w:tcPr>
            <w:tcW w:w="2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rPr>
              <w:t>17.3</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w:t>
            </w:r>
            <w:r>
              <w:rPr>
                <w:rFonts w:ascii="Times New Roman" w:cs="Times New Roman" w:eastAsia="Times New Roman" w:hAnsi="Times New Roman"/>
                <w:sz w:val="15"/>
                <w:szCs w:val="15"/>
                <w:b w:val="1"/>
                <w:bCs w:val="1"/>
                <w:color w:val="32406B"/>
              </w:rPr>
              <w:t>24h’</w:t>
            </w:r>
            <w:r>
              <w:rPr>
                <w:rFonts w:ascii="Times New Roman" w:cs="Times New Roman" w:eastAsia="Times New Roman" w:hAnsi="Times New Roman"/>
                <w:sz w:val="18"/>
                <w:szCs w:val="18"/>
                <w:b w:val="1"/>
                <w:bCs w:val="1"/>
                <w:color w:val="32406B"/>
              </w:rPr>
              <w:t xml:space="preserve"> ng/mL</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1.1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5.4</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2.5</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w:t>
            </w:r>
            <w:r>
              <w:rPr>
                <w:rFonts w:ascii="Times New Roman" w:cs="Times New Roman" w:eastAsia="Times New Roman" w:hAnsi="Times New Roman"/>
                <w:sz w:val="15"/>
                <w:szCs w:val="15"/>
                <w:b w:val="1"/>
                <w:bCs w:val="1"/>
                <w:color w:val="32406B"/>
              </w:rPr>
              <w:t>max’</w:t>
            </w:r>
            <w:r>
              <w:rPr>
                <w:rFonts w:ascii="Times New Roman" w:cs="Times New Roman" w:eastAsia="Times New Roman" w:hAnsi="Times New Roman"/>
                <w:sz w:val="18"/>
                <w:szCs w:val="18"/>
                <w:b w:val="1"/>
                <w:bCs w:val="1"/>
                <w:color w:val="32406B"/>
              </w:rPr>
              <w:t xml:space="preserve"> ng/mL</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rPr>
              <w:t>213</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rPr>
              <w:t>145</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6"/>
              </w:rPr>
              <w:t>115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AUC</w:t>
            </w:r>
            <w:r>
              <w:rPr>
                <w:rFonts w:ascii="Times New Roman" w:cs="Times New Roman" w:eastAsia="Times New Roman" w:hAnsi="Times New Roman"/>
                <w:sz w:val="15"/>
                <w:szCs w:val="15"/>
                <w:b w:val="1"/>
                <w:bCs w:val="1"/>
                <w:color w:val="32406B"/>
              </w:rPr>
              <w:t>0-24h’</w:t>
            </w:r>
            <w:r>
              <w:rPr>
                <w:rFonts w:ascii="Times New Roman" w:cs="Times New Roman" w:eastAsia="Times New Roman" w:hAnsi="Times New Roman"/>
                <w:sz w:val="18"/>
                <w:szCs w:val="18"/>
                <w:b w:val="1"/>
                <w:bCs w:val="1"/>
                <w:color w:val="32406B"/>
              </w:rPr>
              <w:t xml:space="preserve"> ng.h/mL</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32406B"/>
              </w:rPr>
              <w:t>671</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32406B"/>
              </w:rPr>
              <w:t>966</w:t>
            </w:r>
          </w:p>
        </w:tc>
        <w:tc>
          <w:tcPr>
            <w:tcW w:w="2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32406B"/>
              </w:rPr>
              <w:t>750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w:t>
            </w:r>
            <w:r>
              <w:rPr>
                <w:rFonts w:ascii="Times New Roman" w:cs="Times New Roman" w:eastAsia="Times New Roman" w:hAnsi="Times New Roman"/>
                <w:sz w:val="15"/>
                <w:szCs w:val="15"/>
                <w:b w:val="1"/>
                <w:bCs w:val="1"/>
                <w:color w:val="32406B"/>
              </w:rPr>
              <w:t>max’</w:t>
            </w:r>
            <w:r>
              <w:rPr>
                <w:rFonts w:ascii="Times New Roman" w:cs="Times New Roman" w:eastAsia="Times New Roman" w:hAnsi="Times New Roman"/>
                <w:sz w:val="18"/>
                <w:szCs w:val="18"/>
                <w:b w:val="1"/>
                <w:bCs w:val="1"/>
                <w:color w:val="32406B"/>
              </w:rPr>
              <w:t xml:space="preserve"> h</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8"/>
              </w:rPr>
              <w:t>0.25-1.02</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8"/>
              </w:rPr>
              <w:t>2.00-3.00</w:t>
            </w: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2406B"/>
                <w:w w:val="98"/>
              </w:rPr>
              <w:t>0.50-4.00</w:t>
            </w: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w:t>
            </w:r>
            <w:r>
              <w:rPr>
                <w:rFonts w:ascii="Times New Roman" w:cs="Times New Roman" w:eastAsia="Times New Roman" w:hAnsi="Times New Roman"/>
                <w:sz w:val="15"/>
                <w:szCs w:val="15"/>
                <w:b w:val="1"/>
                <w:bCs w:val="1"/>
                <w:color w:val="32406B"/>
              </w:rPr>
              <w:t>1/2’</w:t>
            </w:r>
            <w:r>
              <w:rPr>
                <w:rFonts w:ascii="Times New Roman" w:cs="Times New Roman" w:eastAsia="Times New Roman" w:hAnsi="Times New Roman"/>
                <w:sz w:val="18"/>
                <w:szCs w:val="18"/>
                <w:b w:val="1"/>
                <w:bCs w:val="1"/>
                <w:color w:val="32406B"/>
              </w:rPr>
              <w:t xml:space="preserve"> h</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5.6</w:t>
            </w: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5.3</w:t>
            </w:r>
          </w:p>
        </w:tc>
        <w:tc>
          <w:tcPr>
            <w:tcW w:w="2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32406B"/>
                <w:w w:val="97"/>
              </w:rPr>
              <w:t>4.3</w:t>
            </w:r>
          </w:p>
        </w:tc>
      </w:tr>
    </w:tbl>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32406B"/>
        </w:rPr>
        <w:t>PHA121-C004 (DDI-CYP3A4 inhibitor, itraconazole, interaction)</w:t>
      </w:r>
    </w:p>
    <w:p>
      <w:pPr>
        <w:spacing w:after="0" w:line="117"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32406B"/>
        </w:rPr>
        <w:t xml:space="preserve">Cytochrome P450 3A4 (CYP3A4) plays an important role in the metabolism of PHA121. PHA121-C004 was designed as an open-label, single sequence crossover drug-drug interaction trial to evaluate the effect of multiple doses of itraconazole, a potent CYP3A4 inhibitor, at steady-state on the PK of a single dose of PHA121 in healthy subjects. The primary objective of this study was to determine the effect of multiple doses of the strong CYP3A4 inhibitor itraconazole on the PK of PHA121 in healthy adult subjects. The secondary objective of this study was to evaluate the safety and tolerability of PHA121 alone and in combination with multiple doses of the CYP3A4 inhibitor itraconazole in healthy adult subjects. The study has been completed in 13 subjects and PHA121 was well tolerated with no drug-related adverse events reported. Preliminary analyses show that the exposure of PHA121 increased when co-administered with itraconazole, as expected from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data showing that PHA121 is a substrate of CYP3A4. Other potential drug-drug interactions will be further assessed by the PHA121-C005 cocktail interaction study and in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assays recommended by FDA guidance.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32406B"/>
        </w:rPr>
        <w:t>PHA121-C006 (MAD)</w:t>
      </w:r>
    </w:p>
    <w:p>
      <w:pPr>
        <w:spacing w:after="0" w:line="117"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8"/>
          <w:szCs w:val="18"/>
          <w:color w:val="32406B"/>
        </w:rPr>
        <w:t>PHA121-C006 was a randomized, double-blind, placebo-controlled, multiple ascending dose trial to examine the safety, tolerability and PK of PHA121 in healthy subjects, which demonstrated PHA121’s pharmacokinetics and tolerability. The trial included 38 subjects and four cohorts, ranging from 12 to 50 mg, of healthy subjects who were studied sequentially. Within each cohort, eight subjects received PHA121 and two subjects received placebo, except for the final cohort with six subjects receiving PHA121 and two subjects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109</w:t>
      </w:r>
    </w:p>
    <w:p>
      <w:pPr>
        <w:sectPr>
          <w:pgSz w:w="11900" w:h="16838" w:orient="portrait"/>
          <w:cols w:equalWidth="0" w:num="1">
            <w:col w:w="11240"/>
          </w:cols>
          <w:pgMar w:left="320" w:top="455" w:right="3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32406B"/>
        </w:rPr>
        <w:t>receiving placebo. The trial evaluated multiple ascending doses of twice daily for 10 days to establish safety and tolerability and to assess the PK characteristics of PHA121 after standard caloric meals. PHA121 was supplied as an oral solution.</w:t>
      </w:r>
    </w:p>
    <w:p>
      <w:pPr>
        <w:spacing w:after="0" w:line="16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32406B"/>
        </w:rPr>
        <w:t>The study showed PHA121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PHA121 were achieved in day 1 and steady-state plasma concentrations were reached within 72 hours.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Future Development Path</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32406B"/>
        </w:rPr>
        <w:t>We intend to develop PHA121 for on-demand and prophylactic indications in parallel using two different product formulations, with clinical trials in the on-demand setting to commence first and provide critical data for further development for the prophylaxis indication.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32406B"/>
        </w:rPr>
        <w:t>RAPIDe-1 On-Demand</w:t>
      </w:r>
    </w:p>
    <w:p>
      <w:pPr>
        <w:spacing w:after="0" w:line="119"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The availability of an immediate-release soft-capsule formulation, PHVS416, provides a good pharmacokinetic profile for on-demand treatment: rapid oral absorption independent of fed status resulting in almost immediate onset of action with longer expected duration of efficacy than subcutaneous injections of icatibant. We have observed in preclinical animal studies that the PHVS416 soft capsule provides the same pharmacokinetic profile as the solution formulation we used in Phase 1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142875</wp:posOffset>
            </wp:positionV>
            <wp:extent cx="5829300" cy="2125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are planning an on-demand Phase 2 clinical trial in HAE patients, RAPIDe-1, that will evaluate angioedema symptom relief within four hours using different doses of PHVS416 versus placebo while treating acute attacks of patients with HAE Types 1 and 2. The primary endpoint will be the change in composite visual analogue scale, or composite VAS, a measure of symptom relief, at four hours post-dose. Composite and individual VAS, mean symptom complex severity, or MSCS, and treatment outcome score, or TOS, will be assessed up to 48-hours post-dose. We anticipate commencing the clinical trial in 2021 and plan to enroll approximately 54 patients from approximately 30 sites in Canada and certain European countries. We expect data in 2022.</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110</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32406B"/>
        </w:rPr>
        <w:t>Prophylaxis Trials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Currently there is no bradykinin B2-receptor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Unlike on-demand use, prophylaxis requires maintenance of drug concentration over long periods of time – rapid absorption is unnecessary. In order to project a potential dose for use in prophylactic trials using our projected dose from the bradykinin challenge model (an acute treatment model), we relied on a similar acute-to-prophylactic extrapolation utilized for products in the plasma kallikrein mechanism. Ecallantide is a polypeptide inhibitor of plasma kallikrein used for treatment of attacks. Similarly to icatibant, the short half-life of ecallantide makes it generally unsuitable for use in prophylaxis.</w:t>
      </w:r>
    </w:p>
    <w:p>
      <w:pPr>
        <w:spacing w:after="0" w:line="180" w:lineRule="exact"/>
        <w:rPr>
          <w:sz w:val="20"/>
          <w:szCs w:val="20"/>
          <w:color w:val="auto"/>
        </w:rPr>
      </w:pPr>
    </w:p>
    <w:p>
      <w:pPr>
        <w:ind w:right="140" w:firstLine="449"/>
        <w:spacing w:after="0" w:line="268" w:lineRule="auto"/>
        <w:rPr>
          <w:sz w:val="20"/>
          <w:szCs w:val="20"/>
          <w:color w:val="auto"/>
        </w:rPr>
      </w:pPr>
      <w:r>
        <w:rPr>
          <w:rFonts w:ascii="Times New Roman" w:cs="Times New Roman" w:eastAsia="Times New Roman" w:hAnsi="Times New Roman"/>
          <w:sz w:val="18"/>
          <w:szCs w:val="18"/>
          <w:color w:val="32406B"/>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to the observed prophylactic control of attacks. Based on the observed potency of PHA121 in the bradykinin challenge, we believe we can utilize a similar concentration-above-EC</w:t>
      </w:r>
      <w:r>
        <w:rPr>
          <w:rFonts w:ascii="Times New Roman" w:cs="Times New Roman" w:eastAsia="Times New Roman" w:hAnsi="Times New Roman"/>
          <w:sz w:val="15"/>
          <w:szCs w:val="15"/>
          <w:color w:val="32406B"/>
        </w:rPr>
        <w:t>50</w:t>
      </w:r>
      <w:r>
        <w:rPr>
          <w:rFonts w:ascii="Times New Roman" w:cs="Times New Roman" w:eastAsia="Times New Roman" w:hAnsi="Times New Roman"/>
          <w:sz w:val="18"/>
          <w:szCs w:val="18"/>
          <w:color w:val="32406B"/>
        </w:rPr>
        <w:t xml:space="preserve"> approach to predict the required exposure of PHA121 to control attacks prophylactically.</w:t>
      </w:r>
    </w:p>
    <w:p>
      <w:pPr>
        <w:spacing w:after="0" w:line="155"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We believe we can achieve the concentrations desired for prophylactic activity with twice-daily dosing of the PHVS416 soft capsules. Therefore, in addition to the RAPIDe-1 on-demand trial, we are also planning clinical trials of PHVS416 to evaluate its efficacy and safety for preventing HAE attacks (prophylaxis). These include an evaluation of patients randomized to placebo or active doses for a treatment period with the primary objective to assess the safety profile of PHVS416 dose regimens for prophylactic treatments in HAE patients.</w:t>
      </w:r>
    </w:p>
    <w:p>
      <w:pPr>
        <w:spacing w:after="0" w:line="180" w:lineRule="exact"/>
        <w:rPr>
          <w:sz w:val="20"/>
          <w:szCs w:val="20"/>
          <w:color w:val="auto"/>
        </w:rPr>
      </w:pPr>
    </w:p>
    <w:p>
      <w:pPr>
        <w:ind w:right="400" w:firstLine="449"/>
        <w:spacing w:after="0" w:line="281" w:lineRule="auto"/>
        <w:rPr>
          <w:sz w:val="20"/>
          <w:szCs w:val="20"/>
          <w:color w:val="auto"/>
        </w:rPr>
      </w:pPr>
      <w:r>
        <w:rPr>
          <w:rFonts w:ascii="Times New Roman" w:cs="Times New Roman" w:eastAsia="Times New Roman" w:hAnsi="Times New Roman"/>
          <w:sz w:val="17"/>
          <w:szCs w:val="17"/>
          <w:color w:val="32406B"/>
        </w:rPr>
        <w:t>We also intend to conduct a registration-directed randomized, placebo-controlled evaluation in HAE prophylaxis to provide the key efficacy and safety evaluation of prophylactic treatment. We anticipate that PHVS719, as described below, will be included in this pivotal trial, with doses selected based on the PK performance of PHVS719 in Phase 1 trials. We also expect that the data from RAPIDe-1 will support the final dose selection for the prophylactic trials. Additional trials may required by the FDA, EMA or other regulators even if we receive positive data from RAPIDe-1.</w:t>
      </w:r>
    </w:p>
    <w:p>
      <w:pPr>
        <w:spacing w:after="0" w:line="164"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32406B"/>
        </w:rPr>
        <w:t>In order to provide a differentiated product featuring more consistent exposure of PHA121 for the prophylactic setting, we are developing an extended-release, or XR, formulation (PHVS719) that will feature continuous slow release maintaining PHA121 concentrations above the levels we predict to provide protection against attacks. PHA121 has demonstrated properties favorable to the development of XR formulations, and we believe that we will begin human pharmacokinetics trials with PHVS719 in 2021 to enable use of this product candidate in the pivotal prophylactic trial.</w:t>
      </w:r>
    </w:p>
    <w:p>
      <w:pPr>
        <w:spacing w:after="0" w:line="18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32406B"/>
        </w:rPr>
        <w:t xml:space="preserve">We believe that we have already identified a promising prototype formulation for extended release. The nonlinear mixed-mode model from our BK challenge trial allows us to simulate different formulations by changing certain formulation-related inputs, such as the in-vitro release rate, while utilizing the experimentally determined properties of PHA121, such as half-life, potency, and effect on BK-induced hemodynamic parameters (surrogate assessment). As shown in the graphs below, utilizing this mathematical model, we simulated the human PK/PD parameters of a prototype extended-release formulation, based on initial </w:t>
      </w:r>
      <w:r>
        <w:rPr>
          <w:rFonts w:ascii="Times New Roman" w:cs="Times New Roman" w:eastAsia="Times New Roman" w:hAnsi="Times New Roman"/>
          <w:sz w:val="18"/>
          <w:szCs w:val="18"/>
          <w:i w:val="1"/>
          <w:iCs w:val="1"/>
          <w:color w:val="32406B"/>
        </w:rPr>
        <w:t>in vitro</w:t>
      </w:r>
      <w:r>
        <w:rPr>
          <w:rFonts w:ascii="Times New Roman" w:cs="Times New Roman" w:eastAsia="Times New Roman" w:hAnsi="Times New Roman"/>
          <w:sz w:val="18"/>
          <w:szCs w:val="18"/>
          <w:color w:val="32406B"/>
        </w:rPr>
        <w:t xml:space="preserve"> dissolution experiments. These modeling calculations suggest that this prototype may already support twice-a-day dosing in patients, and we are continuing to refine our formulation with the goal of achieving once-a-day dosing. We expect to conduct a bridging study between our formulation of PHVS719 and PHVS416 in a Phase 1 clinical trial starting in 2021.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111</w:t>
      </w:r>
    </w:p>
    <w:p>
      <w:pPr>
        <w:sectPr>
          <w:pgSz w:w="11900" w:h="16838" w:orient="portrait"/>
          <w:cols w:equalWidth="0" w:num="1">
            <w:col w:w="11240"/>
          </w:cols>
          <w:pgMar w:left="320" w:top="455" w:right="3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208280</wp:posOffset>
            </wp:positionV>
            <wp:extent cx="4774565" cy="25114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745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32406B"/>
        </w:rPr>
        <w:t>In addition, we also plan to run an open-label extension study in the prophylactic setting with both rollover and non-rollover subjects to collect longer duration safety data, which will be further discussed with FDA and EMA.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Intellectual Property</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187"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As of February 1, 2021, we own one U.S. patent that expires on November 23, 2038 and 32 pending patent applications worldwide, including one pending U.S. continuation application, 29 pending non-U.S. applications, including applications in Europe and Japan, and two pending PCT applications. The U.S. patent and 31 of these pending patent applications contain composition-of-matter claims to the PHA121 small molecule and derivatives thereof; PHA121 is the active pharmaceutical ingredient in, and therefore extends our patent applications to, our PHVS416 and PHVS719 product candidates. Each such patent application can generally be categorized into one of three patent families: (1) those relating to the novel bradykinin-B2-receptor antagonists, (2) those relating to the cyclic bradykinin-B2-receptor antagonists, and (3) those relating to the new cyclic bradykinin-B2-receptor antagonists. One pending European patent application contains claims directed to the use of PHA121 in on-demand treatment of HAE and in prophylaxis for HAE, and accordingly extends the patent applications to methods of use of the PHVS416 and PHVS719 product candidates.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issue or that we will benefit from any patent term extension or favorable adjustment to the term of any patents that may be issued in the future.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112</w:t>
      </w:r>
    </w:p>
    <w:p>
      <w:pPr>
        <w:sectPr>
          <w:pgSz w:w="11900" w:h="16838" w:orient="portrait"/>
          <w:cols w:equalWidth="0" w:num="1">
            <w:col w:w="11220"/>
          </w:cols>
          <w:pgMar w:left="320" w:top="455" w:right="3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PHA121, depending upon the length of the clinical trials for each product and other factors.</w:t>
      </w:r>
    </w:p>
    <w:p>
      <w:pPr>
        <w:spacing w:after="0" w:line="187"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the section entitled “Risk Factors—Risks Related to Our Intellectual Property.”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License Agreement</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On March 31, 2016, we entered into a license agreement (the “AnalytiCon License”) and a research agreement with AnalytiCon to collaborate for the development of an orally available bradykinin B2 receptor antagonist. Pursuant to the AnalytiCon License, we acquired a worldwide, exclusive license from AnalytiCon to use (i) a certain proprietary substance class of bradykinin B2 receptor antagonist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PHA121, PHVS416 and PHVS719 are subject to the AnalytiCon license agreement. In consideration for the license, we paid AnalytiCon a non-refundable up-front payment of €250,000.</w:t>
      </w:r>
    </w:p>
    <w:p>
      <w:pPr>
        <w:spacing w:after="0" w:line="18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Under the AnalytiCon License, we are required to pay AnalytiCon one-time payments in an aggregate amount of up to €11.4 million upon the achievement of certain development, regulatory, and sales milestones. To date, we have paid AnalytiCon an aggregate amount of €650,000 (€250,000 up-front plus €400,000 in milestone payments), and €11 million in aggregate potential milestone payments remain outstanding. In addition, we will be required to pay AnalytiCon low to medium single-digit tiered royalties on direct or indirect net sales of licensed products. The royalties that we are required to pay AnalytiCon under this agreement may be reduced on a country-by-country and product-by-product basis if sales of a generic version of a product account for 1% or more of the relevant market.</w:t>
      </w:r>
    </w:p>
    <w:p>
      <w:pPr>
        <w:spacing w:after="0" w:line="18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Our agreement with AnalytiCon will expire upon the expiry of the last patent of the licensed intellectual property. Not accounting for any regulatory extension or terminal disclaimers, and assuming that all annuity and/or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113</w:t>
      </w:r>
    </w:p>
    <w:p>
      <w:pPr>
        <w:sectPr>
          <w:pgSz w:w="11900" w:h="16838" w:orient="portrait"/>
          <w:cols w:equalWidth="0" w:num="1">
            <w:col w:w="11240"/>
          </w:cols>
          <w:pgMar w:left="320" w:top="455" w:right="3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2406B"/>
        </w:rPr>
        <w:t>to the compounds that form the object of the collaboration with AnalytiCon. If AnalytiCon were to (a) terminate the AnalytiCon License for cause and (b) exercise contractual remedies available to it thereunder, then we could be required to grant to AnalytiCon an exclusive worldwide license to our intellectual property generated under the collaboration with AnalytiCon for use in all applications, including HAE. In addition, we could be prevented from competing with AnalytiCon until five years after the commercial launch of any product containing a compound from the OB2RA Class.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Manufacturing and Supply</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We currently have a single contract CDMO for the production of PHA121 API. A robust and scalable synthetic route has been established. All raw materials can be purchased from multiple suppliers. We plan to identify and qualify a second CDMO. We also collaborate with a leading CDMO for the manufacturing of the on-demand treatment product PHVS416. With the same CDMO we are currently optimizing the prophylactic treatment product PHVS719. The CDMO is also responsible for packaging and worldwide distribution of commercial drug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Sales and Marketing</w:t>
      </w:r>
    </w:p>
    <w:p>
      <w:pPr>
        <w:spacing w:after="0" w:line="12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32406B"/>
        </w:rPr>
        <w:t>The Pharvaris team, including its founders, have experience developing and commercializing drug products for rare diseases including HAE specifically. We intend to develop a fully integrated sales and marketing organization ahead of marketing approval for PHA121. Even though HAE is a competitive market, orphan product companies have demonstrated successful first launches with excellent preparation and execution. We believe that our products will provide patients with significant new treatment options, and we will evaluate options to optimize the commercial opportunity.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Competition</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Currently, there are several licensed therapies for HAE, including the following:</w:t>
      </w:r>
    </w:p>
    <w:p>
      <w:pPr>
        <w:spacing w:after="0" w:line="129" w:lineRule="exact"/>
        <w:rPr>
          <w:sz w:val="20"/>
          <w:szCs w:val="20"/>
          <w:color w:val="auto"/>
        </w:rPr>
      </w:pPr>
    </w:p>
    <w:p>
      <w:pPr>
        <w:jc w:val="both"/>
        <w:ind w:left="1000" w:right="20" w:hanging="547"/>
        <w:spacing w:after="0" w:line="267" w:lineRule="auto"/>
        <w:tabs>
          <w:tab w:leader="none" w:pos="1000" w:val="left"/>
        </w:tabs>
        <w:numPr>
          <w:ilvl w:val="0"/>
          <w:numId w:val="6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FIRAZYR</w:t>
      </w:r>
      <w:r>
        <w:rPr>
          <w:rFonts w:ascii="Times New Roman" w:cs="Times New Roman" w:eastAsia="Times New Roman" w:hAnsi="Times New Roman"/>
          <w:sz w:val="18"/>
          <w:szCs w:val="18"/>
          <w:color w:val="32406B"/>
        </w:rPr>
        <w:t>: The BK receptor antagonist FIRAZYR (icatibant) is approved by the FDA in the U.S. and by regulators globally for the treatment</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of acute attacks and is administered by subcutaneous administration. Six generic forms of icatibant have been approved in the U.S. since July 2019 and more may be approved in the future.</w:t>
      </w:r>
    </w:p>
    <w:p>
      <w:pPr>
        <w:spacing w:after="0" w:line="78" w:lineRule="exact"/>
        <w:rPr>
          <w:rFonts w:ascii="Times New Roman" w:cs="Times New Roman" w:eastAsia="Times New Roman" w:hAnsi="Times New Roman"/>
          <w:sz w:val="18"/>
          <w:szCs w:val="18"/>
          <w:color w:val="32406B"/>
        </w:rPr>
      </w:pPr>
    </w:p>
    <w:p>
      <w:pPr>
        <w:jc w:val="both"/>
        <w:ind w:left="1000" w:right="60" w:hanging="547"/>
        <w:spacing w:after="0" w:line="267" w:lineRule="auto"/>
        <w:tabs>
          <w:tab w:leader="none" w:pos="1000" w:val="left"/>
        </w:tabs>
        <w:numPr>
          <w:ilvl w:val="0"/>
          <w:numId w:val="6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C1-INH</w:t>
      </w:r>
      <w:r>
        <w:rPr>
          <w:rFonts w:ascii="Times New Roman" w:cs="Times New Roman" w:eastAsia="Times New Roman" w:hAnsi="Times New Roman"/>
          <w:sz w:val="18"/>
          <w:szCs w:val="18"/>
          <w:color w:val="32406B"/>
        </w:rPr>
        <w:t>: C1-INH replacement therapy is available in the U.S. and globally as an acute therapy (BERINERT CINRYZE, and CETOR) and as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 prophylactic therapy (HAEGARDA/BERINERT 2000/3000 and CINRYZE). These therapies are dosed subcutaneously and intravenously. Recombinant C1-INH (Ruconest) is also available in the U.S. and in Europe as an acute therapy.</w:t>
      </w:r>
    </w:p>
    <w:p>
      <w:pPr>
        <w:spacing w:after="0" w:line="78" w:lineRule="exact"/>
        <w:rPr>
          <w:rFonts w:ascii="Times New Roman" w:cs="Times New Roman" w:eastAsia="Times New Roman" w:hAnsi="Times New Roman"/>
          <w:sz w:val="18"/>
          <w:szCs w:val="18"/>
          <w:color w:val="32406B"/>
        </w:rPr>
      </w:pPr>
    </w:p>
    <w:p>
      <w:pPr>
        <w:ind w:left="1000" w:right="100" w:hanging="547"/>
        <w:spacing w:after="0" w:line="258" w:lineRule="auto"/>
        <w:tabs>
          <w:tab w:leader="none" w:pos="1000" w:val="left"/>
        </w:tabs>
        <w:numPr>
          <w:ilvl w:val="0"/>
          <w:numId w:val="6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Kallikrein Inhibitors</w:t>
      </w:r>
      <w:r>
        <w:rPr>
          <w:rFonts w:ascii="Times New Roman" w:cs="Times New Roman" w:eastAsia="Times New Roman" w:hAnsi="Times New Roman"/>
          <w:sz w:val="18"/>
          <w:szCs w:val="18"/>
          <w:color w:val="32406B"/>
        </w:rPr>
        <w:t>: KALBITOR (ecallantide) is a specific recombinant plasma kallikrein inhibitor that is dosed subcutaneously by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healthcare providers in the U.S. to treat acute HAE attacks. TAKHZYRO (lanadelumab-flyo) is a monoclonal antibody approved in the U.S. and a growing number of countries for prophylaxis of HAE attacks and can be self-administered as a subcutaneous injection. ORLADEYO (berotralstat) is an kallikrein inhibitor that was approved in the U.S. in the fourth quarter of 2020 and is dosed orally once-daily for the prevention of HAE attacks.</w:t>
      </w:r>
    </w:p>
    <w:p>
      <w:pPr>
        <w:spacing w:after="0" w:line="88" w:lineRule="exact"/>
        <w:rPr>
          <w:rFonts w:ascii="Times New Roman" w:cs="Times New Roman" w:eastAsia="Times New Roman" w:hAnsi="Times New Roman"/>
          <w:sz w:val="18"/>
          <w:szCs w:val="18"/>
          <w:color w:val="32406B"/>
        </w:rPr>
      </w:pPr>
    </w:p>
    <w:p>
      <w:pPr>
        <w:ind w:left="1000" w:right="60" w:hanging="547"/>
        <w:spacing w:after="0" w:line="261" w:lineRule="auto"/>
        <w:tabs>
          <w:tab w:leader="none" w:pos="1000" w:val="left"/>
        </w:tabs>
        <w:numPr>
          <w:ilvl w:val="0"/>
          <w:numId w:val="6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Other Medications</w:t>
      </w:r>
      <w:r>
        <w:rPr>
          <w:rFonts w:ascii="Times New Roman" w:cs="Times New Roman" w:eastAsia="Times New Roman" w:hAnsi="Times New Roman"/>
          <w:sz w:val="18"/>
          <w:szCs w:val="18"/>
          <w:color w:val="32406B"/>
        </w:rPr>
        <w:t>: Prophylactic administration of synthetic attenuated androgens (generically available as danazol or stanozolol) has been</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114</w:t>
      </w:r>
    </w:p>
    <w:p>
      <w:pPr>
        <w:sectPr>
          <w:pgSz w:w="11900" w:h="16838" w:orient="portrait"/>
          <w:cols w:equalWidth="0" w:num="1">
            <w:col w:w="11200"/>
          </w:cols>
          <w:pgMar w:left="320" w:top="455" w:right="3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360" w:firstLine="449"/>
        <w:spacing w:after="0" w:line="258" w:lineRule="auto"/>
        <w:rPr>
          <w:sz w:val="20"/>
          <w:szCs w:val="20"/>
          <w:color w:val="auto"/>
        </w:rPr>
      </w:pPr>
      <w:r>
        <w:rPr>
          <w:rFonts w:ascii="Times New Roman" w:cs="Times New Roman" w:eastAsia="Times New Roman" w:hAnsi="Times New Roman"/>
          <w:sz w:val="18"/>
          <w:szCs w:val="18"/>
          <w:color w:val="32406B"/>
        </w:rPr>
        <w:t>We are also aware of a number of HAE therapies in clinical development. Currently, there are three orally delivered plasma kallikrein inhibitors being developed clinically: Kalvista’s KVD900 for acute treatment and KVD824 for prophylactic treatment and Attune’s ATN-249 for prophylactic treatment. Additionally, CSL is developing garadacimab, an anti-factor XIIa mAb for prophylactic treatment, which is delivered subcutaneously or intravenously and Ionis’s IONIS-PKK-LRx, an antisense oligonucleotide inhibitor of prekallikrein for prophylactic treatment, which is delivered subcutaneously.</w:t>
      </w:r>
    </w:p>
    <w:p>
      <w:pPr>
        <w:spacing w:after="0" w:line="18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Government Regulation and Product Approval</w:t>
      </w:r>
    </w:p>
    <w:p>
      <w:pPr>
        <w:spacing w:after="0" w:line="121" w:lineRule="exact"/>
        <w:rPr>
          <w:sz w:val="20"/>
          <w:szCs w:val="20"/>
          <w:color w:val="auto"/>
        </w:rPr>
      </w:pPr>
    </w:p>
    <w:p>
      <w:pPr>
        <w:ind w:right="360" w:firstLine="449"/>
        <w:spacing w:after="0" w:line="258" w:lineRule="auto"/>
        <w:rPr>
          <w:sz w:val="20"/>
          <w:szCs w:val="20"/>
          <w:color w:val="auto"/>
        </w:rPr>
      </w:pPr>
      <w:r>
        <w:rPr>
          <w:rFonts w:ascii="Times New Roman" w:cs="Times New Roman" w:eastAsia="Times New Roman" w:hAnsi="Times New Roman"/>
          <w:sz w:val="18"/>
          <w:szCs w:val="18"/>
          <w:color w:val="32406B"/>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nonclinical and clinical development paths for product candidates are broadly similar in the European Union and the United States.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Nonclinical Studies</w:t>
      </w:r>
    </w:p>
    <w:p>
      <w:pPr>
        <w:spacing w:after="0" w:line="121" w:lineRule="exact"/>
        <w:rPr>
          <w:sz w:val="20"/>
          <w:szCs w:val="20"/>
          <w:color w:val="auto"/>
        </w:rPr>
      </w:pPr>
    </w:p>
    <w:p>
      <w:pPr>
        <w:ind w:right="200" w:firstLine="449"/>
        <w:spacing w:after="0" w:line="258" w:lineRule="auto"/>
        <w:rPr>
          <w:sz w:val="20"/>
          <w:szCs w:val="20"/>
          <w:color w:val="auto"/>
        </w:rPr>
      </w:pPr>
      <w:r>
        <w:rPr>
          <w:rFonts w:ascii="Times New Roman" w:cs="Times New Roman" w:eastAsia="Times New Roman" w:hAnsi="Times New Roman"/>
          <w:sz w:val="18"/>
          <w:szCs w:val="18"/>
          <w:color w:val="32406B"/>
        </w:rPr>
        <w:t xml:space="preserve">Development of the product candidates starts with nonclinical studies, which include laboratory tests to develop a robust product manufacturing process, including formulation and stability. In addition, nonclinical studies are conducted to evaluate the mode of action and </w:t>
      </w:r>
      <w:r>
        <w:rPr>
          <w:rFonts w:ascii="Times New Roman" w:cs="Times New Roman" w:eastAsia="Times New Roman" w:hAnsi="Times New Roman"/>
          <w:sz w:val="18"/>
          <w:szCs w:val="18"/>
          <w:i w:val="1"/>
          <w:iCs w:val="1"/>
          <w:color w:val="32406B"/>
        </w:rPr>
        <w:t>in vivo</w:t>
      </w:r>
      <w:r>
        <w:rPr>
          <w:rFonts w:ascii="Times New Roman" w:cs="Times New Roman" w:eastAsia="Times New Roman" w:hAnsi="Times New Roman"/>
          <w:sz w:val="18"/>
          <w:szCs w:val="18"/>
          <w:color w:val="32406B"/>
        </w:rPr>
        <w:t xml:space="preserve"> tests are conducted until adequate proof of safety is established (e.g., animal testing for reproductive toxicity and carcinogenicity). The conduct of the nonclinical tests and formulation of the compounds for testing must comply with regulations and requirements set by the Competent Authorities, including compliance with GLP. Upon successful completion of nonclinical studies, clinical development can be initiated.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Clinical Studies</w:t>
      </w:r>
    </w:p>
    <w:p>
      <w:pPr>
        <w:spacing w:after="0" w:line="121"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115</w:t>
      </w:r>
    </w:p>
    <w:p>
      <w:pPr>
        <w:sectPr>
          <w:pgSz w:w="11900" w:h="16838" w:orient="portrait"/>
          <w:cols w:equalWidth="0" w:num="1">
            <w:col w:w="11160"/>
          </w:cols>
          <w:pgMar w:left="320" w:top="455" w:right="41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32406B"/>
        </w:rPr>
        <w:t>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Prior to initiating clinical trials, a request for clinical trial authorization (national Competent Authorities in the European Union) or an Investigational New Drug, or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80"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8"/>
          <w:szCs w:val="18"/>
          <w:color w:val="32406B"/>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section describes specific regulatory regimes and regulations applicable in certain jurisdictions.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United States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U.S. Food and Drug Administration</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In the United States,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 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FDA Approval Process</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Clinical trials to support NDAs for marketing approval are typically conducted in three sequential phases, but the phases may overlap. In Phase 1, the initial introduction of the product candidate is usually into healthy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116</w:t>
      </w:r>
    </w:p>
    <w:p>
      <w:pPr>
        <w:sectPr>
          <w:pgSz w:w="11900" w:h="16838" w:orient="portrait"/>
          <w:cols w:equalWidth="0" w:num="1">
            <w:col w:w="11220"/>
          </w:cols>
          <w:pgMar w:left="320" w:top="455" w:right="3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32406B"/>
        </w:rPr>
        <w:t>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92"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3"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8"/>
          <w:szCs w:val="18"/>
          <w:color w:val="32406B"/>
        </w:rPr>
        <w:t>The results of drug candidate development, nonclinical testing, clinical trials and proposed labeling are submitted to the FDA as part of the New Drug Application, or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92"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The cost of preparing and submitting an NDA is substantial. The submission of most NDAs is additionally subject to a substantial application user fee payment to FDA, and the manufacturer and/or sponsor under an approved NDA are also subject to certain annual program user fees. The FDA typically increases these fees annually.</w:t>
      </w:r>
    </w:p>
    <w:p>
      <w:pPr>
        <w:spacing w:after="0" w:line="176"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after the 60-day filing review period, but this timeframe is often extended. The FDA reviews most applications for standard review drugs within twelve months. The review process may be extended by the FDA for three additional months to consider certain late-submitted information, or information intended to clarify information already provided in the submission. This late-submitted information is typically requested by FDA.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117</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FDA, and provide recommendations, sometimes including whether the FDA should approve the application. The FDA is not bound by the recommendation of an Advisory Committee, but it generally follows such recommendations.</w:t>
      </w:r>
    </w:p>
    <w:p>
      <w:pPr>
        <w:spacing w:after="0" w:line="180" w:lineRule="exact"/>
        <w:rPr>
          <w:sz w:val="20"/>
          <w:szCs w:val="20"/>
          <w:color w:val="auto"/>
        </w:rPr>
      </w:pPr>
    </w:p>
    <w:p>
      <w:pPr>
        <w:jc w:val="both"/>
        <w:ind w:firstLine="449"/>
        <w:spacing w:after="0" w:line="289" w:lineRule="auto"/>
        <w:rPr>
          <w:sz w:val="20"/>
          <w:szCs w:val="20"/>
          <w:color w:val="auto"/>
        </w:rPr>
      </w:pPr>
      <w:r>
        <w:rPr>
          <w:rFonts w:ascii="Times New Roman" w:cs="Times New Roman" w:eastAsia="Times New Roman" w:hAnsi="Times New Roman"/>
          <w:sz w:val="17"/>
          <w:szCs w:val="17"/>
          <w:color w:val="32406B"/>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5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 additional clinical data and/or other significant, expensive, and time-consuming requirements related to clinical studies, preclinical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9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Expedited Approval in the U.S.</w:t>
      </w:r>
    </w:p>
    <w:p>
      <w:pPr>
        <w:spacing w:after="0" w:line="11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The FDA has a number of programs that are intended to facilitate and expedite development and review of new drugs to address unmet medical need in the treatment of a serious or life threatening condition. These are: Fast Track Designation, Breakthrough Therapy Designation, Accelerated Approval and Priority Review Designation.</w:t>
      </w:r>
    </w:p>
    <w:p>
      <w:pPr>
        <w:spacing w:after="0" w:line="176"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 track product can be eligible for priority review if supported by clinical data at the time of NDA submission. If the FDA determines that a fast track product may be effective after preliminary evaluation of the NDA, it may consider reviewing portions of a</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118</w:t>
      </w:r>
    </w:p>
    <w:p>
      <w:pPr>
        <w:sectPr>
          <w:pgSz w:w="11900" w:h="16838" w:orient="portrait"/>
          <w:cols w:equalWidth="0" w:num="1">
            <w:col w:w="11240"/>
          </w:cols>
          <w:pgMar w:left="320" w:top="455" w:right="3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32406B"/>
        </w:rPr>
        <w:t>marketing application before the sponsor submits the complete application. Fast Track Designation can be requested when the IND is first submitted or at any time thereafter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0"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32406B"/>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94"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92"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8"/>
          <w:szCs w:val="18"/>
          <w:color w:val="32406B"/>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80"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of receipt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Orphan Designation</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An orphan drug designation qualifies the manufacturer for certain tax credits and may lead to market exclusivity for seven years following the date of the drug’s approval by the FDA. The FDCA provides that a drug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119</w:t>
      </w:r>
    </w:p>
    <w:p>
      <w:pPr>
        <w:sectPr>
          <w:pgSz w:w="11900" w:h="16838" w:orient="portrait"/>
          <w:cols w:equalWidth="0" w:num="1">
            <w:col w:w="11240"/>
          </w:cols>
          <w:pgMar w:left="320" w:top="455" w:right="3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32406B"/>
        </w:rPr>
        <w:t>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0" w:lineRule="exact"/>
        <w:rPr>
          <w:sz w:val="20"/>
          <w:szCs w:val="20"/>
          <w:color w:val="auto"/>
        </w:rPr>
      </w:pPr>
    </w:p>
    <w:p>
      <w:pPr>
        <w:ind w:right="180" w:firstLine="449"/>
        <w:spacing w:after="0" w:line="255" w:lineRule="auto"/>
        <w:rPr>
          <w:sz w:val="20"/>
          <w:szCs w:val="20"/>
          <w:color w:val="auto"/>
        </w:rPr>
      </w:pPr>
      <w:r>
        <w:rPr>
          <w:rFonts w:ascii="Times New Roman" w:cs="Times New Roman" w:eastAsia="Times New Roman" w:hAnsi="Times New Roman"/>
          <w:sz w:val="18"/>
          <w:szCs w:val="18"/>
          <w:color w:val="32406B"/>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Post-Marketing Requirements</w:t>
      </w:r>
    </w:p>
    <w:p>
      <w:pPr>
        <w:spacing w:after="0" w:line="119"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9"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32406B"/>
        </w:rPr>
        <w:t>In addition, drug products manufactured or distributed pursuant to FDA approvals, are subject to additional and continuing regulation by the FDA, including, among other things:</w:t>
      </w:r>
    </w:p>
    <w:p>
      <w:pPr>
        <w:spacing w:after="0" w:line="67" w:lineRule="exact"/>
        <w:rPr>
          <w:sz w:val="20"/>
          <w:szCs w:val="20"/>
          <w:color w:val="auto"/>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record-keeping requirements;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reporting of adverse experiences associated with the product;</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providing the FDA with updated safety and efficacy information;</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distribution of drug samples;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notifying the FDA and gaining its approval of specified manufacturing or labeling changes;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drug establishment registration and drug listing requirements;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120</w:t>
      </w:r>
    </w:p>
    <w:p>
      <w:pPr>
        <w:sectPr>
          <w:pgSz w:w="11900" w:h="16838" w:orient="portrait"/>
          <w:cols w:equalWidth="0" w:num="1">
            <w:col w:w="11240"/>
          </w:cols>
          <w:pgMar w:left="320" w:top="455" w:right="3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00" w:hanging="547"/>
        <w:spacing w:after="0" w:line="289" w:lineRule="auto"/>
        <w:tabs>
          <w:tab w:leader="none" w:pos="1000" w:val="left"/>
        </w:tabs>
        <w:numPr>
          <w:ilvl w:val="0"/>
          <w:numId w:val="64"/>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5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 Accordingly, manufacturers must continue to expend time, money and effort in the area of production, distribution and quality control to maintain compliance with cGMP and other aspects of regulatory compliance.</w:t>
      </w:r>
    </w:p>
    <w:p>
      <w:pPr>
        <w:spacing w:after="0" w:line="18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3"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89" w:lineRule="exact"/>
        <w:rPr>
          <w:sz w:val="20"/>
          <w:szCs w:val="20"/>
          <w:color w:val="auto"/>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restrictions on the commercialization or manufacturing of the drug, market withdrawals or recalls;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fines, warning letters or holds on post-approval clinical studies;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FDA refusal to approve pending NDAs or supplements to approved NDAs;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drug seizure or detention, or refusal to permit the import or export of drugs; or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injunctions or the imposition of civil or criminal penalties.</w:t>
      </w:r>
    </w:p>
    <w:p>
      <w:pPr>
        <w:spacing w:after="0" w:line="225"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32406B"/>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U.S. Patent Term Restoration</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121</w:t>
      </w:r>
    </w:p>
    <w:p>
      <w:pPr>
        <w:sectPr>
          <w:pgSz w:w="11900" w:h="16838" w:orient="portrait"/>
          <w:cols w:equalWidth="0" w:num="1">
            <w:col w:w="11220"/>
          </w:cols>
          <w:pgMar w:left="320" w:top="455" w:right="3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32406B"/>
        </w:rPr>
        <w:t>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Other U.S. Healthcare Laws and Compliance Requirements</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Times New Roman" w:cs="Times New Roman" w:eastAsia="Times New Roman" w:hAnsi="Times New Roman"/>
          <w:sz w:val="18"/>
          <w:szCs w:val="18"/>
          <w:i w:val="1"/>
          <w:iCs w:val="1"/>
          <w:color w:val="32406B"/>
        </w:rPr>
        <w:t>e.g.</w:t>
      </w:r>
      <w:r>
        <w:rPr>
          <w:rFonts w:ascii="Times New Roman" w:cs="Times New Roman" w:eastAsia="Times New Roman" w:hAnsi="Times New Roman"/>
          <w:sz w:val="18"/>
          <w:szCs w:val="18"/>
          <w:color w:val="32406B"/>
        </w:rPr>
        <w:t>, the 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(defined below),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applicable federal and state healthcare laws and regulations, include, without limitation, the following:</w:t>
      </w:r>
    </w:p>
    <w:p>
      <w:pPr>
        <w:spacing w:after="0" w:line="129" w:lineRule="exact"/>
        <w:rPr>
          <w:sz w:val="20"/>
          <w:szCs w:val="20"/>
          <w:color w:val="auto"/>
        </w:rPr>
      </w:pPr>
    </w:p>
    <w:p>
      <w:pPr>
        <w:ind w:left="1000" w:hanging="547"/>
        <w:spacing w:after="0" w:line="252" w:lineRule="auto"/>
        <w:tabs>
          <w:tab w:leader="none" w:pos="1000" w:val="left"/>
        </w:tabs>
        <w:numPr>
          <w:ilvl w:val="0"/>
          <w:numId w:val="6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The Federal Anti-Kickback Statute </w:t>
      </w:r>
      <w:r>
        <w:rPr>
          <w:rFonts w:ascii="Times New Roman" w:cs="Times New Roman" w:eastAsia="Times New Roman" w:hAnsi="Times New Roman"/>
          <w:sz w:val="18"/>
          <w:szCs w:val="18"/>
          <w:color w:val="32406B"/>
        </w:rPr>
        <w:t>– An intent-based federal criminal statute that prohibits, among other things, any person or entity, from</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(collectively,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Times New Roman" w:cs="Times New Roman" w:eastAsia="Times New Roman" w:hAnsi="Times New Roman"/>
          <w:sz w:val="18"/>
          <w:szCs w:val="18"/>
          <w:i w:val="1"/>
          <w:iCs w:val="1"/>
          <w:color w:val="32406B"/>
        </w:rPr>
        <w:t>,</w:t>
      </w:r>
      <w:r>
        <w:rPr>
          <w:rFonts w:ascii="Times New Roman" w:cs="Times New Roman" w:eastAsia="Times New Roman" w:hAnsi="Times New Roman"/>
          <w:sz w:val="18"/>
          <w:szCs w:val="18"/>
          <w:color w:val="32406B"/>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 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97" w:lineRule="exact"/>
        <w:rPr>
          <w:rFonts w:ascii="Times New Roman" w:cs="Times New Roman" w:eastAsia="Times New Roman" w:hAnsi="Times New Roman"/>
          <w:sz w:val="18"/>
          <w:szCs w:val="18"/>
          <w:color w:val="32406B"/>
        </w:rPr>
      </w:pPr>
    </w:p>
    <w:p>
      <w:pPr>
        <w:ind w:left="1000" w:right="60" w:hanging="547"/>
        <w:spacing w:after="0" w:line="284" w:lineRule="auto"/>
        <w:tabs>
          <w:tab w:leader="none" w:pos="1000" w:val="left"/>
        </w:tabs>
        <w:numPr>
          <w:ilvl w:val="0"/>
          <w:numId w:val="6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The Federal Civil False Claims Act</w:t>
      </w:r>
      <w:r>
        <w:rPr>
          <w:rFonts w:ascii="Times New Roman" w:cs="Times New Roman" w:eastAsia="Times New Roman" w:hAnsi="Times New Roman"/>
          <w:sz w:val="18"/>
          <w:szCs w:val="18"/>
          <w:color w:val="32406B"/>
        </w:rPr>
        <w:t>—Imposes civil penalties, including through civil whistleblower or</w:t>
      </w:r>
      <w:r>
        <w:rPr>
          <w:rFonts w:ascii="Times New Roman" w:cs="Times New Roman" w:eastAsia="Times New Roman" w:hAnsi="Times New Roman"/>
          <w:sz w:val="18"/>
          <w:szCs w:val="18"/>
          <w:i w:val="1"/>
          <w:iCs w:val="1"/>
          <w:color w:val="32406B"/>
        </w:rPr>
        <w:t xml:space="preserve"> qui tam </w:t>
      </w:r>
      <w:r>
        <w:rPr>
          <w:rFonts w:ascii="Times New Roman" w:cs="Times New Roman" w:eastAsia="Times New Roman" w:hAnsi="Times New Roman"/>
          <w:sz w:val="18"/>
          <w:szCs w:val="18"/>
          <w:color w:val="32406B"/>
        </w:rPr>
        <w:t>actions, against individuals 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entities for, among other things, knowingly presenting,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122</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00"/>
        <w:spacing w:after="0" w:line="252" w:lineRule="auto"/>
        <w:rPr>
          <w:sz w:val="20"/>
          <w:szCs w:val="20"/>
          <w:color w:val="auto"/>
        </w:rPr>
      </w:pPr>
      <w:r>
        <w:rPr>
          <w:rFonts w:ascii="Times New Roman" w:cs="Times New Roman" w:eastAsia="Times New Roman" w:hAnsi="Times New Roman"/>
          <w:sz w:val="18"/>
          <w:szCs w:val="18"/>
          <w:color w:val="32406B"/>
        </w:rPr>
        <w:t>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99" w:lineRule="exact"/>
        <w:rPr>
          <w:sz w:val="20"/>
          <w:szCs w:val="20"/>
          <w:color w:val="auto"/>
        </w:rPr>
      </w:pPr>
    </w:p>
    <w:p>
      <w:pPr>
        <w:ind w:left="1000" w:right="300" w:hanging="547"/>
        <w:spacing w:after="0" w:line="261" w:lineRule="auto"/>
        <w:tabs>
          <w:tab w:leader="none" w:pos="1000" w:val="left"/>
        </w:tabs>
        <w:numPr>
          <w:ilvl w:val="0"/>
          <w:numId w:val="6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The Federal Criminal Statute on False Statements Relating to Health Care Matters</w:t>
      </w:r>
      <w:r>
        <w:rPr>
          <w:rFonts w:ascii="Times New Roman" w:cs="Times New Roman" w:eastAsia="Times New Roman" w:hAnsi="Times New Roman"/>
          <w:sz w:val="18"/>
          <w:szCs w:val="18"/>
          <w:color w:val="32406B"/>
        </w:rPr>
        <w:t>—Makes it a crime to knowingly and willfully falsify,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85" w:lineRule="exact"/>
        <w:rPr>
          <w:rFonts w:ascii="Times New Roman" w:cs="Times New Roman" w:eastAsia="Times New Roman" w:hAnsi="Times New Roman"/>
          <w:sz w:val="18"/>
          <w:szCs w:val="18"/>
          <w:color w:val="32406B"/>
        </w:rPr>
      </w:pPr>
    </w:p>
    <w:p>
      <w:pPr>
        <w:ind w:left="1000" w:right="20" w:hanging="547"/>
        <w:spacing w:after="0" w:line="261" w:lineRule="auto"/>
        <w:tabs>
          <w:tab w:leader="none" w:pos="1000" w:val="left"/>
        </w:tabs>
        <w:numPr>
          <w:ilvl w:val="0"/>
          <w:numId w:val="6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Criminal Health Care Fraud Statute</w:t>
      </w:r>
      <w:r>
        <w:rPr>
          <w:rFonts w:ascii="Times New Roman" w:cs="Times New Roman" w:eastAsia="Times New Roman" w:hAnsi="Times New Roman"/>
          <w:sz w:val="18"/>
          <w:szCs w:val="18"/>
          <w:color w:val="32406B"/>
        </w:rPr>
        <w:t>—Enacted as part of the Health Insurance Portability and Accountability Act of 1996 (“HIPAA”), makes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it a crime to knowingly and willfully execute, or attempt to execute, a 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85" w:lineRule="exact"/>
        <w:rPr>
          <w:rFonts w:ascii="Times New Roman" w:cs="Times New Roman" w:eastAsia="Times New Roman" w:hAnsi="Times New Roman"/>
          <w:sz w:val="18"/>
          <w:szCs w:val="18"/>
          <w:color w:val="32406B"/>
        </w:rPr>
      </w:pPr>
    </w:p>
    <w:p>
      <w:pPr>
        <w:ind w:left="1000" w:hanging="547"/>
        <w:spacing w:after="0" w:line="258" w:lineRule="auto"/>
        <w:tabs>
          <w:tab w:leader="none" w:pos="1000" w:val="left"/>
        </w:tabs>
        <w:numPr>
          <w:ilvl w:val="0"/>
          <w:numId w:val="6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The Federal Civil Monetary Penalties Law</w:t>
      </w:r>
      <w:r>
        <w:rPr>
          <w:rFonts w:ascii="Times New Roman" w:cs="Times New Roman" w:eastAsia="Times New Roman" w:hAnsi="Times New Roman"/>
          <w:sz w:val="18"/>
          <w:szCs w:val="18"/>
          <w:color w:val="32406B"/>
        </w:rPr>
        <w:t>—Authorizes the imposition of substantial civil monetary penalties against an entity, such as a</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88" w:lineRule="exact"/>
        <w:rPr>
          <w:rFonts w:ascii="Times New Roman" w:cs="Times New Roman" w:eastAsia="Times New Roman" w:hAnsi="Times New Roman"/>
          <w:sz w:val="18"/>
          <w:szCs w:val="18"/>
          <w:color w:val="32406B"/>
        </w:rPr>
      </w:pPr>
    </w:p>
    <w:p>
      <w:pPr>
        <w:ind w:left="1000" w:right="60" w:hanging="547"/>
        <w:spacing w:after="0" w:line="254" w:lineRule="auto"/>
        <w:tabs>
          <w:tab w:leader="none" w:pos="1000" w:val="left"/>
        </w:tabs>
        <w:numPr>
          <w:ilvl w:val="0"/>
          <w:numId w:val="6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HIPAA Health Information Privacy and Security</w:t>
      </w:r>
      <w:r>
        <w:rPr>
          <w:rFonts w:ascii="Times New Roman" w:cs="Times New Roman" w:eastAsia="Times New Roman" w:hAnsi="Times New Roman"/>
          <w:sz w:val="18"/>
          <w:szCs w:val="18"/>
          <w:color w:val="32406B"/>
        </w:rPr>
        <w:t>—HIPAA, as amended by the Health Information Technology for Economic and Clinical</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Health 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123</w:t>
      </w:r>
    </w:p>
    <w:p>
      <w:pPr>
        <w:sectPr>
          <w:pgSz w:w="11900" w:h="16838" w:orient="portrait"/>
          <w:cols w:equalWidth="0" w:num="1">
            <w:col w:w="11200"/>
          </w:cols>
          <w:pgMar w:left="320" w:top="455" w:right="3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0"/>
        <w:spacing w:after="0" w:line="282" w:lineRule="auto"/>
        <w:rPr>
          <w:sz w:val="20"/>
          <w:szCs w:val="20"/>
          <w:color w:val="auto"/>
        </w:rPr>
      </w:pPr>
      <w:r>
        <w:rPr>
          <w:rFonts w:ascii="Times New Roman" w:cs="Times New Roman" w:eastAsia="Times New Roman" w:hAnsi="Times New Roman"/>
          <w:sz w:val="18"/>
          <w:szCs w:val="18"/>
          <w:color w:val="32406B"/>
        </w:rPr>
        <w:t>addition, state laws govern the privacy and security of health information in specified circumstances, many of which differ from each other in significant ways and may not have the same effect, thus complicating compliance efforts.</w:t>
      </w:r>
    </w:p>
    <w:p>
      <w:pPr>
        <w:spacing w:after="0" w:line="65" w:lineRule="exact"/>
        <w:rPr>
          <w:sz w:val="20"/>
          <w:szCs w:val="20"/>
          <w:color w:val="auto"/>
        </w:rPr>
      </w:pPr>
    </w:p>
    <w:p>
      <w:pPr>
        <w:ind w:left="1000" w:right="80" w:hanging="547"/>
        <w:spacing w:after="0" w:line="257" w:lineRule="auto"/>
        <w:tabs>
          <w:tab w:leader="none" w:pos="1000" w:val="left"/>
        </w:tabs>
        <w:numPr>
          <w:ilvl w:val="0"/>
          <w:numId w:val="6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The Federal Physician Payments Sunshine Act</w:t>
      </w:r>
      <w:r>
        <w:rPr>
          <w:rFonts w:ascii="Times New Roman" w:cs="Times New Roman" w:eastAsia="Times New Roman" w:hAnsi="Times New Roman"/>
          <w:sz w:val="18"/>
          <w:szCs w:val="18"/>
          <w:color w:val="32406B"/>
        </w:rPr>
        <w:t>—Requires “applicable manufacturers” of drugs, devices, biologics, and medical supplies for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87" w:lineRule="exact"/>
        <w:rPr>
          <w:rFonts w:ascii="Times New Roman" w:cs="Times New Roman" w:eastAsia="Times New Roman" w:hAnsi="Times New Roman"/>
          <w:sz w:val="18"/>
          <w:szCs w:val="18"/>
          <w:color w:val="32406B"/>
        </w:rPr>
      </w:pPr>
    </w:p>
    <w:p>
      <w:pPr>
        <w:jc w:val="both"/>
        <w:ind w:left="1000" w:right="260" w:hanging="547"/>
        <w:spacing w:after="0" w:line="267" w:lineRule="auto"/>
        <w:tabs>
          <w:tab w:leader="none" w:pos="1000" w:val="left"/>
        </w:tabs>
        <w:numPr>
          <w:ilvl w:val="0"/>
          <w:numId w:val="6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Analogous State Laws</w:t>
      </w:r>
      <w:r>
        <w:rPr>
          <w:rFonts w:ascii="Times New Roman" w:cs="Times New Roman" w:eastAsia="Times New Roman" w:hAnsi="Times New Roman"/>
          <w:sz w:val="18"/>
          <w:szCs w:val="18"/>
          <w:color w:val="32406B"/>
        </w:rPr>
        <w:t>—There are state law equivalents of the above federal laws, such as the Anti-Kickback Statute and the False Claims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Act, which may apply to items and services reimbursed by any third-party payor, including commercial insurers (</w:t>
      </w:r>
      <w:r>
        <w:rPr>
          <w:rFonts w:ascii="Times New Roman" w:cs="Times New Roman" w:eastAsia="Times New Roman" w:hAnsi="Times New Roman"/>
          <w:sz w:val="18"/>
          <w:szCs w:val="18"/>
          <w:i w:val="1"/>
          <w:iCs w:val="1"/>
          <w:color w:val="32406B"/>
        </w:rPr>
        <w:t>i.e.</w:t>
      </w:r>
      <w:r>
        <w:rPr>
          <w:rFonts w:ascii="Times New Roman" w:cs="Times New Roman" w:eastAsia="Times New Roman" w:hAnsi="Times New Roman"/>
          <w:sz w:val="18"/>
          <w:szCs w:val="18"/>
          <w:color w:val="32406B"/>
        </w:rPr>
        <w:t>, so-called “all-payor anti-kickback laws”).</w:t>
      </w:r>
    </w:p>
    <w:p>
      <w:pPr>
        <w:spacing w:after="0" w:line="78" w:lineRule="exact"/>
        <w:rPr>
          <w:rFonts w:ascii="Times New Roman" w:cs="Times New Roman" w:eastAsia="Times New Roman" w:hAnsi="Times New Roman"/>
          <w:sz w:val="18"/>
          <w:szCs w:val="18"/>
          <w:color w:val="32406B"/>
        </w:rPr>
      </w:pPr>
    </w:p>
    <w:p>
      <w:pPr>
        <w:ind w:left="1000" w:hanging="547"/>
        <w:spacing w:after="0" w:line="253" w:lineRule="auto"/>
        <w:tabs>
          <w:tab w:leader="none" w:pos="1000" w:val="left"/>
        </w:tabs>
        <w:numPr>
          <w:ilvl w:val="0"/>
          <w:numId w:val="6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i w:val="1"/>
          <w:iCs w:val="1"/>
          <w:color w:val="32406B"/>
        </w:rPr>
        <w:t xml:space="preserve">State Laws </w:t>
      </w:r>
      <w:r>
        <w:rPr>
          <w:rFonts w:ascii="Times New Roman" w:cs="Times New Roman" w:eastAsia="Times New Roman" w:hAnsi="Times New Roman"/>
          <w:sz w:val="18"/>
          <w:szCs w:val="18"/>
          <w:color w:val="32406B"/>
        </w:rPr>
        <w:t>Regulating</w:t>
      </w:r>
      <w:r>
        <w:rPr>
          <w:rFonts w:ascii="Times New Roman" w:cs="Times New Roman" w:eastAsia="Times New Roman" w:hAnsi="Times New Roman"/>
          <w:sz w:val="18"/>
          <w:szCs w:val="18"/>
          <w:i w:val="1"/>
          <w:iCs w:val="1"/>
          <w:color w:val="32406B"/>
        </w:rPr>
        <w:t xml:space="preserve"> Pharmaceutical Manufacturer Compliance Programs, Drug Price Transparency, and Other Practices</w:t>
      </w:r>
      <w:r>
        <w:rPr>
          <w:rFonts w:ascii="Times New Roman" w:cs="Times New Roman" w:eastAsia="Times New Roman" w:hAnsi="Times New Roman"/>
          <w:sz w:val="18"/>
          <w:szCs w:val="18"/>
          <w:color w:val="32406B"/>
        </w:rPr>
        <w:t>—Some state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laws 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9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6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are also required to satisfy the product tracing, verification and reporting requirements set out in the Drug Quality and Security Act.</w:t>
      </w:r>
    </w:p>
    <w:p>
      <w:pPr>
        <w:spacing w:after="0" w:line="225"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8" w:lineRule="exact"/>
        <w:rPr>
          <w:sz w:val="20"/>
          <w:szCs w:val="20"/>
          <w:color w:val="auto"/>
        </w:rPr>
      </w:pPr>
    </w:p>
    <w:p>
      <w:pPr>
        <w:ind w:right="500" w:firstLine="449"/>
        <w:spacing w:after="0" w:line="266" w:lineRule="auto"/>
        <w:rPr>
          <w:sz w:val="20"/>
          <w:szCs w:val="20"/>
          <w:color w:val="auto"/>
        </w:rPr>
      </w:pPr>
      <w:r>
        <w:rPr>
          <w:rFonts w:ascii="Times New Roman" w:cs="Times New Roman" w:eastAsia="Times New Roman" w:hAnsi="Times New Roman"/>
          <w:sz w:val="18"/>
          <w:szCs w:val="18"/>
          <w:color w:val="32406B"/>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124</w:t>
      </w:r>
    </w:p>
    <w:p>
      <w:pPr>
        <w:sectPr>
          <w:pgSz w:w="11900" w:h="16838" w:orient="portrait"/>
          <w:cols w:equalWidth="0" w:num="1">
            <w:col w:w="11220"/>
          </w:cols>
          <w:pgMar w:left="320" w:top="455" w:right="3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32406B"/>
        </w:rPr>
        <w:t>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U.S. Healthcare Reform</w:t>
      </w:r>
    </w:p>
    <w:p>
      <w:pPr>
        <w:spacing w:after="0" w:line="11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94" w:lineRule="exact"/>
        <w:rPr>
          <w:sz w:val="20"/>
          <w:szCs w:val="20"/>
          <w:color w:val="auto"/>
        </w:rPr>
      </w:pPr>
    </w:p>
    <w:p>
      <w:pPr>
        <w:ind w:left="1000" w:right="14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7" w:lineRule="exact"/>
        <w:rPr>
          <w:rFonts w:ascii="Times New Roman" w:cs="Times New Roman" w:eastAsia="Times New Roman" w:hAnsi="Times New Roman"/>
          <w:sz w:val="18"/>
          <w:szCs w:val="18"/>
          <w:color w:val="32406B"/>
        </w:rPr>
      </w:pPr>
    </w:p>
    <w:p>
      <w:pPr>
        <w:ind w:left="1000" w:right="12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 increase in the statutory minimum rebates a manufacturer must pay under the Medicaid Drug Rebate Program to 23.1% and 13.0% of the average manufacturer price for branded and generic drugs, respectively;</w:t>
      </w:r>
    </w:p>
    <w:p>
      <w:pPr>
        <w:spacing w:after="0" w:line="67" w:lineRule="exact"/>
        <w:rPr>
          <w:rFonts w:ascii="Times New Roman" w:cs="Times New Roman" w:eastAsia="Times New Roman" w:hAnsi="Times New Roman"/>
          <w:sz w:val="18"/>
          <w:szCs w:val="18"/>
          <w:color w:val="32406B"/>
        </w:rPr>
      </w:pPr>
    </w:p>
    <w:p>
      <w:pPr>
        <w:ind w:left="1000" w:right="30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expansion of healthcare fraud and abuse laws, including the False Claims Act and the Anti-Kickback Statute, which include, among other things, new government investigative powers and enhanced penalties for non-compliance;</w:t>
      </w:r>
    </w:p>
    <w:p>
      <w:pPr>
        <w:spacing w:after="0" w:line="67" w:lineRule="exact"/>
        <w:rPr>
          <w:rFonts w:ascii="Times New Roman" w:cs="Times New Roman" w:eastAsia="Times New Roman" w:hAnsi="Times New Roman"/>
          <w:sz w:val="18"/>
          <w:szCs w:val="18"/>
          <w:color w:val="32406B"/>
        </w:rPr>
      </w:pPr>
    </w:p>
    <w:p>
      <w:pPr>
        <w:ind w:left="1000" w:right="260" w:hanging="547"/>
        <w:spacing w:after="0" w:line="266"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81" w:lineRule="exact"/>
        <w:rPr>
          <w:rFonts w:ascii="Times New Roman" w:cs="Times New Roman" w:eastAsia="Times New Roman" w:hAnsi="Times New Roman"/>
          <w:sz w:val="18"/>
          <w:szCs w:val="18"/>
          <w:color w:val="32406B"/>
        </w:rPr>
      </w:pPr>
    </w:p>
    <w:p>
      <w:pPr>
        <w:ind w:left="1000" w:right="48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expansion of eligibility criteria for Medicaid programs by, among other things, allowing states to offer Medicaid coverage to additional individuals, thereby potentially increasing manufacturers’ Medicaid rebate liability;</w:t>
      </w:r>
    </w:p>
    <w:p>
      <w:pPr>
        <w:spacing w:after="0" w:line="65" w:lineRule="exact"/>
        <w:rPr>
          <w:rFonts w:ascii="Times New Roman" w:cs="Times New Roman" w:eastAsia="Times New Roman" w:hAnsi="Times New Roman"/>
          <w:sz w:val="18"/>
          <w:szCs w:val="18"/>
          <w:color w:val="32406B"/>
        </w:rPr>
      </w:pPr>
    </w:p>
    <w:p>
      <w:pPr>
        <w:ind w:left="1000" w:right="520" w:hanging="547"/>
        <w:spacing w:after="0" w:line="284"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expansion of the types of entities eligible for discounts under the Public Health Service pharmaceutical pricing program (</w:t>
      </w:r>
      <w:r>
        <w:rPr>
          <w:rFonts w:ascii="Times New Roman" w:cs="Times New Roman" w:eastAsia="Times New Roman" w:hAnsi="Times New Roman"/>
          <w:sz w:val="18"/>
          <w:szCs w:val="18"/>
          <w:i w:val="1"/>
          <w:iCs w:val="1"/>
          <w:color w:val="32406B"/>
        </w:rPr>
        <w:t>i.e.</w:t>
      </w:r>
      <w:r>
        <w:rPr>
          <w:rFonts w:ascii="Times New Roman" w:cs="Times New Roman" w:eastAsia="Times New Roman" w:hAnsi="Times New Roman"/>
          <w:sz w:val="18"/>
          <w:szCs w:val="18"/>
          <w:color w:val="32406B"/>
        </w:rPr>
        <w:t>, the 340B program);</w:t>
      </w:r>
    </w:p>
    <w:p>
      <w:pPr>
        <w:spacing w:after="0" w:line="65" w:lineRule="exact"/>
        <w:rPr>
          <w:rFonts w:ascii="Times New Roman" w:cs="Times New Roman" w:eastAsia="Times New Roman" w:hAnsi="Times New Roman"/>
          <w:sz w:val="18"/>
          <w:szCs w:val="18"/>
          <w:color w:val="32406B"/>
        </w:rPr>
      </w:pPr>
    </w:p>
    <w:p>
      <w:pPr>
        <w:ind w:left="1000" w:right="38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reporting of certain financial arrangements between manufacturers of drugs, biologics, devices, and medical supplies and physicians and teaching hospitals under the Physician Payments Sunshine Act;</w:t>
      </w:r>
    </w:p>
    <w:p>
      <w:pPr>
        <w:spacing w:after="0" w:line="67" w:lineRule="exact"/>
        <w:rPr>
          <w:rFonts w:ascii="Times New Roman" w:cs="Times New Roman" w:eastAsia="Times New Roman" w:hAnsi="Times New Roman"/>
          <w:sz w:val="18"/>
          <w:szCs w:val="18"/>
          <w:color w:val="32406B"/>
        </w:rPr>
      </w:pPr>
    </w:p>
    <w:p>
      <w:pPr>
        <w:ind w:left="1000" w:right="760" w:hanging="547"/>
        <w:spacing w:after="0" w:line="282" w:lineRule="auto"/>
        <w:tabs>
          <w:tab w:leader="none" w:pos="1000" w:val="left"/>
        </w:tabs>
        <w:numPr>
          <w:ilvl w:val="0"/>
          <w:numId w:val="6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requirement to annually report certain information regarding drug samples that manufacturers and distributors provide to licensed practitioners;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125</w:t>
      </w:r>
    </w:p>
    <w:p>
      <w:pPr>
        <w:sectPr>
          <w:pgSz w:w="11900" w:h="16838" w:orient="portrait"/>
          <w:cols w:equalWidth="0" w:num="1">
            <w:col w:w="11220"/>
          </w:cols>
          <w:pgMar w:left="320" w:top="455"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82" w:lineRule="auto"/>
        <w:tabs>
          <w:tab w:leader="none" w:pos="1000" w:val="left"/>
        </w:tabs>
        <w:numPr>
          <w:ilvl w:val="0"/>
          <w:numId w:val="7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creation of the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760" w:firstLine="449"/>
        <w:spacing w:after="0" w:line="282" w:lineRule="auto"/>
        <w:rPr>
          <w:sz w:val="20"/>
          <w:szCs w:val="20"/>
          <w:color w:val="auto"/>
        </w:rPr>
      </w:pPr>
      <w:r>
        <w:rPr>
          <w:rFonts w:ascii="Times New Roman" w:cs="Times New Roman" w:eastAsia="Times New Roman" w:hAnsi="Times New Roman"/>
          <w:sz w:val="18"/>
          <w:szCs w:val="18"/>
          <w:color w:val="32406B"/>
        </w:rPr>
        <w:t>Since its enactment there have been judicial and Congressional challenges to certain aspects of the PPACA, as well as efforts by the Trump Administration to repeal or replace certain aspects of the PPACA.</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is scheduled to hear oral arguments on November 10, 2020 and the case is expected to be decided in 2021.</w:t>
      </w:r>
    </w:p>
    <w:p>
      <w:pPr>
        <w:spacing w:after="0" w:line="18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8"/>
          <w:szCs w:val="18"/>
          <w:color w:val="32406B"/>
        </w:rPr>
        <w:t>Since January 2017, President Trump has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In the future, there may be additional challenges and/or amendments to the PPACA.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9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9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Further, there has been heightened governmental scrutiny recently over the manner in which drug manufacturers set prices for their marketed products in the United States. Congress is considering various legislative proposals, and the Trump Administration has proposed and begun implementing regulatory reforms to further increase transparency around prices and price increases, lower out-of-pocket costs for consumers, and decrease spending on prescription drugs by government programs. On September 13, 2020, President Trump</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126</w:t>
      </w:r>
    </w:p>
    <w:p>
      <w:pPr>
        <w:sectPr>
          <w:pgSz w:w="11900" w:h="16838" w:orient="portrait"/>
          <w:cols w:equalWidth="0" w:num="1">
            <w:col w:w="11220"/>
          </w:cols>
          <w:pgMar w:left="320" w:top="455" w:right="3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32406B"/>
        </w:rPr>
        <w:t>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implemented, the “most-favored-nation” price would generally reflect the lowest price, after certain adjustments, for a pharmaceutical product sold in an economically-comparable member country of the Organisation for Economic Co-operation and Development. Congress has also continued to conduct inquiries into the prescription drug industry’s pricing practices. While several proposed reform measures will require Congress to pass legislation to become effective, Congress and the Trump Administration have each indicated that it will continue to seek new legislative and/or regulatory measures to address prescription drug costs. 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9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We expect that these, as well as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Privacy and Information Security</w:t>
      </w:r>
    </w:p>
    <w:p>
      <w:pPr>
        <w:spacing w:after="0" w:line="119"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8"/>
          <w:szCs w:val="18"/>
          <w:color w:val="32406B"/>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 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94"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32406B"/>
        </w:rPr>
        <w:t>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32406B"/>
        </w:rPr>
        <w:t>e.g.</w:t>
      </w:r>
      <w:r>
        <w:rPr>
          <w:rFonts w:ascii="Times New Roman" w:cs="Times New Roman" w:eastAsia="Times New Roman" w:hAnsi="Times New Roman"/>
          <w:sz w:val="18"/>
          <w:szCs w:val="18"/>
          <w:color w:val="32406B"/>
        </w:rPr>
        <w:t>, Section 5 of the Federal Trade Commission Act), that govern the collection, use, disclosure and protection of health-related and other personal information could apply to our operations or the operations of our collaborators.</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80"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Additionally, the Federal Trade Commission, or FTC, and state attorneys general enforce consumer protection laws that prohibit unfair and deceptive acts and practices, including Section 5 of the FTC Act, which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127</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32406B"/>
        </w:rPr>
        <w:t>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76"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Further,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92"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8"/>
          <w:szCs w:val="18"/>
          <w:color w:val="32406B"/>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w:t>
      </w:r>
    </w:p>
    <w:p>
      <w:pPr>
        <w:spacing w:after="0" w:line="5" w:lineRule="exact"/>
        <w:rPr>
          <w:sz w:val="20"/>
          <w:szCs w:val="20"/>
          <w:color w:val="auto"/>
        </w:rPr>
      </w:pPr>
    </w:p>
    <w:p>
      <w:pPr>
        <w:ind w:right="160" w:firstLine="8"/>
        <w:spacing w:after="0" w:line="251" w:lineRule="auto"/>
        <w:tabs>
          <w:tab w:leader="none" w:pos="305" w:val="left"/>
        </w:tabs>
        <w:numPr>
          <w:ilvl w:val="0"/>
          <w:numId w:val="7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has been put in place. Until recently, one such data transfer mechanism was the EU-US Privacy Shield. However, in July 2020 the Court of Justice of the European Union, or CJEU declared the Privacy Shield to be invalid. The CJEU upheld the validity of the standard contractual clauses, or SCCs, as a legal mechanism to transfer personal data but companies relying on SCCs will—subject to additional guidance from regulators in the EEA—need to evaluate and implement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w:t>
      </w:r>
    </w:p>
    <w:p>
      <w:pPr>
        <w:spacing w:after="0" w:line="194" w:lineRule="exact"/>
        <w:rPr>
          <w:sz w:val="20"/>
          <w:szCs w:val="20"/>
          <w:color w:val="auto"/>
        </w:rPr>
      </w:pPr>
    </w:p>
    <w:p>
      <w:pPr>
        <w:jc w:val="both"/>
        <w:ind w:right="20" w:firstLine="449"/>
        <w:spacing w:after="0" w:line="261" w:lineRule="auto"/>
        <w:rPr>
          <w:sz w:val="20"/>
          <w:szCs w:val="20"/>
          <w:color w:val="auto"/>
        </w:rPr>
      </w:pPr>
      <w:r>
        <w:rPr>
          <w:rFonts w:ascii="Times New Roman" w:cs="Times New Roman" w:eastAsia="Times New Roman" w:hAnsi="Times New Roman"/>
          <w:sz w:val="18"/>
          <w:szCs w:val="18"/>
          <w:color w:val="32406B"/>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128</w:t>
      </w:r>
    </w:p>
    <w:p>
      <w:pPr>
        <w:sectPr>
          <w:pgSz w:w="11900" w:h="16838" w:orient="portrait"/>
          <w:cols w:equalWidth="0" w:num="1">
            <w:col w:w="11220"/>
          </w:cols>
          <w:pgMar w:left="320" w:top="455"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Foreign Corrupt Practices Act</w:t>
      </w:r>
    </w:p>
    <w:p>
      <w:pPr>
        <w:spacing w:after="0" w:line="11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Additional Regulation</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32406B"/>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European Union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European Medicines Agency</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Marketing approvals under the European Union regulatory system may be obtained through a centralized or the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9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 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8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32406B"/>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129</w:t>
      </w:r>
    </w:p>
    <w:p>
      <w:pPr>
        <w:sectPr>
          <w:pgSz w:w="11900" w:h="16838" w:orient="portrait"/>
          <w:cols w:equalWidth="0" w:num="1">
            <w:col w:w="11160"/>
          </w:cols>
          <w:pgMar w:left="320" w:top="455" w:right="41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32406B"/>
        </w:rPr>
        <w:t>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140" w:firstLine="449"/>
        <w:spacing w:after="0" w:line="266" w:lineRule="auto"/>
        <w:rPr>
          <w:sz w:val="20"/>
          <w:szCs w:val="20"/>
          <w:color w:val="auto"/>
        </w:rPr>
      </w:pPr>
      <w:r>
        <w:rPr>
          <w:rFonts w:ascii="Times New Roman" w:cs="Times New Roman" w:eastAsia="Times New Roman" w:hAnsi="Times New Roman"/>
          <w:sz w:val="18"/>
          <w:szCs w:val="18"/>
          <w:color w:val="32406B"/>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labelling to ensure that the benefits of certain prescription drugs outweigh their risks.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Accelerated Assessment Procedures</w:t>
      </w:r>
    </w:p>
    <w:p>
      <w:pPr>
        <w:spacing w:after="0" w:line="119"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8"/>
          <w:szCs w:val="18"/>
          <w:color w:val="32406B"/>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Conditional Marketing Authorization and Authorization under Exceptional Circumstances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 conditional marketing authorization is valid for one year, can be renewed annually and may be requested by an applicant or proposed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CHMP for medicinal products which aim at:</w:t>
      </w:r>
    </w:p>
    <w:p>
      <w:pPr>
        <w:spacing w:after="0" w:line="112" w:lineRule="exact"/>
        <w:rPr>
          <w:sz w:val="20"/>
          <w:szCs w:val="20"/>
          <w:color w:val="auto"/>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treatment, prevention or medical diagnosis of seriously debilitating or life-threatening diseases;</w:t>
      </w:r>
    </w:p>
    <w:p>
      <w:pPr>
        <w:spacing w:after="0" w:line="130" w:lineRule="exact"/>
        <w:rPr>
          <w:rFonts w:ascii="Times New Roman" w:cs="Times New Roman" w:eastAsia="Times New Roman" w:hAnsi="Times New Roman"/>
          <w:sz w:val="18"/>
          <w:szCs w:val="18"/>
          <w:color w:val="32406B"/>
        </w:rPr>
      </w:pPr>
    </w:p>
    <w:p>
      <w:pPr>
        <w:ind w:left="1000" w:hanging="547"/>
        <w:spacing w:after="0" w:line="282" w:lineRule="auto"/>
        <w:tabs>
          <w:tab w:leader="none" w:pos="1000" w:val="left"/>
        </w:tabs>
        <w:numPr>
          <w:ilvl w:val="0"/>
          <w:numId w:val="7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medicinal products designated as orphan medicinal products in accordance with Regulation (EC) No. 141/2000, as amended.</w:t>
      </w:r>
    </w:p>
    <w:p>
      <w:pPr>
        <w:spacing w:after="0" w:line="225"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32406B"/>
        </w:rPr>
        <w:t>A conditional marketing authorization may be requested by an applicant or proposed by the CHMP for medicinal products if all of the following requirements are met:</w:t>
      </w:r>
    </w:p>
    <w:p>
      <w:pPr>
        <w:spacing w:after="0" w:line="67" w:lineRule="exact"/>
        <w:rPr>
          <w:sz w:val="20"/>
          <w:szCs w:val="20"/>
          <w:color w:val="auto"/>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risk-benefit balance of the medicinal product, as defined in Article 1(28a) of Directive 2001/83/EC, as amended, is positive;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it is likely that the applicant will be in a position to provide comprehensive clinical data;</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unmet medical needs will be fulfilled (no existing satisfactory methods or the medicinal product provides major therapeutic advantage); and</w:t>
      </w:r>
    </w:p>
    <w:p>
      <w:pPr>
        <w:spacing w:after="0" w:line="130"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7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benefit to public health of the immediate availability on the market of the medicinal product concerned outweighs the risk inherent in the fact that additional data are still required.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130</w:t>
      </w:r>
    </w:p>
    <w:p>
      <w:pPr>
        <w:sectPr>
          <w:pgSz w:w="11900" w:h="16838" w:orient="portrait"/>
          <w:cols w:equalWidth="0" w:num="1">
            <w:col w:w="11220"/>
          </w:cols>
          <w:pgMar w:left="320" w:top="455" w:right="3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32406B"/>
        </w:rPr>
        <w:t>The legal basis for a conditional marketing authorization is Article 14-a of Regulation (EC) No. 726/2004, as amended. The provisions for the granting of such an authorization are further elaborated in Regulation (EC) No. 507/2006</w:t>
      </w:r>
      <w:r>
        <w:rPr>
          <w:rFonts w:ascii="Times New Roman" w:cs="Times New Roman" w:eastAsia="Times New Roman" w:hAnsi="Times New Roman"/>
          <w:sz w:val="18"/>
          <w:szCs w:val="18"/>
          <w:i w:val="1"/>
          <w:iCs w:val="1"/>
          <w:color w:val="32406B"/>
        </w:rPr>
        <w:t>.</w:t>
      </w:r>
      <w:r>
        <w:rPr>
          <w:rFonts w:ascii="Times New Roman" w:cs="Times New Roman" w:eastAsia="Times New Roman" w:hAnsi="Times New Roman"/>
          <w:sz w:val="18"/>
          <w:szCs w:val="18"/>
          <w:color w:val="32406B"/>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180"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32406B"/>
        </w:rPr>
        <w:t>In addition, authorization under exceptional circumstances may be requested when it is not possible to provide comprehensive data on the efficacy and safety under normal conditions of use, because:</w:t>
      </w:r>
    </w:p>
    <w:p>
      <w:pPr>
        <w:spacing w:after="0" w:line="67" w:lineRule="exact"/>
        <w:rPr>
          <w:sz w:val="20"/>
          <w:szCs w:val="20"/>
          <w:color w:val="auto"/>
        </w:rPr>
      </w:pPr>
    </w:p>
    <w:p>
      <w:pPr>
        <w:ind w:left="1000" w:right="340" w:hanging="547"/>
        <w:spacing w:after="0" w:line="282" w:lineRule="auto"/>
        <w:tabs>
          <w:tab w:leader="none" w:pos="1000" w:val="left"/>
        </w:tabs>
        <w:numPr>
          <w:ilvl w:val="0"/>
          <w:numId w:val="7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indications for which the product in question is intended are encountered so rarely that the applicant cannot reasonably be expected to provide comprehensive evidence;</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the present state of scientific knowledge, comprehensive information cannot be provided; or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it would be contrary to generally accepted principles of medical ethics to collect such information.</w:t>
      </w:r>
    </w:p>
    <w:p>
      <w:pPr>
        <w:spacing w:after="0" w:line="225"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32406B"/>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Manufacturing and Manufacturers’ Authorization</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Commercialization and Promotion</w:t>
      </w:r>
    </w:p>
    <w:p>
      <w:pPr>
        <w:spacing w:after="0" w:line="11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131</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32406B"/>
        </w:rPr>
        <w:t>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Regulatory Data Protection and Market Exclusivity</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preclinical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Orphan Designation</w:t>
      </w:r>
    </w:p>
    <w:p>
      <w:pPr>
        <w:spacing w:after="0" w:line="119"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pacing w:after="0" w:line="189"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Notwithstanding the foregoing, a marketing authorization may be granted, for the same therapeutic indication, to a similar drug if:</w:t>
      </w:r>
    </w:p>
    <w:p>
      <w:pPr>
        <w:spacing w:after="0" w:line="131" w:lineRule="exact"/>
        <w:rPr>
          <w:sz w:val="20"/>
          <w:szCs w:val="20"/>
          <w:color w:val="auto"/>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holder of the marketing authorization for the original orphan drug has given its consent to the second applicant;</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holder of the marketing authorization for the original orphan drug is unable to supply sufficient quantities of the drug; or</w:t>
      </w:r>
    </w:p>
    <w:p>
      <w:pPr>
        <w:spacing w:after="0" w:line="130" w:lineRule="exact"/>
        <w:rPr>
          <w:rFonts w:ascii="Times New Roman" w:cs="Times New Roman" w:eastAsia="Times New Roman" w:hAnsi="Times New Roman"/>
          <w:sz w:val="18"/>
          <w:szCs w:val="18"/>
          <w:color w:val="32406B"/>
        </w:rPr>
      </w:pPr>
    </w:p>
    <w:p>
      <w:pPr>
        <w:ind w:left="1000" w:right="340" w:hanging="547"/>
        <w:spacing w:after="0" w:line="282" w:lineRule="auto"/>
        <w:tabs>
          <w:tab w:leader="none" w:pos="1000" w:val="left"/>
        </w:tabs>
        <w:numPr>
          <w:ilvl w:val="0"/>
          <w:numId w:val="7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second applicant can establish in the application that the second drug, although similar to the orphan drug already authorized, is safer, more effective or otherwise clinically superior.</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Regulation (EC) No 847/2000 lays down definitions of the concepts “similar drug” and “clinical superiority.”</w:t>
      </w:r>
    </w:p>
    <w:p>
      <w:pPr>
        <w:spacing w:after="0" w:line="225"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In order to be eligible for incentives made available by the European Union and by the Member States to support research into, and the development and availability of, orphan drugs, the medicinal product needs to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132</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32406B"/>
        </w:rPr>
        <w:t>designated as an orphan drug pursuant to Regulation (EC) No. 141/2000, as amended. Regulation (EC) No. 141/2000, as amended, states that a medicinal product shall be designated as an orphan medicinal product if its manufacturer can establish:</w:t>
      </w:r>
    </w:p>
    <w:p>
      <w:pPr>
        <w:spacing w:after="0" w:line="67" w:lineRule="exact"/>
        <w:rPr>
          <w:sz w:val="20"/>
          <w:szCs w:val="20"/>
          <w:color w:val="auto"/>
        </w:rPr>
      </w:pPr>
    </w:p>
    <w:p>
      <w:pPr>
        <w:ind w:left="1000" w:hanging="547"/>
        <w:spacing w:after="0" w:line="258" w:lineRule="auto"/>
        <w:tabs>
          <w:tab w:leader="none" w:pos="1000" w:val="left"/>
        </w:tabs>
        <w:numPr>
          <w:ilvl w:val="0"/>
          <w:numId w:val="7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88" w:lineRule="exact"/>
        <w:rPr>
          <w:rFonts w:ascii="Times New Roman" w:cs="Times New Roman" w:eastAsia="Times New Roman" w:hAnsi="Times New Roman"/>
          <w:sz w:val="18"/>
          <w:szCs w:val="18"/>
          <w:color w:val="32406B"/>
        </w:rPr>
      </w:pPr>
    </w:p>
    <w:p>
      <w:pPr>
        <w:ind w:left="1000" w:right="360" w:hanging="547"/>
        <w:spacing w:after="0" w:line="282" w:lineRule="auto"/>
        <w:tabs>
          <w:tab w:leader="none" w:pos="1000" w:val="left"/>
        </w:tabs>
        <w:numPr>
          <w:ilvl w:val="0"/>
          <w:numId w:val="7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Small- or Medium-Sized Enterprise Status</w:t>
      </w:r>
    </w:p>
    <w:p>
      <w:pPr>
        <w:spacing w:after="0" w:line="11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color w:val="32406B"/>
        </w:rPr>
        <w:t>In the European Union, manufacturers may benefit from further incentives, including administrative and procedural assistance and fee reductions when they are classified as a small- 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Administrative, regulatory and financial support is available to companies assigned the SME status by the EMA, including:</w:t>
      </w:r>
    </w:p>
    <w:p>
      <w:pPr>
        <w:spacing w:after="0" w:line="131" w:lineRule="exact"/>
        <w:rPr>
          <w:sz w:val="20"/>
          <w:szCs w:val="20"/>
          <w:color w:val="auto"/>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direct assistance by phone, email, teleconference or through briefing meetings on regulatory aspects of the pharmaceutical legislation;</w:t>
      </w:r>
    </w:p>
    <w:p>
      <w:pPr>
        <w:spacing w:after="0" w:line="130"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fee exemptions and reductions for pre- and post-authorization regulatory procedures, including scientific advice, inspections and pharmaco-vigilance;</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assistance with translations of product information into all official European Union languages;</w:t>
      </w:r>
    </w:p>
    <w:p>
      <w:pPr>
        <w:spacing w:after="0" w:line="130" w:lineRule="exact"/>
        <w:rPr>
          <w:rFonts w:ascii="Times New Roman" w:cs="Times New Roman" w:eastAsia="Times New Roman" w:hAnsi="Times New Roman"/>
          <w:sz w:val="18"/>
          <w:szCs w:val="18"/>
          <w:color w:val="32406B"/>
        </w:rPr>
      </w:pPr>
    </w:p>
    <w:p>
      <w:pPr>
        <w:ind w:left="1000" w:right="340" w:hanging="547"/>
        <w:spacing w:after="0" w:line="282" w:lineRule="auto"/>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inclusion in an online SME register, which is an important source of information on the EU-based SMEs involved in the manufacturing, development or marketing of medicines and promotes partnering and networking between the SMEs;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guidance on clinical data publication and a free redaction tool license;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liaison with academic investigators in pediatric-medicine research through the European Network of Pediatric Research at the EMA;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workshops and training sessions.</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Development of Medicines for Children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Several incentives for the development of medicines for children are available in the European Union:</w:t>
      </w:r>
    </w:p>
    <w:p>
      <w:pPr>
        <w:spacing w:after="0" w:line="131" w:lineRule="exact"/>
        <w:rPr>
          <w:sz w:val="20"/>
          <w:szCs w:val="20"/>
          <w:color w:val="auto"/>
        </w:rPr>
      </w:pPr>
    </w:p>
    <w:p>
      <w:pPr>
        <w:ind w:left="1000" w:right="480" w:hanging="547"/>
        <w:spacing w:after="0" w:line="282" w:lineRule="auto"/>
        <w:tabs>
          <w:tab w:leader="none" w:pos="1000" w:val="left"/>
        </w:tabs>
        <w:numPr>
          <w:ilvl w:val="0"/>
          <w:numId w:val="7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7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for orphan medicines, the incentive is an additional two years of market exclusivity;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32406B"/>
        </w:rPr>
        <w:t>133</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220" w:hanging="547"/>
        <w:spacing w:after="0" w:line="282" w:lineRule="auto"/>
        <w:tabs>
          <w:tab w:leader="none" w:pos="1000" w:val="left"/>
        </w:tabs>
        <w:numPr>
          <w:ilvl w:val="0"/>
          <w:numId w:val="7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scientific advice and protocol assistance at the EMA are free of charge for questions relating to the development of medicines for children; and</w:t>
      </w:r>
    </w:p>
    <w:p>
      <w:pPr>
        <w:spacing w:after="0" w:line="67" w:lineRule="exact"/>
        <w:rPr>
          <w:rFonts w:ascii="Times New Roman" w:cs="Times New Roman" w:eastAsia="Times New Roman" w:hAnsi="Times New Roman"/>
          <w:sz w:val="18"/>
          <w:szCs w:val="18"/>
          <w:color w:val="32406B"/>
        </w:rPr>
      </w:pPr>
    </w:p>
    <w:p>
      <w:pPr>
        <w:ind w:left="1000" w:right="540" w:hanging="547"/>
        <w:spacing w:after="0" w:line="282" w:lineRule="auto"/>
        <w:tabs>
          <w:tab w:leader="none" w:pos="1000" w:val="left"/>
        </w:tabs>
        <w:numPr>
          <w:ilvl w:val="0"/>
          <w:numId w:val="7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Pediatric Regulation</w:t>
      </w:r>
    </w:p>
    <w:p>
      <w:pPr>
        <w:spacing w:after="0" w:line="119"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8"/>
          <w:szCs w:val="18"/>
          <w:color w:val="32406B"/>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Pharmaceutical Coverage, Pricing and Reimbursement</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8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134</w:t>
      </w:r>
    </w:p>
    <w:p>
      <w:pPr>
        <w:sectPr>
          <w:pgSz w:w="11900" w:h="16838" w:orient="portrait"/>
          <w:cols w:equalWidth="0" w:num="1">
            <w:col w:w="11220"/>
          </w:cols>
          <w:pgMar w:left="320" w:top="455" w:right="3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406B"/>
        </w:rPr>
        <w:t>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8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Facilities</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We have offices in Waltham, Massachusetts; Zug, Switzerland; and, Leiden, The Netherlands. Our office in Massachusetts is rented on a monthly basis; our Switzerland office is rented on an annual basis; and our office in the incubator at the Bioscience Park in Leiden is sub-leased on a yearly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Employees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As of February 1, 2021, we had 14 employees. We believe our relations with our employees are good.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135</w:t>
      </w:r>
    </w:p>
    <w:p>
      <w:pPr>
        <w:sectPr>
          <w:pgSz w:w="11900" w:h="16838" w:orient="portrait"/>
          <w:cols w:equalWidth="0" w:num="1">
            <w:col w:w="11220"/>
          </w:cols>
          <w:pgMar w:left="320" w:top="455" w:right="3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table below sets out the number of employees by geography as of February 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Geography</w:t>
            </w:r>
          </w:p>
        </w:tc>
        <w:tc>
          <w:tcPr>
            <w:tcW w:w="9400" w:type="dxa"/>
            <w:vAlign w:val="bottom"/>
            <w:vMerge w:val="restart"/>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2406B"/>
              </w:rPr>
              <w:t>As of February 1,</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9400" w:type="dxa"/>
            <w:vAlign w:val="bottom"/>
            <w:vMerge w:val="continue"/>
          </w:tcPr>
          <w:p>
            <w:pPr>
              <w:spacing w:after="0"/>
              <w:rPr>
                <w:sz w:val="15"/>
                <w:szCs w:val="15"/>
                <w:color w:val="auto"/>
              </w:rPr>
            </w:pPr>
          </w:p>
        </w:tc>
        <w:tc>
          <w:tcPr>
            <w:tcW w:w="1080" w:type="dxa"/>
            <w:vAlign w:val="bottom"/>
          </w:tcPr>
          <w:p>
            <w:pPr>
              <w:jc w:val="right"/>
              <w:ind w:right="316"/>
              <w:spacing w:after="0" w:line="160" w:lineRule="exact"/>
              <w:rPr>
                <w:sz w:val="20"/>
                <w:szCs w:val="20"/>
                <w:color w:val="auto"/>
              </w:rPr>
            </w:pPr>
            <w:r>
              <w:rPr>
                <w:rFonts w:ascii="Times New Roman" w:cs="Times New Roman" w:eastAsia="Times New Roman" w:hAnsi="Times New Roman"/>
                <w:sz w:val="14"/>
                <w:szCs w:val="14"/>
                <w:b w:val="1"/>
                <w:bCs w:val="1"/>
                <w:color w:val="32406B"/>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32406B"/>
              </w:rPr>
              <w:t>Switzerland</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32406B"/>
              </w:rPr>
              <w:t>1</w:t>
            </w:r>
          </w:p>
        </w:tc>
        <w:tc>
          <w:tcPr>
            <w:tcW w:w="6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The Netherlands</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32406B"/>
              </w:rPr>
              <w:t>8</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United States</w:t>
            </w: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5</w:t>
            </w:r>
          </w:p>
        </w:tc>
        <w:tc>
          <w:tcPr>
            <w:tcW w:w="0" w:type="dxa"/>
            <w:vAlign w:val="bottom"/>
          </w:tcPr>
          <w:p>
            <w:pPr>
              <w:spacing w:after="0"/>
              <w:rPr>
                <w:sz w:val="1"/>
                <w:szCs w:val="1"/>
                <w:color w:val="auto"/>
              </w:rPr>
            </w:pPr>
          </w:p>
        </w:tc>
      </w:tr>
      <w:tr>
        <w:trPr>
          <w:trHeight w:val="223"/>
        </w:trPr>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32406B"/>
              </w:rPr>
              <w:t>14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Corporate Structure</w:t>
      </w:r>
    </w:p>
    <w:p>
      <w:pPr>
        <w:spacing w:after="0" w:line="119" w:lineRule="exact"/>
        <w:rPr>
          <w:sz w:val="20"/>
          <w:szCs w:val="20"/>
          <w:color w:val="auto"/>
        </w:rPr>
      </w:pPr>
    </w:p>
    <w:p>
      <w:pPr>
        <w:ind w:right="320" w:firstLine="449"/>
        <w:spacing w:after="0" w:line="290" w:lineRule="auto"/>
        <w:rPr>
          <w:sz w:val="20"/>
          <w:szCs w:val="20"/>
          <w:color w:val="auto"/>
        </w:rPr>
      </w:pPr>
      <w:r>
        <w:rPr>
          <w:rFonts w:ascii="Times New Roman" w:cs="Times New Roman" w:eastAsia="Times New Roman" w:hAnsi="Times New Roman"/>
          <w:sz w:val="17"/>
          <w:szCs w:val="17"/>
          <w:color w:val="32406B"/>
        </w:rPr>
        <w:t>We are incorporated as a Dutch private company with limited liability (</w:t>
      </w:r>
      <w:r>
        <w:rPr>
          <w:rFonts w:ascii="Times New Roman" w:cs="Times New Roman" w:eastAsia="Times New Roman" w:hAnsi="Times New Roman"/>
          <w:sz w:val="17"/>
          <w:szCs w:val="17"/>
          <w:i w:val="1"/>
          <w:iCs w:val="1"/>
          <w:color w:val="32406B"/>
        </w:rPr>
        <w:t>besloten vennootschap</w:t>
      </w:r>
      <w:r>
        <w:rPr>
          <w:rFonts w:ascii="Times New Roman" w:cs="Times New Roman" w:eastAsia="Times New Roman" w:hAnsi="Times New Roman"/>
          <w:sz w:val="17"/>
          <w:szCs w:val="17"/>
          <w:color w:val="32406B"/>
        </w:rPr>
        <w:t>) with operating subsidiaries in the Netherlands, Switzerland and the United States. We have raised more than $163 million of invested capital from LSP, Kurma Partners, Idinvest Partners, Foresite Capital, Bain Capital Life Sciences, venBio Partners, VenRock Partners, Viking Global Investors, General Atlantic, and Cormorant Asset Management.</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diagram illustrates our corporate structure immediately following the consummation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5048885" cy="19888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4888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136</w:t>
      </w:r>
    </w:p>
    <w:p>
      <w:pPr>
        <w:sectPr>
          <w:pgSz w:w="11900" w:h="16838" w:orient="portrait"/>
          <w:cols w:equalWidth="0" w:num="1">
            <w:col w:w="11240"/>
          </w:cols>
          <w:pgMar w:left="320" w:top="455" w:right="3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Board and Senior Management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presents information about our Board and Senior Management upon consummation of this offering.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32406B"/>
              </w:rPr>
              <w:t>Initial</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32406B"/>
                <w:w w:val="99"/>
              </w:rPr>
              <w:t>Name</w:t>
            </w:r>
          </w:p>
        </w:tc>
        <w:tc>
          <w:tcPr>
            <w:tcW w:w="3500" w:type="dxa"/>
            <w:vAlign w:val="bottom"/>
            <w:vMerge w:val="restart"/>
          </w:tcPr>
          <w:p>
            <w:pPr>
              <w:spacing w:after="0"/>
              <w:rPr>
                <w:sz w:val="17"/>
                <w:szCs w:val="17"/>
                <w:color w:val="auto"/>
              </w:rPr>
            </w:pPr>
          </w:p>
        </w:tc>
        <w:tc>
          <w:tcPr>
            <w:tcW w:w="4980" w:type="dxa"/>
            <w:vAlign w:val="bottom"/>
            <w:vMerge w:val="restart"/>
          </w:tcPr>
          <w:p>
            <w:pPr>
              <w:ind w:left="2200"/>
              <w:spacing w:after="0"/>
              <w:rPr>
                <w:sz w:val="20"/>
                <w:szCs w:val="20"/>
                <w:color w:val="auto"/>
              </w:rPr>
            </w:pPr>
            <w:r>
              <w:rPr>
                <w:rFonts w:ascii="Times New Roman" w:cs="Times New Roman" w:eastAsia="Times New Roman" w:hAnsi="Times New Roman"/>
                <w:sz w:val="16"/>
                <w:szCs w:val="16"/>
                <w:b w:val="1"/>
                <w:bCs w:val="1"/>
                <w:color w:val="32406B"/>
              </w:rPr>
              <w:t>Position</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32406B"/>
              </w:rPr>
              <w:t>year of</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20" w:type="dxa"/>
            <w:vAlign w:val="bottom"/>
            <w:tcBorders>
              <w:bottom w:val="single" w:sz="8" w:color="auto"/>
            </w:tcBorders>
            <w:vMerge w:val="continue"/>
          </w:tcPr>
          <w:p>
            <w:pPr>
              <w:spacing w:after="0"/>
              <w:rPr>
                <w:sz w:val="19"/>
                <w:szCs w:val="19"/>
                <w:color w:val="auto"/>
              </w:rPr>
            </w:pPr>
          </w:p>
        </w:tc>
        <w:tc>
          <w:tcPr>
            <w:tcW w:w="3500" w:type="dxa"/>
            <w:vAlign w:val="bottom"/>
            <w:vMerge w:val="continue"/>
          </w:tcPr>
          <w:p>
            <w:pPr>
              <w:spacing w:after="0"/>
              <w:rPr>
                <w:sz w:val="19"/>
                <w:szCs w:val="19"/>
                <w:color w:val="auto"/>
              </w:rPr>
            </w:pPr>
          </w:p>
        </w:tc>
        <w:tc>
          <w:tcPr>
            <w:tcW w:w="4980" w:type="dxa"/>
            <w:vAlign w:val="bottom"/>
            <w:vMerge w:val="continue"/>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32406B"/>
              </w:rPr>
              <w:t>Age</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32406B"/>
                <w:w w:val="98"/>
              </w:rPr>
              <w:t>appointment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32406B"/>
              </w:rPr>
              <w:t>Term</w:t>
            </w:r>
          </w:p>
        </w:tc>
        <w:tc>
          <w:tcPr>
            <w:tcW w:w="0" w:type="dxa"/>
            <w:vAlign w:val="bottom"/>
          </w:tcPr>
          <w:p>
            <w:pPr>
              <w:spacing w:after="0"/>
              <w:rPr>
                <w:sz w:val="1"/>
                <w:szCs w:val="1"/>
                <w:color w:val="auto"/>
              </w:rPr>
            </w:pPr>
          </w:p>
        </w:tc>
      </w:tr>
      <w:tr>
        <w:trPr>
          <w:trHeight w:val="189"/>
        </w:trPr>
        <w:tc>
          <w:tcPr>
            <w:tcW w:w="3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32406B"/>
              </w:rPr>
              <w:t>Board</w:t>
            </w:r>
          </w:p>
        </w:tc>
        <w:tc>
          <w:tcPr>
            <w:tcW w:w="4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Berndt Modig</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Chief Executive Officer and Executive Director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62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2015</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32406B"/>
                <w:w w:val="94"/>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Rémi Droller</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45</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2016</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w w:val="94"/>
              </w:rPr>
              <w:t>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Richard Gaster, M.D., Ph.D.</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36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2019</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32406B"/>
                <w:w w:val="94"/>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Hans Schikan, PharmD.</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62</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2019</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w w:val="94"/>
              </w:rPr>
              <w:t>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Martijn Kleijwegt</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65</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2016</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32406B"/>
                <w:w w:val="94"/>
              </w:rPr>
              <w:t>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David Meeker, M.D.</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66</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2021</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w w:val="94"/>
              </w:rPr>
              <w:t>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Robert Glassman, M.D.</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Non-Executive Director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59</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2021</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32406B"/>
                <w:w w:val="94"/>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Senior Management</w:t>
            </w:r>
          </w:p>
        </w:tc>
        <w:tc>
          <w:tcPr>
            <w:tcW w:w="4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Berndt Modig</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Chief Executive Officer and Director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62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2015</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Jochen Knolle, Ph.D.</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Chief Scientific Officer and Chief Operating Officer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71</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2015</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Peng Lu, M.D., Ph.D.</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Chief Medical Officer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43</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2020</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Anne Lesage, Ph.D.</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Chief Early Development Officer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59</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2015</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32406B"/>
              </w:rPr>
              <w:t>Morgan Conn, Ph.D.</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32406B"/>
              </w:rPr>
              <w:t>Chief Business Officer</w:t>
            </w: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52</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2017</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32406B"/>
              </w:rPr>
              <w:t>Anna Nijdam, MSc RA</w:t>
            </w: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Finance Director and Principal Accounting Officer</w:t>
            </w:r>
          </w:p>
        </w:tc>
        <w:tc>
          <w:tcPr>
            <w:tcW w:w="7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39</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2020</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Unless otherwise indicated, the current business address for members of our Board and Senior Management is Pharvaris B.V., J.H. Oortweg 21, 2333 CH Leiden, The Netherlands.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Family Relationships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No family relationships or other arrangements exist among any member of our Board or Senior Management.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Board and Senior Management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Board Structure</w:t>
      </w:r>
    </w:p>
    <w:p>
      <w:pPr>
        <w:spacing w:after="0" w:line="121"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8"/>
          <w:szCs w:val="18"/>
          <w:color w:val="32406B"/>
        </w:rPr>
        <w:t>The Board as a collective is responsible for our management, strategy, policy and operations. The executive director manages our day-to-day business and operations and implement our strategy. The non-executive directors focus on the supervision of the policy and functioning of the performance of the duties of all directors and our general state of affairs.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as defined under Dutch law, requires approval of our general meeting.</w:t>
      </w:r>
    </w:p>
    <w:p>
      <w:pPr>
        <w:spacing w:after="0" w:line="192"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8"/>
          <w:szCs w:val="18"/>
          <w:color w:val="32406B"/>
        </w:rPr>
        <w:t>Upon completion of this offering, the Board may consist of one or more executive directors and one or more non-executive directors. The Board shall be composed of individuals.</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Under our Articles of Association that will be effective upon consummation of this offering, the directors are appointed by the general meeting upon binding nomination by our Board based on a recommendation of our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137</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32406B"/>
        </w:rPr>
        <w:t>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6" w:lineRule="exact"/>
        <w:rPr>
          <w:sz w:val="20"/>
          <w:szCs w:val="20"/>
          <w:color w:val="auto"/>
        </w:rPr>
      </w:pPr>
    </w:p>
    <w:p>
      <w:pPr>
        <w:jc w:val="both"/>
        <w:ind w:right="320" w:firstLine="449"/>
        <w:spacing w:after="0" w:line="266" w:lineRule="auto"/>
        <w:rPr>
          <w:sz w:val="20"/>
          <w:szCs w:val="20"/>
          <w:color w:val="auto"/>
        </w:rPr>
      </w:pPr>
      <w:r>
        <w:rPr>
          <w:rFonts w:ascii="Times New Roman" w:cs="Times New Roman" w:eastAsia="Times New Roman" w:hAnsi="Times New Roman"/>
          <w:sz w:val="18"/>
          <w:szCs w:val="18"/>
          <w:color w:val="32406B"/>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6"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The general meeting shall at all times be entitled to suspend or remove a director. Under our Articles of Association that will be effective upon the consummation of this offering, the general meeting may only adopt a resolution to suspend or remove a director by at least a two-thirds majority of the votes cast, provided such majority represents more than half of the issued share capital, unless the resolution is passed at the proposal of the Board, in which latter case a simple majority of the votes cast is sufficient. The Board may also suspend, but may not remove, an executive director. The Articles of Association that will be effective upon consummation of this offering will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94" w:lineRule="exact"/>
        <w:rPr>
          <w:sz w:val="20"/>
          <w:szCs w:val="20"/>
          <w:color w:val="auto"/>
        </w:rPr>
      </w:pPr>
    </w:p>
    <w:p>
      <w:pPr>
        <w:ind w:left="1000" w:right="340" w:hanging="547"/>
        <w:spacing w:after="0" w:line="282" w:lineRule="auto"/>
        <w:tabs>
          <w:tab w:leader="none" w:pos="1000" w:val="left"/>
        </w:tabs>
        <w:numPr>
          <w:ilvl w:val="0"/>
          <w:numId w:val="8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executive directors should be appointed for a maximum period of four years, without limiting the number of consecutive terms executive directors may serve; and</w:t>
      </w:r>
    </w:p>
    <w:p>
      <w:pPr>
        <w:spacing w:after="0" w:line="67" w:lineRule="exact"/>
        <w:rPr>
          <w:rFonts w:ascii="Times New Roman" w:cs="Times New Roman" w:eastAsia="Times New Roman" w:hAnsi="Times New Roman"/>
          <w:sz w:val="18"/>
          <w:szCs w:val="18"/>
          <w:color w:val="32406B"/>
        </w:rPr>
      </w:pPr>
    </w:p>
    <w:p>
      <w:pPr>
        <w:ind w:left="1000" w:right="40" w:hanging="547"/>
        <w:spacing w:after="0" w:line="266" w:lineRule="auto"/>
        <w:tabs>
          <w:tab w:leader="none" w:pos="1000" w:val="left"/>
        </w:tabs>
        <w:numPr>
          <w:ilvl w:val="0"/>
          <w:numId w:val="8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non-executive directors should be appointed for two consecutive periods of no more than four years, after which non-executive directors may be reappointed for a maximum of two consecutive periods of no more than two years, provided that in the event of reappointment after an eight-year term of office the reasons thereof should be disclosed in the Company’s statutory annual Board report.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Board of Directors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is a brief summary of the business experience of our Board.</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Berndt Modig</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Mr. Modig is a co-founder of the Company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80" w:lineRule="exact"/>
        <w:rPr>
          <w:sz w:val="20"/>
          <w:szCs w:val="20"/>
          <w:color w:val="auto"/>
        </w:rPr>
      </w:pPr>
    </w:p>
    <w:p>
      <w:pPr>
        <w:ind w:right="120" w:firstLine="449"/>
        <w:spacing w:after="0" w:line="277" w:lineRule="auto"/>
        <w:rPr>
          <w:sz w:val="20"/>
          <w:szCs w:val="20"/>
          <w:color w:val="auto"/>
        </w:rPr>
      </w:pPr>
      <w:r>
        <w:rPr>
          <w:rFonts w:ascii="Times New Roman" w:cs="Times New Roman" w:eastAsia="Times New Roman" w:hAnsi="Times New Roman"/>
          <w:sz w:val="17"/>
          <w:szCs w:val="17"/>
          <w:color w:val="32406B"/>
        </w:rPr>
        <w:t>From October 2003 to November 2008, Mr. Modig was Chief Financial Officer at Jerini AG through its IPO on the Frankfurt exchange in 2005 and sale to Shire plc in 2008. Jerini developed and launched icatibant for the treatment of HAE, now currently marketed by Shire plc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w:t>
      </w:r>
    </w:p>
    <w:p>
      <w:pPr>
        <w:spacing w:after="0" w:line="16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Mr. Modig also serves as a director, chair of the compensation committee and member of the audit committee of Sio Gene Therapies Inc., as vice chairman and chair of the audit committee of Kiadis Pharma N.V., and as a member of the supervisory board and chair of the audit committee of Centogene N.V., all publicly held pharmaceutical companies. Mr. Modig received a bachelor’s degree in business administration, economics and German from the University of Lund, Sweden, and an MBA from INSEAD, Fontainebleau, France. Mr. Modig is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138</w:t>
      </w:r>
    </w:p>
    <w:p>
      <w:pPr>
        <w:sectPr>
          <w:pgSz w:w="11900" w:h="16838" w:orient="portrait"/>
          <w:cols w:equalWidth="0" w:num="1">
            <w:col w:w="11220"/>
          </w:cols>
          <w:pgMar w:left="320" w:top="455" w:right="3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32406B"/>
        </w:rPr>
        <w:t>a certified public accountant (inactive). We believe that Mr. Modig is qualified to serve on our Board because of his extensive international experience in finance and operations, private equity and mergers and acquisitions, and his service on the boards of directors of other biopharmaceutical companies.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Rémi Droller</w:t>
      </w:r>
    </w:p>
    <w:p>
      <w:pPr>
        <w:spacing w:after="0" w:line="119"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Mr. Droller has been a director since April 2016. Mr. Droller has been working as Managing Partner with Kurma Partners since 2010 and is in charge of investments in AM Pharma, Orphazyme, Oxthera (Sweden), ImCheck (France), Stat Dx, Zealand Pharma, Vico Therapeutics, Flamingo Therapeutics and Dynacure. Mr. Droller started at CDC Innovation (now bpi France) from 2000 to 2003, later joining AGF Private Equity (now Idinvest Partners) where he developed the investment activity in the life sciences and made investments such as Novagali Pharma, Prosensa Holding N.V., Vivacta, IntegraGen, and Onxeo.</w:t>
      </w:r>
    </w:p>
    <w:p>
      <w:pPr>
        <w:spacing w:after="0" w:line="183"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Mr. Droller holds a Master in Molecular Biology (Paris VI) and Master in Finance and Innovation Management (Masternova – AgroPariTech). We believe that Mr. Droller is qualified to serve on our Board because of his extensive experience as a venture capital investor and his service on the boards of directors of other biopharmaceutical companies.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Richard Gaster, M.D., Ph.D.</w:t>
      </w:r>
    </w:p>
    <w:p>
      <w:pPr>
        <w:spacing w:after="0" w:line="119"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8"/>
          <w:szCs w:val="18"/>
          <w:color w:val="32406B"/>
        </w:rPr>
        <w:t>Dr. Gaster has been a director since in August 2019. Dr. Gaster currently is a partner at venBio and serves on the boards of Arrakis Therapeutics, NorthSea Therapeutics, Attralus, Stargazer Pharmaceuticals and Aeovian Pharmaceuticals, and served as a board observer for Akero Therapeutics and Harmony Biosciences. Dr. Gaster joined venBio in 2017 with experience as a physician, entrepreneur, and life sciences investor. Prior to joining venBio, Dr. Gaster served as the head of translational medicine at Pliant Therapeutics. Dr. Gaster began his career as a resident physician in Harvard’s Plastic and Reconstructive Surgery Program. Dr. Gaster has published numerous articles in top-tier peer-reviewed journals including Nature Medicine and Nature Nanotechnology, holds more than a dozen patents, and in 2014 was named one of Forbes “30 Under 30” in Science and Healthcare.</w:t>
      </w:r>
    </w:p>
    <w:p>
      <w:pPr>
        <w:spacing w:after="0" w:line="187"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Dr. Gaster holds a BSE in Bioengineering from the University of Pennsylvania where he graduated summa cum laude. Dr. Gaster received his MD and PhD in Bioengineering from Stanford University in the Medical Scientist Training Program. We believe that Mr. Gaster is qualified to serve on our Board because of his experience in the pharmaceutical industry and his service on the boards of directors of other biopharmaceutical companies.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Hans Schikan</w:t>
      </w:r>
    </w:p>
    <w:p>
      <w:pPr>
        <w:spacing w:after="0" w:line="119" w:lineRule="exact"/>
        <w:rPr>
          <w:sz w:val="20"/>
          <w:szCs w:val="20"/>
          <w:color w:val="auto"/>
        </w:rPr>
      </w:pPr>
    </w:p>
    <w:p>
      <w:pPr>
        <w:ind w:right="360" w:firstLine="449"/>
        <w:spacing w:after="0" w:line="312" w:lineRule="auto"/>
        <w:rPr>
          <w:sz w:val="20"/>
          <w:szCs w:val="20"/>
          <w:color w:val="auto"/>
        </w:rPr>
      </w:pPr>
      <w:r>
        <w:rPr>
          <w:rFonts w:ascii="Times New Roman" w:cs="Times New Roman" w:eastAsia="Times New Roman" w:hAnsi="Times New Roman"/>
          <w:sz w:val="17"/>
          <w:szCs w:val="17"/>
          <w:color w:val="32406B"/>
        </w:rPr>
        <w:t>Mr. Schikan is a co-founder of the Company and has been a director since August 28, 2019. Mr. Schikan is the former CEO of Prosensa Holding N.V., a biopharmaceutical company focusing on novel RNA modulating treatments for rare diseases including Duchenne muscular dystrophy.</w:t>
      </w:r>
    </w:p>
    <w:p>
      <w:pPr>
        <w:spacing w:after="0" w:line="140" w:lineRule="exact"/>
        <w:rPr>
          <w:sz w:val="20"/>
          <w:szCs w:val="20"/>
          <w:color w:val="auto"/>
        </w:rPr>
      </w:pPr>
    </w:p>
    <w:p>
      <w:pPr>
        <w:jc w:val="both"/>
        <w:ind w:right="460" w:firstLine="449"/>
        <w:spacing w:after="0" w:line="312" w:lineRule="auto"/>
        <w:rPr>
          <w:sz w:val="20"/>
          <w:szCs w:val="20"/>
          <w:color w:val="auto"/>
        </w:rPr>
      </w:pPr>
      <w:r>
        <w:rPr>
          <w:rFonts w:ascii="Times New Roman" w:cs="Times New Roman" w:eastAsia="Times New Roman" w:hAnsi="Times New Roman"/>
          <w:sz w:val="17"/>
          <w:szCs w:val="17"/>
          <w:color w:val="32406B"/>
        </w:rPr>
        <w:t>Mr. Schikan was previously at Genzyme, most recently serving as VP for Global Marketing and Strategic Development of Genzyme’s product portfolio for rare genetic diseases. He is currently Chairman of the Board of Complix and InteRNA, Board Member of Vicore Pharma and VectivBio.</w:t>
      </w:r>
    </w:p>
    <w:p>
      <w:pPr>
        <w:spacing w:after="0" w:line="140" w:lineRule="exact"/>
        <w:rPr>
          <w:sz w:val="20"/>
          <w:szCs w:val="20"/>
          <w:color w:val="auto"/>
        </w:rPr>
      </w:pPr>
    </w:p>
    <w:p>
      <w:pPr>
        <w:ind w:right="40" w:firstLine="449"/>
        <w:spacing w:after="0" w:line="281" w:lineRule="auto"/>
        <w:rPr>
          <w:sz w:val="20"/>
          <w:szCs w:val="20"/>
          <w:color w:val="auto"/>
        </w:rPr>
      </w:pPr>
      <w:r>
        <w:rPr>
          <w:rFonts w:ascii="Times New Roman" w:cs="Times New Roman" w:eastAsia="Times New Roman" w:hAnsi="Times New Roman"/>
          <w:sz w:val="17"/>
          <w:szCs w:val="17"/>
          <w:color w:val="32406B"/>
        </w:rPr>
        <w:t>Mr. Schikan is also member of the Top Team of the Dutch Top Sector Life Sciences &amp; Health. Previously, he served on the boards of Sobi, Hansa Biopharma, Asceneuron, Wilson Therapeutics (acquired by Alexion) and Therachon (acquired by Pfizer). Mr. Schikan has a Pharm.D. degree from Utrecht University. We believe that Mr. Schikan is qualified to serve on our Board because of his extensive senior managerial experience in the pharmaceutical and biotechnology industries, his role as CEO of Prosensa Holding N.V. and his service on the boards of directors of other biopharmaceutical companies.</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139</w:t>
      </w:r>
    </w:p>
    <w:p>
      <w:pPr>
        <w:sectPr>
          <w:pgSz w:w="11900" w:h="16838" w:orient="portrait"/>
          <w:cols w:equalWidth="0" w:num="1">
            <w:col w:w="11220"/>
          </w:cols>
          <w:pgMar w:left="320" w:top="455" w:right="3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Martijn Kleijwegt</w:t>
      </w:r>
    </w:p>
    <w:p>
      <w:pPr>
        <w:spacing w:after="0" w:line="119"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8"/>
          <w:szCs w:val="18"/>
          <w:color w:val="32406B"/>
        </w:rPr>
        <w:t>Mr. Kleijwegt has been a director since April 2016. Mr. Kleijwegt founded LSP in 1998 and is currently a Managing Partner and co-owner of LSP. Mr. Kleijwegt brings over 30 years of hands-on finance and investment experience to the Company. We believe that Mr. Kleijwegt is qualified to serve on our Board because of his experience in the biopharmaceutical industry as a venture capital investor, a founder of Life Sciences Partners and a member of the boards of directors of other biopharmaceutical companies.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David Meeker, M.D.</w:t>
      </w:r>
    </w:p>
    <w:p>
      <w:pPr>
        <w:spacing w:after="0" w:line="119"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 Dr. Meeker holds a medical degree from the University of Vermont Medical School and completed the Advanced Management Program at Harvard Business School in 2000. We believe that Dr. Meeker is qualified to serve on our Board because of his extensive experience in the healthcare industry and as a member of the board of directors of other biopharmaceutical companies.</w:t>
      </w:r>
    </w:p>
    <w:p>
      <w:pPr>
        <w:spacing w:after="0" w:line="3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Robert Glassman, M.D.</w:t>
      </w:r>
    </w:p>
    <w:p>
      <w:pPr>
        <w:spacing w:after="0" w:line="11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Dr. Glassman has been a director since January 2021. Dr. Glassman is currently the Public Equity Venture Partner at OrbiMed Advisors. Previously, Dr. Glassman had been working as a senior investment banker for 17 years, most recently serving as Vice Chairman at Credit Suisse Securities since 2015. Prior to joining Credit Suisse Securities, Dr. Glassman served as a Managing Director at Bank of America Merrill Lynch between 2010-2015. From 2009-2010, Dr. Glassman served as a private equity partner at OrbiMed Advisors. Earlier in his career, Dr. Glassman was with Merrill Lynch Global Private Equity where he oversaw a very successful healthcare portfolio and at McKinsey &amp; Co. where he consulted for a wide range of clients within their Pharmaceutical and Medical Products practice.</w:t>
      </w:r>
    </w:p>
    <w:p>
      <w:pPr>
        <w:spacing w:after="0" w:line="187"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Dr. Glassman was a board certified hematologist-oncologist who remains on the faculty of Weil Cornell as a Clinical Assistant Professor of Medicine. He has co-authored numerous articles in peer-reviewed journals and spoken widely in industry and academic forums on clinical development, reimbursement, and data interpretation. Dr. Glassman received his AB from Harvard College magna cum laude and an MD from Harvard Medical School. He completed his residency in internal medicine at the Hospital of the University of Pennsylvania, and his fellowship in hematology and oncology at Weill Cornell. He also spent several years as a basic science investigator at Rockefeller University in the laboratory of Hidesaburo Hanafusa, where he received Howard Hughes Medical Institute and American Cancer Society awards. We believe that Dr. Glassman is qualified to serve on our Board because of his extensive experience as an investment banker and in the healthcare industry.</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Senior Management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is a brief summary of the business experience of members of our Senior Management.</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Jochen Knolle, Ph.D.</w:t>
      </w:r>
    </w:p>
    <w:p>
      <w:pPr>
        <w:spacing w:after="0" w:line="11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Dr. Knolle is a co-founder of the Company and has served as Chief Scientific Officer and Chief Operating Officer since our inception. Dr. Knolle’s experience spans 40 years in the pharmaceutical industry. Dr. Knolle is named as an author of many publications and as an inventor for many patents, including the approved therapeutics Quinapril, a marketed ACE inhibitor and icatibant.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140</w:t>
      </w:r>
    </w:p>
    <w:p>
      <w:pPr>
        <w:sectPr>
          <w:pgSz w:w="11900" w:h="16838" w:orient="portrait"/>
          <w:cols w:equalWidth="0" w:num="1">
            <w:col w:w="11200"/>
          </w:cols>
          <w:pgMar w:left="320" w:top="455" w:right="37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From 1978 to 1998, Dr. Knolle worked in several functions in the central pharmaceutical research unit of Hoechst AG and Hoechst-Marion-Roussel (HMR). In 1998, Dr. Knolle left HMR to join Axys Pharmaceuticals (now Celera) in San Francisco, where he served as VP for Medicinal Chemistry and structural biology. From 2001 to 2008, Dr. Knolle was the Chief Scientific Officer and Head of R&amp;D in the management board of Jerini AG in Berlin, Germany. In 2008, Dr. Knolle left the management of Jerini AG and established JCK Consult.</w:t>
      </w:r>
    </w:p>
    <w:p>
      <w:pPr>
        <w:spacing w:after="0" w:line="18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In addition to his consultancy activities, Dr. Knolle was a co-founder of Kosa Pharma and 3B Pharmaceuticals and acts as a board member for the Charité Research Organisation GmbH, and Thermosome, and as Senior Advisor for Kurma Partners. Dr. Knolle studied chemistry in Göttingen and Münster. After a post-doc in the laboratory of the Nobel Laureate E.J. Corey at Harvard University, he joined the pharmaceutical unit of Hoechst AG in 1978.</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Peng Lu, M.D., Ph.D.</w:t>
      </w:r>
    </w:p>
    <w:p>
      <w:pPr>
        <w:spacing w:after="0" w:line="119"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Dr. Lu joined the Company in 2020, bringing 15 years of protein therapeutics and small molecule drug development experience including within genetic rare diseases.</w:t>
      </w:r>
    </w:p>
    <w:p>
      <w:pPr>
        <w:spacing w:after="0" w:line="162"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80"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8"/>
          <w:szCs w:val="18"/>
          <w:color w:val="32406B"/>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 multiple approvals. Dr. Lu received her medical degree from Beijing Medical University and Ph.D. from The University of Texas, Austin, in systems biology.</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Anne Lesage, Ph.D.</w:t>
      </w:r>
    </w:p>
    <w:p>
      <w:pPr>
        <w:spacing w:after="0" w:line="11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Dr. Lesage is a co-founder of Pharvaris and has led the translational science, preclinical and non-clinical development since its inception. Dr. Lesage has over 25 years’ experience in drug discovery, preclinical and early development and scientific and strategic project management.</w:t>
      </w:r>
    </w:p>
    <w:p>
      <w:pPr>
        <w:spacing w:after="0" w:line="16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From 1992 until 2010, Dr. Lesage held different leadership positions with increasing responsibility in the neuroscience drug discovery unit at Johnson &amp; Johnson. Dr. Lesage started as project team lead, and moved to head of exploratory research and biology head of psychiatry. Dr. Lesage is an inventor on 9 patents and an author of 45 publications. Dr. Lesage founded GrayMatters Consulting in 2010, and advised early and late stage biotech companies, venture capital organisations, and government agencies and initiatives. In 2013, Dr. Lesage co-founded Kosa Pharma.</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Morgan Conn, Ph.D.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Dr. Conn joined the Company in 2017, with over 15 years of experience in the biopharmaceutical industry.</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32406B"/>
        </w:rPr>
        <w:t>141</w:t>
      </w:r>
    </w:p>
    <w:p>
      <w:pPr>
        <w:sectPr>
          <w:pgSz w:w="11900" w:h="16838" w:orient="portrait"/>
          <w:cols w:equalWidth="0" w:num="1">
            <w:col w:w="11160"/>
          </w:cols>
          <w:pgMar w:left="320" w:top="455" w:right="41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Previously, Dr. Conn worked at PTC Therapeutics from 2001-2017, initially in Research and subsequently helping to build the Business Development function, holding positions of increasing responsibility including global head and Vice President, Business Development. During this time, Dr. Conn was instrumental to all corporate transactions, including collaborations, licenses, and acquisitions with leading pharma, biotech, and academic organizations, and supported private and public financing events behind the company’s growth from a discovery organization to a global commercial entity. Dr. Conn’s portfolio includes transactions and financings supporting three rare pediatric neuromuscular medicines now commercialized: TRANSLARNA (ataluren), EMFLAZA (deflazacort), and EVRYSDI (risdiplam). In 2017, Dr. Conn founded CallisBio, a consulting firm offering strategic and implementation services in biopharma business and corporate development including transactions and financing.</w:t>
      </w:r>
    </w:p>
    <w:p>
      <w:pPr>
        <w:spacing w:after="0" w:line="18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Early in his career, Dr. Conn served as an Assistant Professor in Chemistry at Amherst College, with a cross appointment in the Graduate Molecular and Cellular Biology program at the University of Massachusetts (Amherst). Dr. Conn holds a B.Sc. (Hons) in Chemistry and Biochemistry from the University of Toronto, a Ph.D. in Organic Chemistry from the Massachusetts Institute of Technology as both an NSF and NSERC pre-doctoral fellow, and studied as a post-doctoral Research Fellow of the Miller Institute for Basic Research in Science at the University of California, Berkeley.</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Anna Nijdam, MSc RA</w:t>
      </w:r>
    </w:p>
    <w:p>
      <w:pPr>
        <w:spacing w:after="0" w:line="119"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a member of the Associations Audit Committee of Hockey Club Rotterdam and previously served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Board Composition and Election of Directors after this Offering</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Our Board is comprised of six members. The members of our Board do not have a retirement age requirement under our Articles of Association that will be effective upon consummation of this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Corporate Governance Practices</w:t>
      </w:r>
    </w:p>
    <w:p>
      <w:pPr>
        <w:spacing w:after="0" w:line="121" w:lineRule="exact"/>
        <w:rPr>
          <w:sz w:val="20"/>
          <w:szCs w:val="20"/>
          <w:color w:val="auto"/>
        </w:rPr>
      </w:pPr>
    </w:p>
    <w:p>
      <w:pPr>
        <w:ind w:firstLine="449"/>
        <w:spacing w:after="0" w:line="312" w:lineRule="auto"/>
        <w:rPr>
          <w:sz w:val="20"/>
          <w:szCs w:val="20"/>
          <w:color w:val="auto"/>
        </w:rPr>
      </w:pPr>
      <w:r>
        <w:rPr>
          <w:rFonts w:ascii="Times New Roman" w:cs="Times New Roman" w:eastAsia="Times New Roman" w:hAnsi="Times New Roman"/>
          <w:sz w:val="17"/>
          <w:szCs w:val="17"/>
          <w:color w:val="32406B"/>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45" w:lineRule="exact"/>
        <w:rPr>
          <w:sz w:val="20"/>
          <w:szCs w:val="20"/>
          <w:color w:val="auto"/>
        </w:rPr>
      </w:pPr>
    </w:p>
    <w:p>
      <w:pPr>
        <w:ind w:left="1000" w:right="40" w:hanging="547"/>
        <w:spacing w:after="0" w:line="282" w:lineRule="auto"/>
        <w:tabs>
          <w:tab w:leader="none" w:pos="1000" w:val="left"/>
        </w:tabs>
        <w:numPr>
          <w:ilvl w:val="0"/>
          <w:numId w:val="8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filing quarterly reports on Form 10-Q and current reports on Form 8-K disclosing significant events within four days of their occurrence.</w:t>
      </w:r>
    </w:p>
    <w:p>
      <w:pPr>
        <w:spacing w:after="0" w:line="67" w:lineRule="exact"/>
        <w:rPr>
          <w:rFonts w:ascii="Times New Roman" w:cs="Times New Roman" w:eastAsia="Times New Roman" w:hAnsi="Times New Roman"/>
          <w:sz w:val="18"/>
          <w:szCs w:val="18"/>
          <w:color w:val="32406B"/>
        </w:rPr>
      </w:pPr>
    </w:p>
    <w:p>
      <w:pPr>
        <w:ind w:left="1000" w:right="900" w:hanging="547"/>
        <w:spacing w:after="0" w:line="282" w:lineRule="auto"/>
        <w:tabs>
          <w:tab w:leader="none" w:pos="1000" w:val="left"/>
        </w:tabs>
        <w:numPr>
          <w:ilvl w:val="0"/>
          <w:numId w:val="8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Section 16 rules regarding sales of ordinary shares by insiders, which will provide less data in this regard than to shareholders of U.S. companies that are subject to the Exchange Act.</w:t>
      </w:r>
    </w:p>
    <w:p>
      <w:pPr>
        <w:spacing w:after="0" w:line="67"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8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the Nasdaq rules applicable to domestic issuers requiring disclosure within four business days of any determination to grant a waiver of the code of business conduct and ethics to directors and officers.</w:t>
      </w:r>
    </w:p>
    <w:p>
      <w:pPr>
        <w:spacing w:after="0" w:line="67" w:lineRule="exact"/>
        <w:rPr>
          <w:rFonts w:ascii="Times New Roman" w:cs="Times New Roman" w:eastAsia="Times New Roman" w:hAnsi="Times New Roman"/>
          <w:sz w:val="18"/>
          <w:szCs w:val="18"/>
          <w:color w:val="32406B"/>
        </w:rPr>
      </w:pPr>
    </w:p>
    <w:p>
      <w:pPr>
        <w:ind w:left="1000" w:right="80" w:hanging="547"/>
        <w:spacing w:after="0" w:line="282" w:lineRule="auto"/>
        <w:tabs>
          <w:tab w:leader="none" w:pos="1000" w:val="left"/>
        </w:tabs>
        <w:numPr>
          <w:ilvl w:val="0"/>
          <w:numId w:val="8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the requirement that we provide in our bylaws for a generally applicable quorum and that such quorum not be less than one-third of the outstanding voting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142</w:t>
      </w:r>
    </w:p>
    <w:p>
      <w:pPr>
        <w:sectPr>
          <w:pgSz w:w="11900" w:h="16838" w:orient="portrait"/>
          <w:cols w:equalWidth="0" w:num="1">
            <w:col w:w="11240"/>
          </w:cols>
          <w:pgMar w:left="320" w:top="455" w:right="3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380" w:hanging="547"/>
        <w:spacing w:after="0" w:line="282" w:lineRule="auto"/>
        <w:tabs>
          <w:tab w:leader="none" w:pos="1000" w:val="left"/>
        </w:tabs>
        <w:numPr>
          <w:ilvl w:val="0"/>
          <w:numId w:val="8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the requirement that we solicit proxies and provide proxy statements for all meetings of Shareholders and shall provide copies of such proxy solicitation to Nasdaq.</w:t>
      </w:r>
    </w:p>
    <w:p>
      <w:pPr>
        <w:spacing w:after="0" w:line="67" w:lineRule="exact"/>
        <w:rPr>
          <w:rFonts w:ascii="Times New Roman" w:cs="Times New Roman" w:eastAsia="Times New Roman" w:hAnsi="Times New Roman"/>
          <w:sz w:val="18"/>
          <w:szCs w:val="18"/>
          <w:color w:val="32406B"/>
        </w:rPr>
      </w:pPr>
    </w:p>
    <w:p>
      <w:pPr>
        <w:ind w:left="1000" w:right="20" w:hanging="547"/>
        <w:spacing w:after="0" w:line="266" w:lineRule="auto"/>
        <w:tabs>
          <w:tab w:leader="none" w:pos="1000" w:val="left"/>
        </w:tabs>
        <w:numPr>
          <w:ilvl w:val="0"/>
          <w:numId w:val="8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76"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Nasdaq Rule 5615(a)(3) provides that a foreign private issuer may rely on home country corporate governance practices in lieu of certain of the rules in the Nasdaq Rule 5600 Series, Rule 5250(b)(3) and Rule 5250(d).</w:t>
      </w:r>
    </w:p>
    <w:p>
      <w:pPr>
        <w:spacing w:after="0" w:line="162"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32406B"/>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Board Committees</w:t>
      </w:r>
    </w:p>
    <w:p>
      <w:pPr>
        <w:spacing w:after="0" w:line="121" w:lineRule="exact"/>
        <w:rPr>
          <w:sz w:val="20"/>
          <w:szCs w:val="20"/>
          <w:color w:val="auto"/>
        </w:rPr>
      </w:pPr>
    </w:p>
    <w:p>
      <w:pPr>
        <w:ind w:right="820" w:firstLine="449"/>
        <w:spacing w:after="0" w:line="282" w:lineRule="auto"/>
        <w:rPr>
          <w:sz w:val="20"/>
          <w:szCs w:val="20"/>
          <w:color w:val="auto"/>
        </w:rPr>
      </w:pPr>
      <w:r>
        <w:rPr>
          <w:rFonts w:ascii="Times New Roman" w:cs="Times New Roman" w:eastAsia="Times New Roman" w:hAnsi="Times New Roman"/>
          <w:sz w:val="18"/>
          <w:szCs w:val="18"/>
          <w:color w:val="32406B"/>
        </w:rPr>
        <w:t>Our Board established an audit committee, a compensation committee and a nomination and corporate governance committee prior to the consummation of this offering.</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Audit Committee</w:t>
      </w:r>
    </w:p>
    <w:p>
      <w:pPr>
        <w:spacing w:after="0" w:line="121"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8"/>
          <w:szCs w:val="18"/>
          <w:color w:val="32406B"/>
        </w:rPr>
        <w:t>The audit committee, which consists of Mr. Droller, Mr. Kleijwegt and Mr. Schikan, assists the Board in overseeing our accounting and financial reporting processes and the audits of our financial statements. Mr. Schikan serves as Chairman of the committee. In addition, the audit committee is responsible for the appointment, compensation, retention and oversight of the work of our independent registered public accounting firm. Our Board has determined that Mr. Droller and Mr. Schikan satisfy the “independence” requirements set forth in the Nasdaq listing standards and Rule 10A-3 under the Exchange Act and expects that upon the consummation of this offering Mr. Droller and Mr. Schikan will continue to satisfy such “independence” requirements. Our Board has determined that Mr. Schikan and Mr. Kleijwegt qualify as “audit committee financial experts,” as such term is defined in the rules of the SEC.</w:t>
      </w:r>
    </w:p>
    <w:p>
      <w:pPr>
        <w:spacing w:after="0" w:line="189" w:lineRule="exact"/>
        <w:rPr>
          <w:sz w:val="20"/>
          <w:szCs w:val="20"/>
          <w:color w:val="auto"/>
        </w:rPr>
      </w:pPr>
    </w:p>
    <w:p>
      <w:pPr>
        <w:ind w:right="480" w:firstLine="449"/>
        <w:spacing w:after="0" w:line="266" w:lineRule="auto"/>
        <w:rPr>
          <w:sz w:val="20"/>
          <w:szCs w:val="20"/>
          <w:color w:val="auto"/>
        </w:rPr>
      </w:pPr>
      <w:r>
        <w:rPr>
          <w:rFonts w:ascii="Times New Roman" w:cs="Times New Roman" w:eastAsia="Times New Roman" w:hAnsi="Times New Roman"/>
          <w:sz w:val="18"/>
          <w:szCs w:val="18"/>
          <w:color w:val="32406B"/>
        </w:rPr>
        <w:t>We will rely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of which this prospectus forms a part.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Compensation Committee</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and upon the consummation of this offering are expected to satisfy, the “independence” requirements under the Exchange Act and the Nasdaq listing standards.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Nomination and Corporate Governance Committee</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32406B"/>
        </w:rPr>
        <w:t>The nomination and corporate governance committee, which consists of Mr. Droller, Dr. Gaster and Dr. Meeker, assists our Board in identifying individuals qualified to become members of our Board consistent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143</w:t>
      </w:r>
    </w:p>
    <w:p>
      <w:pPr>
        <w:sectPr>
          <w:pgSz w:w="11900" w:h="16838" w:orient="portrait"/>
          <w:cols w:equalWidth="0" w:num="1">
            <w:col w:w="11180"/>
          </w:cols>
          <w:pgMar w:left="320" w:top="455" w:right="3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2406B"/>
        </w:rPr>
        <w:t>with criteria established by our Board and in developing our code of conduct. Dr. Meeker serves as Chairman of the committee. Our Board has determined that Mr. Droller, Dr. Gaster and Dr. Meeker satisfy, and upon the consummation of this offering are expected to satisfy, the “independence” requirements under the Exchange Act and the Nasdaq listing standards.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Code of Business Conduct and Ethics</w:t>
      </w:r>
    </w:p>
    <w:p>
      <w:pPr>
        <w:spacing w:after="0" w:line="121"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8"/>
          <w:szCs w:val="18"/>
          <w:color w:val="32406B"/>
        </w:rPr>
        <w:t>We intend to adopt a Code of Business Conduct and Ethics which covers a broad range of matters including the handling of conflicts of interest, compliance issues and other corporate policies such as insider trading and equal opportunity and non-discrimination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Compensation and Other Benefits of Members of Our Board</w:t>
      </w:r>
    </w:p>
    <w:p>
      <w:pPr>
        <w:spacing w:after="0" w:line="121"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As a foreign private issuer, in accordance with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by our general meeting by a simple majority of votes cast. Such a proposal must set out at least the maximum number of shares or rights to subscribe for shares to be granted to the directors and the criteria for granting or amendment.</w:t>
      </w:r>
    </w:p>
    <w:p>
      <w:pPr>
        <w:spacing w:after="0" w:line="189" w:lineRule="exact"/>
        <w:rPr>
          <w:sz w:val="20"/>
          <w:szCs w:val="20"/>
          <w:color w:val="auto"/>
        </w:rPr>
      </w:pPr>
    </w:p>
    <w:p>
      <w:pPr>
        <w:ind w:right="140" w:firstLine="449"/>
        <w:spacing w:after="0" w:line="289" w:lineRule="auto"/>
        <w:rPr>
          <w:sz w:val="20"/>
          <w:szCs w:val="20"/>
          <w:color w:val="auto"/>
        </w:rPr>
      </w:pPr>
      <w:r>
        <w:rPr>
          <w:rFonts w:ascii="Times New Roman" w:cs="Times New Roman" w:eastAsia="Times New Roman" w:hAnsi="Times New Roman"/>
          <w:sz w:val="17"/>
          <w:szCs w:val="17"/>
          <w:color w:val="32406B"/>
        </w:rPr>
        <w:t>Our compensation policy will authorize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Disclosure of Compensation of our Board and Senior Management</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However, under Dutch law, we are required to disclose the compensation of our chief executive officer, being a member of our Board, on an individual basis.</w:t>
      </w:r>
    </w:p>
    <w:p>
      <w:pPr>
        <w:spacing w:after="0" w:line="180"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The aggregate compensation, including benefits in kind, accrued or paid to members of our Board and Senior Management with respect to the year ended December 31, 2020 for services in all capacities was approximately €4,515,158. For the year ended December 31, 2020, we paid Mr. Modig, our Chief Executive Officer and Executive Director, €759,868 in compensation and benefits in kind.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table below shows the remuneration paid to certain individual members of the Board for the year ended December 31, 2020 in such capacity.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32406B"/>
              </w:rPr>
              <w:t>Base salary</w:t>
            </w:r>
          </w:p>
        </w:tc>
        <w:tc>
          <w:tcPr>
            <w:tcW w:w="1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32406B"/>
              </w:rPr>
              <w:t>Total remuneration</w:t>
            </w:r>
          </w:p>
        </w:tc>
      </w:tr>
      <w:tr>
        <w:trPr>
          <w:trHeight w:val="213"/>
        </w:trPr>
        <w:tc>
          <w:tcPr>
            <w:tcW w:w="8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Modig</w:t>
            </w: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  404,000</w:t>
            </w: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759,868</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 Ownership of our Board and Senior Management</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The table below sets forth the share ownership of our Board and Senior Management as of February 1, 2021. Messrs. Droller, Gaster and Kleijwegt have agreed or are otherwise obligated to transfer all or 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144</w:t>
      </w:r>
    </w:p>
    <w:p>
      <w:pPr>
        <w:sectPr>
          <w:pgSz w:w="11900" w:h="16838" w:orient="portrait"/>
          <w:cols w:equalWidth="0" w:num="1">
            <w:col w:w="11240"/>
          </w:cols>
          <w:pgMar w:left="320" w:top="45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406B"/>
        </w:rPr>
        <w:t>portion of the compensation they receive for their service as directors to the shareholders with which they are affiliated. The below table gives effect to the automatic conversion of preferred shares outstanding on February 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3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32406B"/>
              </w:rPr>
              <w:t>Number of</w:t>
            </w:r>
          </w:p>
        </w:tc>
        <w:tc>
          <w:tcPr>
            <w:tcW w:w="14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32406B"/>
              </w:rPr>
              <w:t>Percentage</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32406B"/>
              </w:rPr>
              <w:t>Ordinary</w:t>
            </w:r>
          </w:p>
        </w:tc>
        <w:tc>
          <w:tcPr>
            <w:tcW w:w="148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32406B"/>
              </w:rPr>
              <w:t>of Shares</w:t>
            </w:r>
          </w:p>
        </w:tc>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Voting Rights</w:t>
            </w:r>
          </w:p>
        </w:tc>
        <w:tc>
          <w:tcPr>
            <w:tcW w:w="2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2406B"/>
              </w:rPr>
              <w:t>Shares</w:t>
            </w:r>
          </w:p>
        </w:tc>
        <w:tc>
          <w:tcPr>
            <w:tcW w:w="5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2406B"/>
              </w:rPr>
              <w:t>Outstanding</w:t>
            </w:r>
          </w:p>
        </w:tc>
        <w:tc>
          <w:tcPr>
            <w:tcW w:w="7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Modig</w:t>
            </w:r>
            <w:r>
              <w:rPr>
                <w:rFonts w:ascii="Times New Roman" w:cs="Times New Roman" w:eastAsia="Times New Roman" w:hAnsi="Times New Roman"/>
                <w:sz w:val="15"/>
                <w:szCs w:val="15"/>
                <w:color w:val="32406B"/>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1,200,000</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32406B"/>
              </w:rPr>
              <w:t>5.0914%</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32406B"/>
                <w:w w:val="79"/>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Knolle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1,200,000</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5.0914%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Schikan</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500,000</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32406B"/>
              </w:rPr>
              <w:t>2.1214%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Lesage</w:t>
            </w:r>
            <w:r>
              <w:rPr>
                <w:rFonts w:ascii="Times New Roman" w:cs="Times New Roman" w:eastAsia="Times New Roman" w:hAnsi="Times New Roman"/>
                <w:sz w:val="15"/>
                <w:szCs w:val="15"/>
                <w:color w:val="32406B"/>
              </w:rPr>
              <w:t>(2)</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250,000</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32406B"/>
              </w:rPr>
              <w:t>1.0607%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Droller</w:t>
            </w:r>
            <w:r>
              <w:rPr>
                <w:rFonts w:ascii="Times New Roman" w:cs="Times New Roman" w:eastAsia="Times New Roman" w:hAnsi="Times New Roman"/>
                <w:sz w:val="15"/>
                <w:szCs w:val="15"/>
                <w:color w:val="32406B"/>
              </w:rPr>
              <w:t>(3)</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1,339,243</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32406B"/>
              </w:rPr>
              <w:t>5.6822%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Mr. Gaster</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Kleijwegt</w:t>
            </w:r>
            <w:r>
              <w:rPr>
                <w:rFonts w:ascii="Times New Roman" w:cs="Times New Roman" w:eastAsia="Times New Roman" w:hAnsi="Times New Roman"/>
                <w:sz w:val="15"/>
                <w:szCs w:val="15"/>
                <w:color w:val="32406B"/>
              </w:rPr>
              <w:t>(4)</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3,607,566</w:t>
            </w: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32406B"/>
              </w:rPr>
              <w:t>15.3062%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Glassman</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Meeker</w:t>
            </w: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32406B"/>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32406B"/>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ordinary shares held by Schoodic Management B.V., an entity controlled by Mr. Modig.</w:t>
      </w:r>
    </w:p>
    <w:p>
      <w:pPr>
        <w:spacing w:after="0" w:line="27" w:lineRule="exact"/>
        <w:rPr>
          <w:rFonts w:ascii="Times New Roman" w:cs="Times New Roman" w:eastAsia="Times New Roman" w:hAnsi="Times New Roman"/>
          <w:sz w:val="18"/>
          <w:szCs w:val="18"/>
          <w:color w:val="32406B"/>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ordinary shares held by GrayMatters Consulting BVBA, an entity controlled by Dr. Lesage.</w:t>
      </w:r>
    </w:p>
    <w:p>
      <w:pPr>
        <w:spacing w:after="0" w:line="9" w:lineRule="exact"/>
        <w:rPr>
          <w:rFonts w:ascii="Times New Roman" w:cs="Times New Roman" w:eastAsia="Times New Roman" w:hAnsi="Times New Roman"/>
          <w:sz w:val="18"/>
          <w:szCs w:val="18"/>
          <w:color w:val="32406B"/>
        </w:rPr>
      </w:pPr>
    </w:p>
    <w:p>
      <w:pPr>
        <w:jc w:val="both"/>
        <w:ind w:left="460" w:right="100" w:hanging="452"/>
        <w:spacing w:after="0" w:line="265" w:lineRule="auto"/>
        <w:tabs>
          <w:tab w:leader="none" w:pos="460" w:val="left"/>
        </w:tabs>
        <w:numPr>
          <w:ilvl w:val="0"/>
          <w:numId w:val="83"/>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Represents 1,339,243 preferred shares which will be automatically converted into 1,339,243 ordinary shares immediately prior to the consummation of this offering. KURMA BIOFUND II is managed by its management company, Kurma Partners S.A and Mr. Droller controls Kurma Partners S.A.</w:t>
      </w:r>
    </w:p>
    <w:p>
      <w:pPr>
        <w:ind w:left="460" w:right="100" w:hanging="452"/>
        <w:spacing w:after="0" w:line="250" w:lineRule="auto"/>
        <w:tabs>
          <w:tab w:leader="none" w:pos="460" w:val="left"/>
        </w:tabs>
        <w:numPr>
          <w:ilvl w:val="0"/>
          <w:numId w:val="8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3,607,566 preferred shares which will be automatically converted into 3,607,566 ordinary shares immediately prior to the consummation of this offering. The managing director of LSP V Coöperatieve U.A. is LSP V Management B.V. Mr. Kleijwegt is a managing director of LSP V Management B.V. and may be deemed to have voting and investment power over the shares held by LSP V Coöperatieve U.A. Mr. Kleijwegt disclaims beneficial ownership of such shares except to the extent of their pecuniary interest therein.</w:t>
      </w:r>
    </w:p>
    <w:p>
      <w:pPr>
        <w:spacing w:after="0" w:line="1" w:lineRule="exact"/>
        <w:rPr>
          <w:rFonts w:ascii="Times New Roman" w:cs="Times New Roman" w:eastAsia="Times New Roman" w:hAnsi="Times New Roman"/>
          <w:sz w:val="18"/>
          <w:szCs w:val="18"/>
          <w:color w:val="32406B"/>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Each ordinary share carries one vote per share.</w:t>
      </w:r>
    </w:p>
    <w:p>
      <w:pPr>
        <w:spacing w:after="0" w:line="310" w:lineRule="exact"/>
        <w:rPr>
          <w:rFonts w:ascii="Times New Roman" w:cs="Times New Roman" w:eastAsia="Times New Roman" w:hAnsi="Times New Roman"/>
          <w:sz w:val="18"/>
          <w:szCs w:val="18"/>
          <w:color w:val="32406B"/>
        </w:rPr>
      </w:pPr>
    </w:p>
    <w:p>
      <w:pPr>
        <w:ind w:left="460"/>
        <w:spacing w:after="0"/>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b w:val="1"/>
          <w:bCs w:val="1"/>
          <w:i w:val="1"/>
          <w:iCs w:val="1"/>
          <w:color w:val="32406B"/>
        </w:rPr>
        <w:t>Option Ownership of our Board and Senior Management</w:t>
      </w:r>
    </w:p>
    <w:p>
      <w:pPr>
        <w:spacing w:after="0" w:line="121"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32406B"/>
        </w:rPr>
        <w:t>The table below sets forth the option ownership of our Board and Senior Management as of February 1, 2021. The below table gives effect to the automatic conversion of preferred shares outstanding on February 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2406B"/>
              </w:rPr>
              <w:t>Percentage</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Percentage of</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32406B"/>
              </w:rPr>
              <w:t>Options</w:t>
            </w:r>
          </w:p>
        </w:tc>
        <w:tc>
          <w:tcPr>
            <w:tcW w:w="640" w:type="dxa"/>
            <w:vAlign w:val="bottom"/>
            <w:vMerge w:val="restart"/>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32406B"/>
              </w:rPr>
              <w:t>of Shares</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3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2406B"/>
              </w:rPr>
              <w:t>Outstanding</w:t>
            </w:r>
          </w:p>
        </w:tc>
        <w:tc>
          <w:tcPr>
            <w:tcW w:w="7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32406B"/>
              </w:rPr>
              <w:t>Fully Diluted</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Modig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150,000</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0.64%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0.57%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Knolle</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150,000</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0.64%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0.57%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Lesage</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150,000</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0.64%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0.57%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Conn</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150,000</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0.64%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0.57%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Lu</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440,000</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1.87%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1.66%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32406B"/>
              </w:rPr>
              <w:t>Dr. Glassman</w:t>
            </w: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27,000</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32406B"/>
              </w:rPr>
              <w:t>0.11%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0.10%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Meeker</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80,000</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32406B"/>
              </w:rPr>
              <w:t>0.34%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0.30%</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Equity Incentive Plan</w:t>
      </w:r>
    </w:p>
    <w:p>
      <w:pPr>
        <w:spacing w:after="0" w:line="121"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In 2016, the Company adopted an Equity Incentive Plan, or the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Company anticipates amending and restating the Plan in connection with the offering. As of February 1, 2021, there were 1,193,474 shares available for issuance under the Plan.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145</w:t>
      </w:r>
    </w:p>
    <w:p>
      <w:pPr>
        <w:sectPr>
          <w:pgSz w:w="11900" w:h="16838" w:orient="portrait"/>
          <w:cols w:equalWidth="0" w:num="1">
            <w:col w:w="11240"/>
          </w:cols>
          <w:pgMar w:left="320" w:top="455" w:right="3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Plan provides for the grant of the following types of Awards: (i) Incentive Stock Options, or ISOs, (ii) Nonstatutory Stock Options, or NSOs,</w:t>
      </w:r>
    </w:p>
    <w:p>
      <w:pPr>
        <w:spacing w:after="0" w:line="27" w:lineRule="exact"/>
        <w:rPr>
          <w:sz w:val="20"/>
          <w:szCs w:val="20"/>
          <w:color w:val="auto"/>
        </w:rPr>
      </w:pPr>
    </w:p>
    <w:p>
      <w:pPr>
        <w:ind w:right="240" w:firstLine="8"/>
        <w:spacing w:after="0" w:line="260" w:lineRule="auto"/>
        <w:tabs>
          <w:tab w:leader="none" w:pos="315" w:val="left"/>
        </w:tabs>
        <w:numPr>
          <w:ilvl w:val="0"/>
          <w:numId w:val="8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Stock Appreciation Rights, or SARs, (iv) Restricted Stock Awards, or RSAs, (v) RSUs, (vi) Performance Stock Awards, or PSAs, (vii) Performance Cash Awards, or PCAs, and (viii) Other Stock Awards.</w:t>
      </w:r>
    </w:p>
    <w:p>
      <w:pPr>
        <w:spacing w:after="0" w:line="18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32406B"/>
        </w:rPr>
        <w:t>As of February 1, 2021, the total number of ISOs and NSOs held by the Board and Senior Management and other employees is 1,572,295 with a weighted average exercise price of €2.22 per share. None of these options have been exercised.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As of February 1, 2021, the total number of RSUs held by Senior Management and other employees is 154,945.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2021 Equity Incentive Plan</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In order to incentivize our directors and employees, our Board will adopt the Pharvaris N.V. 2021 Equity Incentive Plan (the “2021 Plan”) for employees, consultants and directors prior to the completion of this offering. The 2021 Plan will become effective upon our conversion from Pharvaris B.V. into Pharvaris N.V., which will occur prior to the consummation of this offering. The 2021 Plan will provide for the grant of options, stock appreciation rights, restricted stock, restricted stock units, performance stock awards, other stock-based awards, performance cash awards and substitute awards intended to help us secure and retain the services of eligible award recipients, provide incentives for such persons to exert maximum efforts for our success and provide a means by which eligible recipients may benefit from increases in the value of our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Securities to be Offered</w:t>
      </w:r>
    </w:p>
    <w:p>
      <w:pPr>
        <w:spacing w:after="0" w:line="121" w:lineRule="exact"/>
        <w:rPr>
          <w:sz w:val="20"/>
          <w:szCs w:val="20"/>
          <w:color w:val="auto"/>
        </w:rPr>
      </w:pPr>
    </w:p>
    <w:p>
      <w:pPr>
        <w:ind w:right="120" w:firstLine="449"/>
        <w:spacing w:after="0" w:line="254" w:lineRule="auto"/>
        <w:rPr>
          <w:sz w:val="20"/>
          <w:szCs w:val="20"/>
          <w:color w:val="auto"/>
        </w:rPr>
      </w:pPr>
      <w:r>
        <w:rPr>
          <w:rFonts w:ascii="Times New Roman" w:cs="Times New Roman" w:eastAsia="Times New Roman" w:hAnsi="Times New Roman"/>
          <w:sz w:val="18"/>
          <w:szCs w:val="18"/>
          <w:color w:val="32406B"/>
        </w:rPr>
        <w:t>Subject to adjustment in the event of certain transactions or changes of capitalization in accordance with the 2021 Plan, ordinary shares equal to 9% of the Company’s issued share capital as of the date of the consummation of the IPO will initially be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 No more than the number of shares initially reserved under the 2021 Plan multiplied by 1.480244285 may be issued pursuant to incentive stock options. Ordinary shares subject to an award that expires or is canceled, forfeited, exchanged, repurchased, settled in cash or otherwise terminated without delivery of shares and ordinary shares withheld to pay the exercise price of, or to satisfy the withholding obligations with respect to, an award will again be available for delivery pursuant to other awards under the 2021 Plan.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Administration</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The 2021 Plan will be administered by our board of directors, except to the extent our board of directors elects a committee of directors to administer the 2021 Plan (as applicable, the “Committee”). The Committee has broad discretion to administer the 2021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2021 Plan. To the extent the Committee is not our board of directors, our board of directors will retain the authority to take all actions permitted by the Committee under the 2021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Eligibility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32406B"/>
        </w:rPr>
        <w:t>Our employees, consultants and directors, and employees, consultants and directors of our affiliates, will be eligible to receive awards under the 2021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Plan.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146</w:t>
      </w:r>
    </w:p>
    <w:p>
      <w:pPr>
        <w:sectPr>
          <w:pgSz w:w="11900" w:h="16838" w:orient="portrait"/>
          <w:cols w:equalWidth="0" w:num="1">
            <w:col w:w="11220"/>
          </w:cols>
          <w:pgMar w:left="320" w:top="455" w:right="3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Types of Awards</w:t>
      </w:r>
    </w:p>
    <w:p>
      <w:pPr>
        <w:spacing w:after="0" w:line="11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32406B"/>
        </w:rPr>
        <w:t>Options and SARs</w:t>
      </w:r>
      <w:r>
        <w:rPr>
          <w:rFonts w:ascii="Times New Roman" w:cs="Times New Roman" w:eastAsia="Times New Roman" w:hAnsi="Times New Roman"/>
          <w:sz w:val="18"/>
          <w:szCs w:val="18"/>
          <w:color w:val="32406B"/>
        </w:rPr>
        <w:t>. We may grant options to eligible persons, except that incentive stock options may only be granted to persons who are our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employees or employees of one of our subsidiaries (or, in theory, a parent corporation), in accordance with Section 422 of the Code. We may also grant stock appreciation rights (“SARs”). A SAR is the right to receive an amount equal to the excess of the fair market value of one ordinary share on the date of exercise over the grant price of the SAR, payable in shares of common stock, in cash, or in any combination of the two, as determined by the Committee. SARs may be granted in connection with, or independent of, other awards. The exercise price of an option or SAR generally cannot be less than 100% of the fair market value of an ordinary share on the date on which the option or SAR is granted and the option or SAR must not be exercisable for longer than ten years following the date of grant. In the case of an incentive stock option granted to an individual who owns (or is deemed to own) at least 10% of the total combined voting power of all classes of our shares or the shares of our subsidiaries (or, in theory, a parent corporation), the exercise price of the option must be at least 110% of the fair market value of an ordinary share and the option must not be exercisable more than five years from the date of grant. The Committee will have the discretion to determine other terms and conditions of an option or SAR award.</w:t>
      </w:r>
    </w:p>
    <w:p>
      <w:pPr>
        <w:spacing w:after="0" w:line="185" w:lineRule="exact"/>
        <w:rPr>
          <w:sz w:val="20"/>
          <w:szCs w:val="20"/>
          <w:color w:val="auto"/>
        </w:rPr>
      </w:pPr>
    </w:p>
    <w:p>
      <w:pPr>
        <w:ind w:right="18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Restricted Stock Awards</w:t>
      </w:r>
      <w:r>
        <w:rPr>
          <w:rFonts w:ascii="Times New Roman" w:cs="Times New Roman" w:eastAsia="Times New Roman" w:hAnsi="Times New Roman"/>
          <w:sz w:val="18"/>
          <w:szCs w:val="18"/>
          <w:color w:val="32406B"/>
        </w:rPr>
        <w:t>. A restricted stock award is a grant of ordinary shares subject to the restrictions on transferability and risk of forfeiture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imposed by the Committee. As determined by the Committee and specified in the applicable award agreement, the holder of a restricted stock award may have rights as a shareholder, including the right to vote the ordinary shares subject to the restricted stock award or to receive dividends on the ordinary shares subject to the restricted stock award during the restriction period. In the discretion of the Committee, dividends distributed prior to vesting may be subject to the same restrictions and risk of forfeiture as the restricted shares with respect to which the distribution was made.</w:t>
      </w:r>
    </w:p>
    <w:p>
      <w:pPr>
        <w:spacing w:after="0" w:line="183"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8"/>
          <w:szCs w:val="18"/>
          <w:i w:val="1"/>
          <w:iCs w:val="1"/>
          <w:color w:val="32406B"/>
        </w:rPr>
        <w:t>Restricted Stock Units</w:t>
      </w:r>
      <w:r>
        <w:rPr>
          <w:rFonts w:ascii="Times New Roman" w:cs="Times New Roman" w:eastAsia="Times New Roman" w:hAnsi="Times New Roman"/>
          <w:sz w:val="18"/>
          <w:szCs w:val="18"/>
          <w:color w:val="32406B"/>
        </w:rPr>
        <w:t>. An RSU is a right to receive ordinary shares. However, RSUs may be settled in ordinary shares, their cash equivalent or any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combination of the foregoing, as determined by the Committee. RSUs may be subject to the restrictions, including a risk of forfeiture, imposed by the Committee. Dividend equivalents may be granted in connection with RSUs and may entitle a participant to receive cash or ordinary shares equal in value to dividends or other distributions paid with respect to a specified number of ordinary shares. In the discretion of the Committee, such dividend equivalents may be paid currently or credited to an account for the participant, settled in cash or ordinary shares and subject to the same restrictions and risk of forfeiture as the RSU with respect to which the dividend equivalents are granted.</w:t>
      </w:r>
    </w:p>
    <w:p>
      <w:pPr>
        <w:spacing w:after="0" w:line="182" w:lineRule="exact"/>
        <w:rPr>
          <w:sz w:val="20"/>
          <w:szCs w:val="20"/>
          <w:color w:val="auto"/>
        </w:rPr>
      </w:pPr>
    </w:p>
    <w:p>
      <w:pPr>
        <w:ind w:right="1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Other Stock Awards</w:t>
      </w:r>
      <w:r>
        <w:rPr>
          <w:rFonts w:ascii="Times New Roman" w:cs="Times New Roman" w:eastAsia="Times New Roman" w:hAnsi="Times New Roman"/>
          <w:sz w:val="18"/>
          <w:szCs w:val="18"/>
          <w:color w:val="32406B"/>
        </w:rPr>
        <w:t>. Other stock awards are awards denominated or payable in, valued in whole or in part by reference to, or otherwise based on 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related to, the value of our ordinary shares.</w:t>
      </w:r>
    </w:p>
    <w:p>
      <w:pPr>
        <w:spacing w:after="0" w:line="158" w:lineRule="exact"/>
        <w:rPr>
          <w:sz w:val="20"/>
          <w:szCs w:val="20"/>
          <w:color w:val="auto"/>
        </w:rPr>
      </w:pPr>
    </w:p>
    <w:p>
      <w:pPr>
        <w:ind w:right="44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Performance Awards</w:t>
      </w:r>
      <w:r>
        <w:rPr>
          <w:rFonts w:ascii="Times New Roman" w:cs="Times New Roman" w:eastAsia="Times New Roman" w:hAnsi="Times New Roman"/>
          <w:sz w:val="18"/>
          <w:szCs w:val="18"/>
          <w:color w:val="32406B"/>
        </w:rPr>
        <w:t>. Performance Awards are cash or stock awards that are payable, are granted, vest or may be exercised contingent upon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attainment of certain performance goals during a specified performance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Certain Transactions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If any change is made to our capitalization, such as a share split, share combination, share dividend, exchange of shares or other recapitalization, merger or otherwise, which results in an increase or decrease in the number of outstanding ordinary shares, appropriate adjustments will be made by the Committee to the available shares under the 2021 Plan and in the shares subject to an award under the 2021 Plan. The Committee will also have the discretion to make certain adjustments to awards in the event of a change in control, such as accelerating the vesting or exercisability of an award, requiring the surrender of an award, with or without consideration, or making any other adjustment or modification to the award that the Committee determines is appropriate in light of such transaction.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Clawback</w:t>
      </w:r>
    </w:p>
    <w:p>
      <w:pPr>
        <w:spacing w:after="0" w:line="121"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All awards granted under the 2021 Plan will be subject to reduction, cancelation or recoupment under any written clawback policy that we may adopt and that we determine should apply to awards under the 2021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147</w:t>
      </w:r>
    </w:p>
    <w:p>
      <w:pPr>
        <w:sectPr>
          <w:pgSz w:w="11900" w:h="16838" w:orient="portrait"/>
          <w:cols w:equalWidth="0" w:num="1">
            <w:col w:w="11240"/>
          </w:cols>
          <w:pgMar w:left="320" w:top="455" w:right="3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Plan Amendment and Termination</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32406B"/>
        </w:rPr>
        <w:t>Our Committee may amend or terminate any award, award agreement or the 2021 Plan at any time; however, shareholder approval will be required for any amendment to the extent necessary to comply with applicable law or exchange listing standards. Notwithstanding the foregoing, no amendment of the 2021 Plan will materially impair a participant’s rights under an outstanding award unless (i) the Company requests the consent of the affected participant, and (ii) such participant consents in writing. The 2021 Plan will remain in effect for a period of ten years (unless earlier terminated by our board of directors).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Grants in Connection with Offering</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In connection with this offering, we expect to grant our executive officers and directors stock options to purchase an aggregate of 873,000 ordinary shares in accordance with the terms of the 2016 Plan and the terms and conditions of award agreements evidencing such grants. The exercise price per share will be the initial public offering price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Employment and Consulting Agreements with Senior Management</w:t>
      </w:r>
    </w:p>
    <w:p>
      <w:pPr>
        <w:spacing w:after="0" w:line="121"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We have entered into written employment or service agreements with each member of our Senior Management. See “Related Party Transactions— Agreements and Arrangements with Senior Management”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Board Service Contracts</w:t>
      </w:r>
    </w:p>
    <w:p>
      <w:pPr>
        <w:spacing w:after="0" w:line="121"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Currently, there are no arrangements or understandings between us, on the one hand, and any of our directors, on the other hand, providing for benefits upon termination of their employment or service as directors of the Company. Following the consummation of this offering, we anticipate entering into service contracts with our non-executive directors that memorialize the terms of their compensation, duties and obligations to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Insurance and Indemnification</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32406B"/>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w:t>
      </w:r>
    </w:p>
    <w:p>
      <w:pPr>
        <w:spacing w:after="0" w:line="176"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32406B"/>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148</w:t>
      </w:r>
    </w:p>
    <w:p>
      <w:pPr>
        <w:sectPr>
          <w:pgSz w:w="11900" w:h="16838" w:orient="portrait"/>
          <w:cols w:equalWidth="0" w:num="1">
            <w:col w:w="11200"/>
          </w:cols>
          <w:pgMar w:left="320" w:top="455" w:right="37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32406B"/>
        </w:rPr>
        <w:t>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Dutch Corporate Governance</w:t>
      </w:r>
    </w:p>
    <w:p>
      <w:pPr>
        <w:spacing w:after="0" w:line="11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As a listed Dutch public company with limited liability (</w:t>
      </w:r>
      <w:r>
        <w:rPr>
          <w:rFonts w:ascii="Times New Roman" w:cs="Times New Roman" w:eastAsia="Times New Roman" w:hAnsi="Times New Roman"/>
          <w:sz w:val="18"/>
          <w:szCs w:val="18"/>
          <w:i w:val="1"/>
          <w:iCs w:val="1"/>
          <w:color w:val="32406B"/>
        </w:rPr>
        <w:t>naamloze vennootschap</w:t>
      </w:r>
      <w:r>
        <w:rPr>
          <w:rFonts w:ascii="Times New Roman" w:cs="Times New Roman" w:eastAsia="Times New Roman" w:hAnsi="Times New Roman"/>
          <w:sz w:val="18"/>
          <w:szCs w:val="18"/>
          <w:color w:val="32406B"/>
        </w:rPr>
        <w:t>), we will be subject to the DCGC. The DCGC contains both principles and best practice provisions for boards of directors, shareholders and general meetings, financial reporting, auditors, disclosure, compliance and enforcement standards. A copy of the DCGC can be found on www.mccg.nl. The DCGC is based on a “comply or explain” principle. Accordingly, as a Dutch company listed on a stock exchange, we will be required to disclose in our statutory annual Board report to what we extent comply with the principles and best practice provisions of the DCGC, and where we do not (for example, because of a conflicting Nasdaq requirement or otherwise), we must state why and to what extent we deviate in our statutory annual Board report. Our most substantial deviations from the DCGC are summarized below, but we cannot exclude the possibility of deviating from additional provisions of the DCGC, including after the date hereof and including in order to follow market practice or governance practices in the United States.</w:t>
      </w:r>
    </w:p>
    <w:p>
      <w:pPr>
        <w:spacing w:after="0" w:line="187"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Under our Articles of Association that will be effective upon consummation of this offering, directors are be appointed on the basis of a binding nomination prepared by the Board. This means that the nominee will be appointed to the Board, unless the general meeting overrules the binding nature of the nomination (in which case a new nomination will be prepared for a subsequent general meeting). Our Articles of Association that will be effective upon consummation of this offering will provide that the general meeting can only pass such resolution by at least a two-thirds majority of the votes cast, provided such majority represents more than half of the issued share capital. However, the DCGC recommends that the general meeting should be capable of passing such a resolution by a simple majority of votes cast, representing no more than one-third of the issued share capital.</w:t>
      </w:r>
    </w:p>
    <w:p>
      <w:pPr>
        <w:spacing w:after="0" w:line="187"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Under the Articles of Association that will be effective upon consummation of this offering, directors can only be dismissed by the general meeting by simple majority of votes cast,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The DCGC recommends against providing equity awards as part of the compensation of a non-executive director. However, we expect to deviate from this recommendation and grant equity awards to our non-executive directors, consistent with U.S. market practice.</w:t>
      </w:r>
    </w:p>
    <w:p>
      <w:pPr>
        <w:spacing w:after="0" w:line="162" w:lineRule="exact"/>
        <w:rPr>
          <w:sz w:val="20"/>
          <w:szCs w:val="20"/>
          <w:color w:val="auto"/>
        </w:rPr>
      </w:pPr>
    </w:p>
    <w:p>
      <w:pPr>
        <w:ind w:right="280" w:firstLine="449"/>
        <w:spacing w:after="0" w:line="266" w:lineRule="auto"/>
        <w:rPr>
          <w:sz w:val="20"/>
          <w:szCs w:val="20"/>
          <w:color w:val="auto"/>
        </w:rPr>
      </w:pPr>
      <w:r>
        <w:rPr>
          <w:rFonts w:ascii="Times New Roman" w:cs="Times New Roman" w:eastAsia="Times New Roman" w:hAnsi="Times New Roman"/>
          <w:sz w:val="18"/>
          <w:szCs w:val="18"/>
          <w:color w:val="32406B"/>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149</w:t>
      </w:r>
    </w:p>
    <w:p>
      <w:pPr>
        <w:sectPr>
          <w:pgSz w:w="11900" w:h="16838" w:orient="portrait"/>
          <w:cols w:equalWidth="0" w:num="1">
            <w:col w:w="11220"/>
          </w:cols>
          <w:pgMar w:left="320" w:top="455" w:right="3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PRINCIPAL SHAREHOLDERS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table presents information relating to the beneficial ownership of Pharvaris’ ordinary shares as of February 1, 2021, by:</w:t>
      </w:r>
    </w:p>
    <w:p>
      <w:pPr>
        <w:spacing w:after="0" w:line="131" w:lineRule="exact"/>
        <w:rPr>
          <w:sz w:val="20"/>
          <w:szCs w:val="20"/>
          <w:color w:val="auto"/>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each person, or group of affiliated persons, known by us to own beneficially 5% or more of our outstanding ordinary shares;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each member of our Board and Senior Management;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8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all members of our Board and Senior Management as a group.</w:t>
      </w:r>
    </w:p>
    <w:p>
      <w:pPr>
        <w:spacing w:after="0" w:line="225"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February 1, 2021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87" w:lineRule="exact"/>
        <w:rPr>
          <w:sz w:val="20"/>
          <w:szCs w:val="20"/>
          <w:color w:val="auto"/>
        </w:rPr>
      </w:pPr>
    </w:p>
    <w:p>
      <w:pPr>
        <w:ind w:right="180" w:firstLine="449"/>
        <w:spacing w:after="0" w:line="254" w:lineRule="auto"/>
        <w:rPr>
          <w:sz w:val="20"/>
          <w:szCs w:val="20"/>
          <w:color w:val="auto"/>
        </w:rPr>
      </w:pPr>
      <w:r>
        <w:rPr>
          <w:rFonts w:ascii="Times New Roman" w:cs="Times New Roman" w:eastAsia="Times New Roman" w:hAnsi="Times New Roman"/>
          <w:sz w:val="18"/>
          <w:szCs w:val="18"/>
          <w:color w:val="32406B"/>
        </w:rPr>
        <w:t>The percentage of outstanding ordinary shares is computed on the basis of 23,569,276 ordinary shares outstanding as of February 1, 2021, which reflects automatic conversion of all of our outstanding preferred shares into an aggregate of 18,719,276 ordinary shares immediately prior to the consummation of Pharvaris’ initial public offering. Ordinary shares that a person has the right to acquire within 60 days of February 1, 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the Board and Senior Management as a group. The table below does not reflect the IPO Grants or any ordinary shares that may be purchased in this offering, including through the directed share program described under “Underwriting—Directed Share Program.” Unless otherwise indicated below, the address for each beneficial owner is c/o Pharvaris B.V., J.H. Oortweg 21, 2333 CH Leiden, The Netherlands.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150</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32406B"/>
              </w:rPr>
              <w:t>Ordinary Shares 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3"/>
          </w:tcPr>
          <w:p>
            <w:pPr>
              <w:jc w:val="center"/>
              <w:ind w:left="675"/>
              <w:spacing w:after="0" w:line="149" w:lineRule="exact"/>
              <w:rPr>
                <w:sz w:val="20"/>
                <w:szCs w:val="20"/>
                <w:color w:val="auto"/>
              </w:rPr>
            </w:pPr>
            <w:r>
              <w:rPr>
                <w:rFonts w:ascii="Times New Roman" w:cs="Times New Roman" w:eastAsia="Times New Roman" w:hAnsi="Times New Roman"/>
                <w:sz w:val="14"/>
                <w:szCs w:val="14"/>
                <w:b w:val="1"/>
                <w:bCs w:val="1"/>
                <w:color w:val="32406B"/>
              </w:rPr>
              <w:t>Owned</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32406B"/>
              </w:rPr>
              <w:t>Ordinary Shares Beneficially</w:t>
            </w:r>
          </w:p>
        </w:tc>
        <w:tc>
          <w:tcPr>
            <w:tcW w:w="22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32406B"/>
              </w:rPr>
              <w:t>Following the Offering</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22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32406B"/>
              </w:rPr>
              <w:t>Assuming No Exercise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50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32406B"/>
              </w:rPr>
              <w:t>Owned Prior</w:t>
            </w:r>
          </w:p>
        </w:tc>
        <w:tc>
          <w:tcPr>
            <w:tcW w:w="220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32406B"/>
              </w:rPr>
              <w:t>Underwriters’</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50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32406B"/>
              </w:rPr>
              <w:t>to the Offering</w:t>
            </w:r>
          </w:p>
        </w:tc>
        <w:tc>
          <w:tcPr>
            <w:tcW w:w="22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32406B"/>
              </w:rPr>
              <w:t>Overallotment Option</w:t>
            </w:r>
          </w:p>
        </w:tc>
        <w:tc>
          <w:tcPr>
            <w:tcW w:w="0" w:type="dxa"/>
            <w:vAlign w:val="bottom"/>
          </w:tcPr>
          <w:p>
            <w:pPr>
              <w:spacing w:after="0"/>
              <w:rPr>
                <w:sz w:val="1"/>
                <w:szCs w:val="1"/>
                <w:color w:val="auto"/>
              </w:rPr>
            </w:pPr>
          </w:p>
        </w:tc>
      </w:tr>
      <w:tr>
        <w:trPr>
          <w:trHeight w:val="117"/>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Name of Beneficial Owner</w:t>
            </w:r>
          </w:p>
        </w:tc>
        <w:tc>
          <w:tcPr>
            <w:tcW w:w="1220" w:type="dxa"/>
            <w:vAlign w:val="bottom"/>
            <w:tcBorders>
              <w:top w:val="single" w:sz="8" w:color="auto"/>
            </w:tcBorders>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32406B"/>
              </w:rPr>
              <w:t>Number of</w:t>
            </w:r>
          </w:p>
        </w:tc>
        <w:tc>
          <w:tcPr>
            <w:tcW w:w="7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32406B"/>
              </w:rPr>
              <w:t>Percentage</w:t>
            </w:r>
          </w:p>
        </w:tc>
        <w:tc>
          <w:tcPr>
            <w:tcW w:w="500" w:type="dxa"/>
            <w:vAlign w:val="bottom"/>
          </w:tcPr>
          <w:p>
            <w:pPr>
              <w:spacing w:after="0"/>
              <w:rPr>
                <w:sz w:val="10"/>
                <w:szCs w:val="10"/>
                <w:color w:val="auto"/>
              </w:rPr>
            </w:pPr>
          </w:p>
        </w:tc>
        <w:tc>
          <w:tcPr>
            <w:tcW w:w="1240" w:type="dxa"/>
            <w:vAlign w:val="bottom"/>
            <w:tcBorders>
              <w:top w:val="single" w:sz="8" w:color="auto"/>
            </w:tcBorders>
            <w:gridSpan w:val="3"/>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32406B"/>
              </w:rPr>
              <w:t>Number of</w:t>
            </w: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32406B"/>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40" w:type="dxa"/>
            <w:vAlign w:val="bottom"/>
            <w:gridSpan w:val="2"/>
            <w:vMerge w:val="continue"/>
          </w:tcPr>
          <w:p>
            <w:pPr>
              <w:spacing w:after="0"/>
              <w:rPr>
                <w:sz w:val="13"/>
                <w:szCs w:val="13"/>
                <w:color w:val="auto"/>
              </w:rPr>
            </w:pPr>
          </w:p>
        </w:tc>
        <w:tc>
          <w:tcPr>
            <w:tcW w:w="122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32406B"/>
              </w:rPr>
              <w:t>Shares</w:t>
            </w:r>
          </w:p>
        </w:tc>
        <w:tc>
          <w:tcPr>
            <w:tcW w:w="1280" w:type="dxa"/>
            <w:vAlign w:val="bottom"/>
            <w:gridSpan w:val="2"/>
          </w:tcPr>
          <w:p>
            <w:pPr>
              <w:jc w:val="right"/>
              <w:ind w:right="640"/>
              <w:spacing w:after="0" w:line="160" w:lineRule="exact"/>
              <w:rPr>
                <w:sz w:val="20"/>
                <w:szCs w:val="20"/>
                <w:color w:val="auto"/>
              </w:rPr>
            </w:pPr>
            <w:r>
              <w:rPr>
                <w:rFonts w:ascii="Times New Roman" w:cs="Times New Roman" w:eastAsia="Times New Roman" w:hAnsi="Times New Roman"/>
                <w:sz w:val="14"/>
                <w:szCs w:val="14"/>
                <w:b w:val="1"/>
                <w:bCs w:val="1"/>
                <w:color w:val="32406B"/>
              </w:rPr>
              <w:t>of Class</w:t>
            </w:r>
          </w:p>
        </w:tc>
        <w:tc>
          <w:tcPr>
            <w:tcW w:w="124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32406B"/>
              </w:rPr>
              <w:t>Shares</w:t>
            </w:r>
          </w:p>
        </w:tc>
        <w:tc>
          <w:tcPr>
            <w:tcW w:w="96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32406B"/>
              </w:rPr>
              <w:t>of Class</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32406B"/>
              </w:rPr>
              <w:t>5% Beneficial Owner:</w:t>
            </w: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LSP V Coöperatieve U.A.</w:t>
            </w:r>
            <w:r>
              <w:rPr>
                <w:rFonts w:ascii="Times New Roman" w:cs="Times New Roman" w:eastAsia="Times New Roman" w:hAnsi="Times New Roman"/>
                <w:sz w:val="15"/>
                <w:szCs w:val="15"/>
                <w:color w:val="32406B"/>
              </w:rPr>
              <w:t>(1)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3,607,566</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15.31%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3,607,566</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11.33%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KURMA BIOFUND II</w:t>
            </w:r>
            <w:r>
              <w:rPr>
                <w:rFonts w:ascii="Times New Roman" w:cs="Times New Roman" w:eastAsia="Times New Roman" w:hAnsi="Times New Roman"/>
                <w:sz w:val="15"/>
                <w:szCs w:val="15"/>
                <w:color w:val="32406B"/>
              </w:rPr>
              <w:t>(2)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1,339,243</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5.68%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1,339,243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4.21%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Entities affiliated with Foresite Capital</w:t>
            </w:r>
            <w:r>
              <w:rPr>
                <w:rFonts w:ascii="Times New Roman" w:cs="Times New Roman" w:eastAsia="Times New Roman" w:hAnsi="Times New Roman"/>
                <w:sz w:val="15"/>
                <w:szCs w:val="15"/>
                <w:color w:val="32406B"/>
              </w:rPr>
              <w:t>(3)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3,626,068</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15.38%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3,626,068</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11.39%</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Entities affiliated with Bain Capital Life Sciences Investors, LLC</w:t>
            </w:r>
            <w:r>
              <w:rPr>
                <w:rFonts w:ascii="Times New Roman" w:cs="Times New Roman" w:eastAsia="Times New Roman" w:hAnsi="Times New Roman"/>
                <w:sz w:val="15"/>
                <w:szCs w:val="15"/>
                <w:color w:val="32406B"/>
              </w:rPr>
              <w:t>(4)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2,930,601</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12.43%</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2,930,601</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9.20%</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venBio Global Strategic Fund III, L.P.</w:t>
            </w:r>
            <w:r>
              <w:rPr>
                <w:rFonts w:ascii="Times New Roman" w:cs="Times New Roman" w:eastAsia="Times New Roman" w:hAnsi="Times New Roman"/>
                <w:sz w:val="15"/>
                <w:szCs w:val="15"/>
                <w:color w:val="32406B"/>
              </w:rPr>
              <w:t>(5)</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2,003,310</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8.50%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2,003,310</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6.29%</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Entities affiliated with Idinvest Partners S.A</w:t>
            </w:r>
            <w:r>
              <w:rPr>
                <w:rFonts w:ascii="Times New Roman" w:cs="Times New Roman" w:eastAsia="Times New Roman" w:hAnsi="Times New Roman"/>
                <w:sz w:val="15"/>
                <w:szCs w:val="15"/>
                <w:color w:val="32406B"/>
              </w:rPr>
              <w:t>(6)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1,455,153</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6.17%</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1,455,153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4.57%</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Jens Schneider-Mergener</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1,200,000</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5.09%</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1,200,000</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3.77%</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Viking Global Opportunities Illiquid Investments Sub-Master LP</w:t>
            </w:r>
            <w:r>
              <w:rPr>
                <w:rFonts w:ascii="Times New Roman" w:cs="Times New Roman" w:eastAsia="Times New Roman" w:hAnsi="Times New Roman"/>
                <w:sz w:val="15"/>
                <w:szCs w:val="15"/>
                <w:color w:val="32406B"/>
              </w:rPr>
              <w:t>(7)</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1,420,155</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6.03%</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1,420,155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4.46%</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General Atlantic PH B.V.</w:t>
            </w:r>
            <w:r>
              <w:rPr>
                <w:rFonts w:ascii="Times New Roman" w:cs="Times New Roman" w:eastAsia="Times New Roman" w:hAnsi="Times New Roman"/>
                <w:sz w:val="15"/>
                <w:szCs w:val="15"/>
                <w:color w:val="32406B"/>
              </w:rPr>
              <w:t>(8)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1,420,155</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6.03%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1,420,155</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4.46%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Board and Senior Management: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Mr. Modig</w:t>
            </w:r>
            <w:r>
              <w:rPr>
                <w:rFonts w:ascii="Times New Roman" w:cs="Times New Roman" w:eastAsia="Times New Roman" w:hAnsi="Times New Roman"/>
                <w:sz w:val="15"/>
                <w:szCs w:val="15"/>
                <w:color w:val="32406B"/>
              </w:rPr>
              <w:t>(9)</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1,246,875</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5.28%</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1,246,875</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3.91%</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Droller</w:t>
            </w:r>
            <w:r>
              <w:rPr>
                <w:rFonts w:ascii="Times New Roman" w:cs="Times New Roman" w:eastAsia="Times New Roman" w:hAnsi="Times New Roman"/>
                <w:sz w:val="15"/>
                <w:szCs w:val="15"/>
                <w:color w:val="32406B"/>
              </w:rPr>
              <w:t>(2)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1,339,243</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5.68%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1,339,243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4.21%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Dr. Gaster</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32406B"/>
              </w:rPr>
              <w:t>—</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Mr. Schikan.</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500,000</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2.12%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500,000</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1.57%</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Mr. Kleijwegt</w:t>
            </w:r>
            <w:r>
              <w:rPr>
                <w:rFonts w:ascii="Times New Roman" w:cs="Times New Roman" w:eastAsia="Times New Roman" w:hAnsi="Times New Roman"/>
                <w:sz w:val="15"/>
                <w:szCs w:val="15"/>
                <w:color w:val="32406B"/>
              </w:rPr>
              <w:t>(1)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3,607,566</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15.31%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3,607,566</w:t>
            </w:r>
          </w:p>
        </w:tc>
        <w:tc>
          <w:tcPr>
            <w:tcW w:w="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11.33%</w:t>
            </w:r>
          </w:p>
        </w:tc>
        <w:tc>
          <w:tcPr>
            <w:tcW w:w="0" w:type="dxa"/>
            <w:vAlign w:val="bottom"/>
          </w:tcPr>
          <w:p>
            <w:pPr>
              <w:spacing w:after="0"/>
              <w:rPr>
                <w:sz w:val="1"/>
                <w:szCs w:val="1"/>
                <w:color w:val="auto"/>
              </w:rPr>
            </w:pPr>
          </w:p>
        </w:tc>
      </w:tr>
      <w:tr>
        <w:trPr>
          <w:trHeight w:val="229"/>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Meeker</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32406B"/>
              </w:rPr>
              <w:t>—</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Dr. Glassman</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32406B"/>
              </w:rPr>
              <w:t>—</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Knolle</w:t>
            </w:r>
            <w:r>
              <w:rPr>
                <w:rFonts w:ascii="Times New Roman" w:cs="Times New Roman" w:eastAsia="Times New Roman" w:hAnsi="Times New Roman"/>
                <w:sz w:val="15"/>
                <w:szCs w:val="15"/>
                <w:color w:val="32406B"/>
              </w:rPr>
              <w:t>(10)</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1,246,875</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5.28%</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1,246,875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3.91%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Dr. Lu</w:t>
            </w:r>
            <w:r>
              <w:rPr>
                <w:rFonts w:ascii="Times New Roman" w:cs="Times New Roman" w:eastAsia="Times New Roman" w:hAnsi="Times New Roman"/>
                <w:sz w:val="15"/>
                <w:szCs w:val="15"/>
                <w:color w:val="32406B"/>
              </w:rPr>
              <w:t>(11)</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133,833</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133,833</w:t>
            </w:r>
          </w:p>
        </w:tc>
        <w:tc>
          <w:tcPr>
            <w:tcW w:w="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Dr. Lesage</w:t>
            </w:r>
            <w:r>
              <w:rPr>
                <w:rFonts w:ascii="Times New Roman" w:cs="Times New Roman" w:eastAsia="Times New Roman" w:hAnsi="Times New Roman"/>
                <w:sz w:val="15"/>
                <w:szCs w:val="15"/>
                <w:color w:val="32406B"/>
              </w:rPr>
              <w:t>(12)</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296,875</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1.26%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296,875</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Dr. Conn</w:t>
            </w:r>
            <w:r>
              <w:rPr>
                <w:rFonts w:ascii="Times New Roman" w:cs="Times New Roman" w:eastAsia="Times New Roman" w:hAnsi="Times New Roman"/>
                <w:sz w:val="15"/>
                <w:szCs w:val="15"/>
                <w:color w:val="32406B"/>
              </w:rPr>
              <w:t>(13)</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72,170</w:t>
            </w: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72,170</w:t>
            </w:r>
          </w:p>
        </w:tc>
        <w:tc>
          <w:tcPr>
            <w:tcW w:w="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Ms. Nijdam</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2406B"/>
              </w:rPr>
              <w:t>—</w:t>
            </w:r>
          </w:p>
        </w:tc>
        <w:tc>
          <w:tcPr>
            <w:tcW w:w="12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32406B"/>
              </w:rPr>
              <w:t>—</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All executive officers and board members as a group (12 persons)</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8,443,437</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32406B"/>
              </w:rPr>
              <w:t>35.30%</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32406B"/>
              </w:rPr>
              <w:t>8,443,437</w:t>
            </w:r>
          </w:p>
        </w:tc>
        <w:tc>
          <w:tcPr>
            <w:tcW w:w="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26.23%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886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Indicates beneficial ownership of less than 1% of total outstanding ordinary shares.</w:t>
      </w:r>
    </w:p>
    <w:p>
      <w:pPr>
        <w:spacing w:after="0" w:line="27" w:lineRule="exact"/>
        <w:rPr>
          <w:sz w:val="20"/>
          <w:szCs w:val="20"/>
          <w:color w:val="auto"/>
        </w:rPr>
      </w:pPr>
    </w:p>
    <w:p>
      <w:pPr>
        <w:ind w:left="460" w:right="100" w:hanging="452"/>
        <w:spacing w:after="0" w:line="250" w:lineRule="auto"/>
        <w:tabs>
          <w:tab w:leader="none" w:pos="460" w:val="left"/>
        </w:tabs>
        <w:numPr>
          <w:ilvl w:val="0"/>
          <w:numId w:val="8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3,607,566 preferred shares which will be automatically converted into 3,607,566 ordinary shares immediately prior to the consummation of this offering. The managing director of LSP V Coöperatieve U.A. is LSP V Management B.V. The managing directors of LSP V Management B.V. are Martijn Kleijwegt, Rene Kuijten and Joachim Rothe, each of whom may be deemed to have voting and investment power over the shares held by LSP V Coöperatieve U.A. Each of Mr. Kleijwegt, Mr. Kuijten and Mr. Rothe disclaims beneficial ownership of such shares except to the extent of their pecuniary interest therein. The address of LSP V Coöperatieve U.A. is Johannes Vermeerplein 9, 1071 DV Amsterdam, the Netherlands.</w:t>
      </w:r>
    </w:p>
    <w:p>
      <w:pPr>
        <w:spacing w:after="0" w:line="2" w:lineRule="exact"/>
        <w:rPr>
          <w:rFonts w:ascii="Times New Roman" w:cs="Times New Roman" w:eastAsia="Times New Roman" w:hAnsi="Times New Roman"/>
          <w:sz w:val="18"/>
          <w:szCs w:val="18"/>
          <w:color w:val="32406B"/>
        </w:rPr>
      </w:pPr>
    </w:p>
    <w:p>
      <w:pPr>
        <w:jc w:val="both"/>
        <w:ind w:left="460" w:right="60" w:hanging="452"/>
        <w:spacing w:after="0" w:line="250" w:lineRule="auto"/>
        <w:tabs>
          <w:tab w:leader="none" w:pos="460" w:val="left"/>
        </w:tabs>
        <w:numPr>
          <w:ilvl w:val="0"/>
          <w:numId w:val="8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1,339,243 preferred shares which will be automatically converted into 1,339,243 ordinary shares immediately prior to the consummation of this offering. KURMA BIOFUND II is managed by its management company, Kurma Partners S.A. and Mr. Droller controls Kurma Partners S.A. The address of Kurma Partners S.A and Mr. Droller. is 24 Rue Royale, 75008, Paris, France.</w:t>
      </w:r>
    </w:p>
    <w:p>
      <w:pPr>
        <w:spacing w:after="0" w:line="1" w:lineRule="exact"/>
        <w:rPr>
          <w:rFonts w:ascii="Times New Roman" w:cs="Times New Roman" w:eastAsia="Times New Roman" w:hAnsi="Times New Roman"/>
          <w:sz w:val="18"/>
          <w:szCs w:val="18"/>
          <w:color w:val="32406B"/>
        </w:rPr>
      </w:pPr>
    </w:p>
    <w:p>
      <w:pPr>
        <w:ind w:left="460" w:right="80" w:hanging="452"/>
        <w:spacing w:after="0" w:line="271" w:lineRule="auto"/>
        <w:tabs>
          <w:tab w:leader="none" w:pos="460" w:val="left"/>
        </w:tabs>
        <w:numPr>
          <w:ilvl w:val="0"/>
          <w:numId w:val="87"/>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Represents (i) 3,261,926 preferred shares held by Foresite Capital Fund IV, L.P. (“Foresite IV”), which will be automatically converted into 3,261,926 ordinary shares immediately prior to the consummation of this offering; and (ii) 364,142 preferred shares held by Foresite Capital Fund V, L.P. (“Foresite V” and, together with Foresite IV, “Foresite”), which will be automatically converted into 364,142 ordinary shares immediately prior to the consummation of this offering. Foresite Capital Management IV, LLC (“FCM IV”) is the general partner of Foresite IV and may be deemed to have sole voting and dispositive power over shares held by Foresite IV. Foresite Capital Management V, LLC (“FCM V”) is the general partner of</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151</w:t>
      </w:r>
    </w:p>
    <w:p>
      <w:pPr>
        <w:sectPr>
          <w:pgSz w:w="11900" w:h="16838" w:orient="portrait"/>
          <w:cols w:equalWidth="0" w:num="1">
            <w:col w:w="11240"/>
          </w:cols>
          <w:pgMar w:left="320" w:top="455" w:right="3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32406B"/>
        </w:rPr>
        <w:t>Foresite V and may be deemed to have sole voting and dispositive power over shares held by Foresite V. Dr. Jim Tananbaum is the sole managing member of FCM IV and FCM V and may be deemed to have sole voting and dispositive power over share held by Foresite. Each of FCM IV, FCM V and Dr. Tananbaum disclaims beneficial ownership of shares held by Foresite except to the extent of any pecuniary interest therein. The address of Foresite, FCM IV, FCM V and Dr. Tananbaum is 600 Montgomery Street, Suite 4500, San Francisco, CA 94111.</w:t>
      </w:r>
    </w:p>
    <w:p>
      <w:pPr>
        <w:spacing w:after="0" w:line="3" w:lineRule="exact"/>
        <w:rPr>
          <w:sz w:val="20"/>
          <w:szCs w:val="20"/>
          <w:color w:val="auto"/>
        </w:rPr>
      </w:pPr>
    </w:p>
    <w:p>
      <w:pPr>
        <w:ind w:left="460" w:right="160" w:hanging="452"/>
        <w:spacing w:after="0" w:line="250" w:lineRule="auto"/>
        <w:tabs>
          <w:tab w:leader="none" w:pos="460" w:val="left"/>
        </w:tabs>
        <w:numPr>
          <w:ilvl w:val="0"/>
          <w:numId w:val="8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(i) 2,658,480 preferred shares held by Bain Capital Life Sciences Fund, L.P. (“BCLS”), which will be automatically converted into 2,658,480 ordinary shares immediately prior to the consummation of this offering; and (ii) 272,121 preferred shares held by BCIP Life Sciences Associates, L.P. (“BCIP LS” and, together with BCLS, the “Bain Capital Life Sciences Entities”), which will be automatically converted into 272,121 ordinary shares immediately prior to the consummation of this offering. Bain Capital Life Sciences Investors, LLC, whose managers are Jeffrey Schwartz and Adam Koppel, is the ultimate general partner of BCLS and governs the investment strategy and decision-making process with respect to investments held by BCIP LS. As a result, each of Bain Capital Life Sciences Investors, LLC, Mr. Schwartz and Dr. Koppel may be deemed to share voting and dispositive power over the shares held by the Bain Capital Life Sciences Entities. The address of the Bain Capital Life Sciences Entities is c/o Bain Capital Life Sciences, LP 200 Clarendon Street, Boston, MA 02116.</w:t>
      </w:r>
    </w:p>
    <w:p>
      <w:pPr>
        <w:spacing w:after="0" w:line="3" w:lineRule="exact"/>
        <w:rPr>
          <w:rFonts w:ascii="Times New Roman" w:cs="Times New Roman" w:eastAsia="Times New Roman" w:hAnsi="Times New Roman"/>
          <w:sz w:val="18"/>
          <w:szCs w:val="18"/>
          <w:color w:val="32406B"/>
        </w:rPr>
      </w:pPr>
    </w:p>
    <w:p>
      <w:pPr>
        <w:ind w:left="460" w:right="100" w:hanging="452"/>
        <w:spacing w:after="0" w:line="265" w:lineRule="auto"/>
        <w:tabs>
          <w:tab w:leader="none" w:pos="460" w:val="left"/>
        </w:tabs>
        <w:numPr>
          <w:ilvl w:val="0"/>
          <w:numId w:val="88"/>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Represents 2,003,310 preferred shares which will be automatically converted into 2,003,310 ordinary shares immediately prior to the consummation of this offering. The address of venBio Global Strategic Fund III, L.P. (“venBio”) is 1700 Owens Street Suite 595 San Francisco, CA 94158.</w:t>
      </w:r>
    </w:p>
    <w:p>
      <w:pPr>
        <w:ind w:left="460" w:right="100" w:hanging="452"/>
        <w:spacing w:after="0" w:line="250" w:lineRule="auto"/>
        <w:tabs>
          <w:tab w:leader="none" w:pos="460" w:val="left"/>
        </w:tabs>
        <w:numPr>
          <w:ilvl w:val="0"/>
          <w:numId w:val="8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(i) 84,410 preferred shares held by Idinvest Patrimoine n°4 IR (“Idinvest I”), which will be automatically converted into 84,410 ordinary shares immediately prior to the consummation of this offering; (ii) 451,409 preferred shares held by Objectif Innovation Patrimoine n°8 (“Idinvest II”), which will be automatically converted into 451,409 ordinary shares immediately prior to the consummation of this offering; (iii) 447,739 preferred shares held by Idinvest Patrimoine n°5 (“Idinvest III”), which will be automatically converted into 447,739 ordinary shares immediately prior to the consummation of this offering; (iv) 239,773 preferred shares held by Idinvest Patrimoine 2015 (“Idinvest IV”), which will be automatically converted into 239,773 ordinary shares immediately prior to the consummation of this offering; (v) 49,328 preferred shares held by Objectif Innovation Patrimoine n°9 (“Idinvest V”), which will be automatically converted into 49,328 ordinary shares immediately prior to the consummation of this offering; (vi) 41,684 preferred shares held by Idinvest Patrimoine n°6 (“Idinvest VI”), which will be automatically converted into 41,684 ordinary shares immediately prior to the consummation of this offering; (vii) 76,460 preferred shares held by Idinvest Patrimoine 2019 (“Idinvest VII”), which will be automatically converted into 76,460 ordinary shares immediately prior to the consummation of this offering; and (viii) 64,350 preferred shares held by Objectif Innovation 2019 (“Idinvest VIII” and, together with Idinvest I, Idinvest II, Idinvest III, Idinvest IV, Idinvest V, Idinvest VI and Idinvest VII, the “Idinvest Entities”), which will be automatically converted into 64,350 ordinary shares immediately prior to the consummation of this offering. The Idinvest Entities are controlled and managed by Idinvest Partners S.A. The address of Idinvest Partners S.A. is 117 Avenue des Champs Elysees, 75008, Paris, France.</w:t>
      </w:r>
    </w:p>
    <w:p>
      <w:pPr>
        <w:spacing w:after="0" w:line="5" w:lineRule="exact"/>
        <w:rPr>
          <w:rFonts w:ascii="Times New Roman" w:cs="Times New Roman" w:eastAsia="Times New Roman" w:hAnsi="Times New Roman"/>
          <w:sz w:val="18"/>
          <w:szCs w:val="18"/>
          <w:color w:val="32406B"/>
        </w:rPr>
      </w:pPr>
    </w:p>
    <w:p>
      <w:pPr>
        <w:jc w:val="both"/>
        <w:ind w:left="460" w:right="40" w:hanging="452"/>
        <w:spacing w:after="0" w:line="265" w:lineRule="auto"/>
        <w:tabs>
          <w:tab w:leader="none" w:pos="460" w:val="left"/>
        </w:tabs>
        <w:numPr>
          <w:ilvl w:val="0"/>
          <w:numId w:val="88"/>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Represents 1,420,155 preferred shares which will be automatically converted into 1,420,155 ordinary shares immediately prior to the consummation of this offering. Viking Global Opportunities Illiquid Investments Sub-Master LP (the “Opportunities Fund”) has the authority to dispose of and vote the shares directly owned by it, which power may be exercised by its general partner, Viking Global Opportunities Portfolio GP LLC (“Opportunities GP”), and by Viking Global Investors LP (“VGI”), which provides managerial services to the Opportunities Fund. O. Andreas Halvorsen, David C.</w:t>
      </w:r>
    </w:p>
    <w:p>
      <w:pPr>
        <w:ind w:left="460" w:right="40"/>
        <w:spacing w:after="0" w:line="250" w:lineRule="auto"/>
        <w:rPr>
          <w:rFonts w:ascii="Times New Roman" w:cs="Times New Roman" w:eastAsia="Times New Roman" w:hAnsi="Times New Roman"/>
          <w:sz w:val="17"/>
          <w:szCs w:val="17"/>
          <w:color w:val="32406B"/>
        </w:rPr>
      </w:pPr>
      <w:r>
        <w:rPr>
          <w:rFonts w:ascii="Times New Roman" w:cs="Times New Roman" w:eastAsia="Times New Roman" w:hAnsi="Times New Roman"/>
          <w:sz w:val="18"/>
          <w:szCs w:val="18"/>
          <w:color w:val="32406B"/>
        </w:rPr>
        <w:t>Ott and Rose Shabet, as Executive Committee members of Viking Global Partners LLC (the general partner of VGI) and Opportunities GP, have shared authority to direct the voting and disposition of investments beneficially owned by VGI and the Opportunities GP. The business address of the Opportunities Fund is c/o Viking Global Investors LP, 55 Railroad Avenue, Greenwich, Connecticut 06830.</w:t>
      </w:r>
    </w:p>
    <w:p>
      <w:pPr>
        <w:spacing w:after="0" w:line="1" w:lineRule="exact"/>
        <w:rPr>
          <w:rFonts w:ascii="Times New Roman" w:cs="Times New Roman" w:eastAsia="Times New Roman" w:hAnsi="Times New Roman"/>
          <w:sz w:val="17"/>
          <w:szCs w:val="17"/>
          <w:color w:val="32406B"/>
        </w:rPr>
      </w:pPr>
    </w:p>
    <w:p>
      <w:pPr>
        <w:ind w:left="460" w:right="100" w:hanging="452"/>
        <w:spacing w:after="0" w:line="255" w:lineRule="auto"/>
        <w:tabs>
          <w:tab w:leader="none" w:pos="460" w:val="left"/>
        </w:tabs>
        <w:numPr>
          <w:ilvl w:val="0"/>
          <w:numId w:val="8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1,420,155 preferred shares which will be automatically converted into 1,420,155 ordinary shares immediately prior to the consummation of this offering. General Atlantic PH B.V. (“GA PH”) is a wholly owned subsidiary of General Atlantic Coöperatief U.A. (“GA Coop UA”). The members that share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152</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67" w:lineRule="auto"/>
        <w:rPr>
          <w:sz w:val="20"/>
          <w:szCs w:val="20"/>
          <w:color w:val="auto"/>
        </w:rPr>
      </w:pPr>
      <w:r>
        <w:rPr>
          <w:rFonts w:ascii="Times New Roman" w:cs="Times New Roman" w:eastAsia="Times New Roman" w:hAnsi="Times New Roman"/>
          <w:sz w:val="17"/>
          <w:szCs w:val="17"/>
          <w:color w:val="32406B"/>
        </w:rPr>
        <w:t>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Limited (“GAP (Bermuda) Limited”) is the general partner of GenPar Bermuda and GA Coop LP. There are nine members of the management committee of GAP (Bermuda) Limited (the “GA Management Committee”). GAP (Bermuda) Limited, GenPar Bermuda, GA Lux, GA GenPar Lux, and the GA Funds (collectively, the “GA Group”) are a “group” within the meaning of Rule 13d-5 of the Exchange Act. The address of GA Coop LP, GAP Bermuda IV, GAP Bermuda EU, GenPar Bermuda, and GAP (Bermuda) Limited is Clarendon House, 2 Church Street, Hamilton HM 11, Bermuda. The address of GA Coop UA is Raamplein 1, 1016 XK, Amsterdam, The Netherlands. The address of GAP Lux, GA GenPar Lux and GA Lux is Luxembourg is 412F, Route d’Esch, L-2086 Luxembourg. Each of the members of the GA Management Committee disclaims ownership of the shares except to the extent that he has a pecuniary interest therein.</w:t>
      </w:r>
    </w:p>
    <w:p>
      <w:pPr>
        <w:spacing w:after="0" w:line="1" w:lineRule="exact"/>
        <w:rPr>
          <w:sz w:val="20"/>
          <w:szCs w:val="20"/>
          <w:color w:val="auto"/>
        </w:rPr>
      </w:pPr>
    </w:p>
    <w:p>
      <w:pPr>
        <w:ind w:left="460" w:right="280" w:hanging="452"/>
        <w:spacing w:after="0" w:line="250" w:lineRule="auto"/>
        <w:tabs>
          <w:tab w:leader="none" w:pos="460" w:val="left"/>
        </w:tabs>
        <w:numPr>
          <w:ilvl w:val="0"/>
          <w:numId w:val="8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ordinary shares held by Schoodic Management B.V., an entity controlled by Mr. Modig. Consists of 46,875 options that vest within 60 days of February 1, 2021. See “Management—Equity Incentive Plan.”</w:t>
      </w:r>
    </w:p>
    <w:p>
      <w:pPr>
        <w:ind w:left="460" w:hanging="452"/>
        <w:spacing w:after="0"/>
        <w:tabs>
          <w:tab w:leader="none" w:pos="460" w:val="left"/>
        </w:tabs>
        <w:numPr>
          <w:ilvl w:val="0"/>
          <w:numId w:val="8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Consists of 46,875 options that vest within 60 days of February 1, 2021. See “Management—Equity Incentive Plan.”</w:t>
      </w:r>
    </w:p>
    <w:p>
      <w:pPr>
        <w:spacing w:after="0" w:line="9" w:lineRule="exact"/>
        <w:rPr>
          <w:rFonts w:ascii="Times New Roman" w:cs="Times New Roman" w:eastAsia="Times New Roman" w:hAnsi="Times New Roman"/>
          <w:sz w:val="18"/>
          <w:szCs w:val="18"/>
          <w:color w:val="32406B"/>
        </w:rPr>
      </w:pPr>
    </w:p>
    <w:p>
      <w:pPr>
        <w:ind w:left="460" w:hanging="452"/>
        <w:spacing w:after="0"/>
        <w:tabs>
          <w:tab w:leader="none" w:pos="460" w:val="left"/>
        </w:tabs>
        <w:numPr>
          <w:ilvl w:val="0"/>
          <w:numId w:val="8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Consists of 133,833 options that vest within 60 days of February 1, 2021. See “Management—Equity Incentive Plan.”</w:t>
      </w:r>
    </w:p>
    <w:p>
      <w:pPr>
        <w:spacing w:after="0" w:line="9" w:lineRule="exact"/>
        <w:rPr>
          <w:rFonts w:ascii="Times New Roman" w:cs="Times New Roman" w:eastAsia="Times New Roman" w:hAnsi="Times New Roman"/>
          <w:sz w:val="18"/>
          <w:szCs w:val="18"/>
          <w:color w:val="32406B"/>
        </w:rPr>
      </w:pPr>
    </w:p>
    <w:p>
      <w:pPr>
        <w:ind w:left="460" w:hanging="452"/>
        <w:spacing w:after="0" w:line="250" w:lineRule="auto"/>
        <w:tabs>
          <w:tab w:leader="none" w:pos="460" w:val="left"/>
        </w:tabs>
        <w:numPr>
          <w:ilvl w:val="0"/>
          <w:numId w:val="8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Represents ordinary shares held by GrayMatters Consulting BVBA, an entity controlled by Dr. Lesage. Consists of 46,875 options that vest within 60 days of February 1, 2021. See “Management—Equity Incentive Plan.”</w:t>
      </w:r>
    </w:p>
    <w:p>
      <w:pPr>
        <w:ind w:left="460" w:hanging="452"/>
        <w:spacing w:after="0"/>
        <w:tabs>
          <w:tab w:leader="none" w:pos="460" w:val="left"/>
        </w:tabs>
        <w:numPr>
          <w:ilvl w:val="0"/>
          <w:numId w:val="8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Consists of 25,295 RSUs that will vest upon consummation of this offering and 46,875 options that vest within 60 days of February 1, 2021.</w:t>
      </w:r>
    </w:p>
    <w:p>
      <w:pPr>
        <w:spacing w:after="0" w:line="207"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As of February 1, 2021, after giving effect to the conversion of all of our preferred shares into ordinary shares, approximately 10.5 million of our outstanding ordinary shares are held by nine record holders in the United States. Upon the consummation of this offering, all ordinary shares will carry one voting right. We are not aware of any arrangement that may, at a subsequent date, result in a change of control of our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153</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RELATED PARTY TRANSACTIONS</w:t>
      </w:r>
    </w:p>
    <w:p>
      <w:pPr>
        <w:spacing w:after="0" w:line="229"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The following is a description of related-party transactions we have entered into since January 1, 2018 with any of the members of the Board, our Senior Management and the holders of more than 5% of our ordinary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Transactions with Our Principal Shareholders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In August 2019 and July 2020, pursuant to that certain Share Subscription Agreement dated July 26, 2019 as amended on July 29, 2019 (the “2019 Share Subscription Agreement”), we issued to investors in two tranches a total of 7,650,147 Series B preferred shares for an aggregate investment amount of $66,000,000. Under the 2019 Share Subscription Agreement, we issued to Foresite IV a total of 2,897,783 Series B preferred shares for an aggregate investment amount of $25,000,000, to BCLS a total of 1,997,820 Series B preferred shares for an aggregate investment amount of $17,235,757, to BCIP LS a total of 204,496 Series B preferred shares for an aggregate investment amount of $1,764,243, to venBio a total of 1,275,025 Series B preferred shares for an aggregate investment amount of $11,000,000, to Venrock Healthcare Capital Partners III, L.P. (“Venrock I”) a total of 105,374 Series B preferred shares for an aggregate investment amount of $909,090.91, to VHCP Co-Investment Holdings III, LLC (“Venrock II”) a total of 10,537 Series B preferred shares for an aggregate investment amount of $90,909.09, to LSP V Coöperatieve U.A. a total of 811,379 Series B preferred shares for an aggregate investment amount of $7,000,000, to KURMA BIOFUND II a total of 115,911 Series B preferred shares for an aggregate investment amount of $1,000,000, to Idinvest V a total of 49,328 Series B preferred shares for an aggregate investment amount of $410,602.55, to Idinvest VI a total of 41,684 Series B preferred shares for an aggregate investment amount of $346,974.47, to Idinvest VII 76,460 Series B preferred shares for an aggregate investment amount of $674,632.61 and to Idinvest VIII 64,350 Series B preferred shares for an aggregate investment amount of $567,784.72.</w:t>
      </w:r>
    </w:p>
    <w:p>
      <w:pPr>
        <w:spacing w:after="0" w:line="19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In November 2020, pursuant to the Share Subscription Agreement dated November 3, 2020 (the “2020 Share Subscription Agreement”), we issued to investors a total of 5,826,279 Series C preferred shares for an aggregate investment amount of approximately $80 million. Under the 2020 Share Subscription Agreement, we issued to Foresite IV a total of 364,143 Series C preferred shares for an aggregate investment amount of $5,000,011.12, to Foresite V, a total of 364,142 Series C preferred shares for an aggregate investment amount of $4,999,997.39, to BCLS a total of 660,660 Series C preferred shares for an aggregate investment amount of $9,071,456.39, to BCIP LS a total of 67,625 Series C preferred shares for an aggregate investment amount of $928,552.11, to venBio a total of 728,285 Series C preferred shares for an aggregate investment amount of $10,000,008.51, to Venrock I a total of 197,118 Series C preferred shares for an aggregate investment amount of $ 2,706,607.55, to Venrock II a total of 19,707 Series C preferred shares for an aggregate investment amount of $270,594.85, to Venrock Healthcare Capital Partners Eg, L.P., a total of 220,146 Series C preferred shares for an aggregate investment amount of $3,022,802.71, to Opportunities Fund a total of 1,420,155 Series C preferred shares for an aggregate investment amount of $19,500,006.29, to General Atlantic PH B.V. a total of 1,420,155 Series C preferred shares for an aggregate investment amount of $19,500,006.29, to Cormorant Global Healthcare Master Fund, LP a total of 67,840 Series C preferred shares for an aggregate investment amount of $931,504.26, to Cormorant Private Healthcare Fund III, LP a total of 291,460 Series C Shares for an aggregate investment amount of $4,002,008.11, and to CRMA SPV, L.P. a total of 4,843 Series C Shares for an aggregate investment amount of $66,498.75.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Shareholders Agreement</w:t>
      </w:r>
    </w:p>
    <w:p>
      <w:pPr>
        <w:spacing w:after="0" w:line="121" w:lineRule="exact"/>
        <w:rPr>
          <w:sz w:val="20"/>
          <w:szCs w:val="20"/>
          <w:color w:val="auto"/>
        </w:rPr>
      </w:pPr>
    </w:p>
    <w:p>
      <w:pPr>
        <w:ind w:right="300" w:firstLine="449"/>
        <w:spacing w:after="0" w:line="289" w:lineRule="auto"/>
        <w:rPr>
          <w:sz w:val="20"/>
          <w:szCs w:val="20"/>
          <w:color w:val="auto"/>
        </w:rPr>
      </w:pPr>
      <w:r>
        <w:rPr>
          <w:rFonts w:ascii="Times New Roman" w:cs="Times New Roman" w:eastAsia="Times New Roman" w:hAnsi="Times New Roman"/>
          <w:sz w:val="17"/>
          <w:szCs w:val="17"/>
          <w:color w:val="32406B"/>
        </w:rPr>
        <w:t>On November 5, 2020, all of the then existing shareholders entered into the Second Amended and Restated Shareholders Agreement (the “Shareholders Agreement”), which governs board composition, transfer restrictions, preemptive rights and registration rights, among other matters. The Shareholders Agreement will terminate immediately prior to the consummation of this offering, other than customary registration rights provisions.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154</w:t>
      </w:r>
    </w:p>
    <w:p>
      <w:pPr>
        <w:sectPr>
          <w:pgSz w:w="11900" w:h="16838" w:orient="portrait"/>
          <w:cols w:equalWidth="0" w:num="1">
            <w:col w:w="11240"/>
          </w:cols>
          <w:pgMar w:left="320" w:top="455"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8"/>
          <w:szCs w:val="18"/>
          <w:i w:val="1"/>
          <w:iCs w:val="1"/>
          <w:color w:val="32406B"/>
        </w:rPr>
        <w:t>Board composition</w:t>
      </w:r>
      <w:r>
        <w:rPr>
          <w:rFonts w:ascii="Times New Roman" w:cs="Times New Roman" w:eastAsia="Times New Roman" w:hAnsi="Times New Roman"/>
          <w:sz w:val="18"/>
          <w:szCs w:val="18"/>
          <w:color w:val="32406B"/>
        </w:rPr>
        <w:t>. Our board is to consist of the chief executive officer, two members of appointed by the founders (however, provided that if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chief executive officer is a founder, the founders may only appoint one member), two members nominated by the holders of the Series A preferred shares, two members nominated by the holders of the Series B preferred shares and one additional non-executive member appointed by the general meeting with the approval of a majority the board.</w:t>
      </w:r>
    </w:p>
    <w:p>
      <w:pPr>
        <w:spacing w:after="0" w:line="180" w:lineRule="exact"/>
        <w:rPr>
          <w:sz w:val="20"/>
          <w:szCs w:val="20"/>
          <w:color w:val="auto"/>
        </w:rPr>
      </w:pPr>
    </w:p>
    <w:p>
      <w:pPr>
        <w:ind w:right="2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Transfer restrictions</w:t>
      </w:r>
      <w:r>
        <w:rPr>
          <w:rFonts w:ascii="Times New Roman" w:cs="Times New Roman" w:eastAsia="Times New Roman" w:hAnsi="Times New Roman"/>
          <w:sz w:val="18"/>
          <w:szCs w:val="18"/>
          <w:color w:val="32406B"/>
        </w:rPr>
        <w:t>. Certain transfer restrictions, including a right of first refusal as well as drag-along rights by holders of certain of our existing</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preferred shares, are provided for.</w:t>
      </w:r>
    </w:p>
    <w:p>
      <w:pPr>
        <w:spacing w:after="0" w:line="158" w:lineRule="exact"/>
        <w:rPr>
          <w:sz w:val="20"/>
          <w:szCs w:val="20"/>
          <w:color w:val="auto"/>
        </w:rPr>
      </w:pPr>
    </w:p>
    <w:p>
      <w:pPr>
        <w:ind w:right="26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Anti-dilution/preemptive rights</w:t>
      </w:r>
      <w:r>
        <w:rPr>
          <w:rFonts w:ascii="Times New Roman" w:cs="Times New Roman" w:eastAsia="Times New Roman" w:hAnsi="Times New Roman"/>
          <w:sz w:val="18"/>
          <w:szCs w:val="18"/>
          <w:color w:val="32406B"/>
        </w:rPr>
        <w:t>. Holders of preferred shares have anti-dilution protection in the event we issue shares at a price that is less than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original purchase price per preferred share. In the event such shares are issued, we are required to issue to the holders of the Series A preferred shares, Series B preferred shares and Series C preferred shares, unless waived, additional Series A preferred shares, Series B preferred shares and Series C preferred shares. This right does not apply in the event of an underwritten public offering of our shares. All existing shareholders also have preemptive rights in the event of any issuance of new shares. These rights are expected to be waived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Agreements and Arrangements with Senior Management</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Dr. Knolle, who has served as Chief Scientific Officer and Chief Operating Officer since its inception, is a member of the board of Charité Research Organisation GmbH, or Charité CRO. The Company has entered into a service contract with Charité CRO according to which Charité CRO provides services supporting research for the Company. In fiscal years 2019 and 2020, payments to Charité CRO with respect to this service contract amounted to €1,238,355 and €1,025,795, respectively.</w:t>
      </w:r>
    </w:p>
    <w:p>
      <w:pPr>
        <w:spacing w:after="0" w:line="180"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32406B"/>
        </w:rPr>
        <w:t>The Company engages several management entities for the purpose of providing key management services to the Company. These management entities are considered related parties, as they provide key management services and the key management personnel exercise key management functions within these entities. Certain key management personnel are also shareholders of the Company. In fiscal years 2019 and 2020 the aggregate amounts payable to these related parties was €55,250 and €398,489, respectively.</w:t>
      </w:r>
    </w:p>
    <w:p>
      <w:pPr>
        <w:spacing w:after="0" w:line="180"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We have entered into Management Service Agreements with JCK-Consult/Dr. Knolle and GrayMatters Consulting B.V. dated August 1, 2020 (the “Consulting Agreements”). The Consulting Agreements provide for daily fixed fees up to a maximum amount per annum and an additional discretionary annual fee with a target based on a percentage of the maximum annual fee amount, determined at the discretion of the Company. The Consulting Agreements are for a term of four years but may be earlier terminated by either party without notice. Upon a termination of the agreement by the Company without cause, the consultant is entitled to (i) an amount equal to the expected sum of the services fee for the remaining period until the termination date, up to a specified amount, (ii) any unpaid discretionary fee for the prior year, and (iii) pro rata discretionary fee for the then-current year, subject to approval of the Company. The Consulting Agreements also contain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94"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We have also entered into employment agreements with Mr. Modig (Chief Executive Officer), Dr. Lu (Chief Medical Officer), Ms. Nijdam (Director of Finance) and Dr. Conn (Chief Business Officer) (collectively, the “Employment Agreements”). The Employment Agreements generally provide for base salary, sign-on bonuses, discretionary annual bonuses based on a percentage of base salary and eligibility to receive equity awards and to participate in the Company’s benefits plans. The Employment Agreements for Dr. Lu, Mr. Modig and Dr. Conn also provide that upon a termination by the Company without cause, by the executive for good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155</w:t>
      </w:r>
    </w:p>
    <w:p>
      <w:pPr>
        <w:sectPr>
          <w:pgSz w:w="11900" w:h="16838" w:orient="portrait"/>
          <w:cols w:equalWidth="0" w:num="1">
            <w:col w:w="11240"/>
          </w:cols>
          <w:pgMar w:left="320" w:top="455" w:right="33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406B"/>
        </w:rPr>
        <w:t>reason, or as a result of the executive’s death or disability, the executive is entitled to the following (subject to execution of a general release of claims in favor of the Company): (i) 12 months of base salary, (ii) with respect to Dr. Lu and Dr. Conn, for one year after termination, the right to continue health care benefits under COBRA at active employee rates, (iii) any unpaid discretionary bonus for the prior year and (iv) pro rata discretionary bonus for the current year, subject to Board approval. In addition, the employment agreements with Mr. Modig and Dr. Conn originally entitled each executive to a special bonus upon the consummation of a change in control (or a qualified IPO for Dr. Conn) on or before the 18-month anniversary of each executive’s start date. However, each of Mr. Modig and Dr. Conn entered into an amendment to their employment agreement, whereby each executive agreed to waive, surrender and relinquish all rights to such special bonuses.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Indemnification Agreements</w:t>
      </w:r>
    </w:p>
    <w:p>
      <w:pPr>
        <w:spacing w:after="0" w:line="121" w:lineRule="exact"/>
        <w:rPr>
          <w:sz w:val="20"/>
          <w:szCs w:val="20"/>
          <w:color w:val="auto"/>
        </w:rPr>
      </w:pPr>
    </w:p>
    <w:p>
      <w:pPr>
        <w:ind w:right="40" w:firstLine="449"/>
        <w:spacing w:after="0" w:line="289" w:lineRule="auto"/>
        <w:rPr>
          <w:sz w:val="20"/>
          <w:szCs w:val="20"/>
          <w:color w:val="auto"/>
        </w:rPr>
      </w:pPr>
      <w:r>
        <w:rPr>
          <w:rFonts w:ascii="Times New Roman" w:cs="Times New Roman" w:eastAsia="Times New Roman" w:hAnsi="Times New Roman"/>
          <w:sz w:val="17"/>
          <w:szCs w:val="17"/>
          <w:color w:val="32406B"/>
        </w:rPr>
        <w:t>We intend to enter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Directed Share Program</w:t>
      </w:r>
    </w:p>
    <w:p>
      <w:pPr>
        <w:spacing w:after="0" w:line="121"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Public Offering Participation Rights</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We entered into letter agreements in November 2020 with General Atlantic and Viking Global Investors, each a beneficial owner of more than 5% of our share capital. The letter agreements require us to use our commercially reasonable efforts to advocate to the managing underwriters of this offering to offer each of General Atlantic and Viking Global Investors the opportunity to purchase a specified dollar value of shares in this offering at the initial offering price. The letter agreements also provide that if General Atlantic and Viking Global Investors are not afforded such opportunity, the Company will offer each of GA and Viking Global Investors the right to purchase the specified value of shares in a private placement. Each of General Atlantic and Viking Global Investors waived such rights prior to the commencement of this offering.</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156</w:t>
      </w:r>
    </w:p>
    <w:p>
      <w:pPr>
        <w:sectPr>
          <w:pgSz w:w="11900" w:h="16838" w:orient="portrait"/>
          <w:cols w:equalWidth="0" w:num="1">
            <w:col w:w="11200"/>
          </w:cols>
          <w:pgMar w:left="320" w:top="455" w:right="37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General</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We were incorporated pursuant to the laws of the Netherlands as Pharvaris B.V. on September 30, 2015. Prior to the listing of our ordinary shares on Nasdaq, we will convert into a public company with limited liability (</w:t>
      </w:r>
      <w:r>
        <w:rPr>
          <w:rFonts w:ascii="Times New Roman" w:cs="Times New Roman" w:eastAsia="Times New Roman" w:hAnsi="Times New Roman"/>
          <w:sz w:val="18"/>
          <w:szCs w:val="18"/>
          <w:i w:val="1"/>
          <w:iCs w:val="1"/>
          <w:color w:val="32406B"/>
        </w:rPr>
        <w:t>naamloze vennootschap</w:t>
      </w:r>
      <w:r>
        <w:rPr>
          <w:rFonts w:ascii="Times New Roman" w:cs="Times New Roman" w:eastAsia="Times New Roman" w:hAnsi="Times New Roman"/>
          <w:sz w:val="18"/>
          <w:szCs w:val="18"/>
          <w:color w:val="32406B"/>
        </w:rPr>
        <w:t>) under Dutch law and our legal name will change to Pharvaris N.V.</w:t>
      </w:r>
    </w:p>
    <w:p>
      <w:pPr>
        <w:spacing w:after="0" w:line="174" w:lineRule="exact"/>
        <w:rPr>
          <w:sz w:val="20"/>
          <w:szCs w:val="20"/>
          <w:color w:val="auto"/>
        </w:rPr>
      </w:pPr>
    </w:p>
    <w:p>
      <w:pPr>
        <w:ind w:right="120" w:firstLine="449"/>
        <w:spacing w:after="0" w:line="284" w:lineRule="auto"/>
        <w:rPr>
          <w:sz w:val="20"/>
          <w:szCs w:val="20"/>
          <w:color w:val="auto"/>
        </w:rPr>
      </w:pPr>
      <w:r>
        <w:rPr>
          <w:rFonts w:ascii="Times New Roman" w:cs="Times New Roman" w:eastAsia="Times New Roman" w:hAnsi="Times New Roman"/>
          <w:sz w:val="18"/>
          <w:szCs w:val="18"/>
          <w:color w:val="32406B"/>
        </w:rPr>
        <w:t>We are registered with the Trade Register of the Chamber of Commerce (</w:t>
      </w:r>
      <w:r>
        <w:rPr>
          <w:rFonts w:ascii="Times New Roman" w:cs="Times New Roman" w:eastAsia="Times New Roman" w:hAnsi="Times New Roman"/>
          <w:sz w:val="18"/>
          <w:szCs w:val="18"/>
          <w:i w:val="1"/>
          <w:iCs w:val="1"/>
          <w:color w:val="32406B"/>
        </w:rPr>
        <w:t>Kamer van Koophandel</w:t>
      </w:r>
      <w:r>
        <w:rPr>
          <w:rFonts w:ascii="Times New Roman" w:cs="Times New Roman" w:eastAsia="Times New Roman" w:hAnsi="Times New Roman"/>
          <w:sz w:val="18"/>
          <w:szCs w:val="18"/>
          <w:color w:val="32406B"/>
        </w:rPr>
        <w:t>) under number 64239411. Our corporate seat is in Leiden, the Netherlands, and our registered office is also in Leiden, the Netherlands.</w:t>
      </w:r>
    </w:p>
    <w:p>
      <w:pPr>
        <w:spacing w:after="0" w:line="160" w:lineRule="exact"/>
        <w:rPr>
          <w:sz w:val="20"/>
          <w:szCs w:val="20"/>
          <w:color w:val="auto"/>
        </w:rPr>
      </w:pPr>
    </w:p>
    <w:p>
      <w:pPr>
        <w:jc w:val="both"/>
        <w:ind w:right="680" w:firstLine="449"/>
        <w:spacing w:after="0" w:line="266" w:lineRule="auto"/>
        <w:rPr>
          <w:sz w:val="20"/>
          <w:szCs w:val="20"/>
          <w:color w:val="auto"/>
        </w:rPr>
      </w:pPr>
      <w:r>
        <w:rPr>
          <w:rFonts w:ascii="Times New Roman" w:cs="Times New Roman" w:eastAsia="Times New Roman" w:hAnsi="Times New Roman"/>
          <w:sz w:val="18"/>
          <w:szCs w:val="18"/>
          <w:color w:val="32406B"/>
        </w:rPr>
        <w:t>The following is a summary of material information relating to our share capital upon and following the consummation of this offering. The summaries of the Articles of Association as set forth in this prospectus are qualified in their entirety by reference to the full text of the Articles of Association included in this registration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Share Capital</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Upon the consummation of this offering, our authorized share capital will amount to €14,100,000, divided into 58,750,000 ordinary shares, each with a nominal value of €0.12, and 58,750,000 preferred shares, each with a nominal value of €0.12, and our issued share capital will amount to €3,820,773. Our ordinary shares have been approved for listing on the Nasdaq Global Select Market under the symbol “PHVS.”</w:t>
      </w:r>
    </w:p>
    <w:p>
      <w:pPr>
        <w:spacing w:after="0" w:line="176" w:lineRule="exact"/>
        <w:rPr>
          <w:sz w:val="20"/>
          <w:szCs w:val="20"/>
          <w:color w:val="auto"/>
        </w:rPr>
      </w:pPr>
    </w:p>
    <w:p>
      <w:pPr>
        <w:ind w:right="740" w:firstLine="449"/>
        <w:spacing w:after="0" w:line="282" w:lineRule="auto"/>
        <w:rPr>
          <w:sz w:val="20"/>
          <w:szCs w:val="20"/>
          <w:color w:val="auto"/>
        </w:rPr>
      </w:pPr>
      <w:r>
        <w:rPr>
          <w:rFonts w:ascii="Times New Roman" w:cs="Times New Roman" w:eastAsia="Times New Roman" w:hAnsi="Times New Roman"/>
          <w:sz w:val="18"/>
          <w:szCs w:val="18"/>
          <w:color w:val="32406B"/>
        </w:rPr>
        <w:t>Under Dutch law, our authorized share capital is the maximum capital that we may issue without amending our Articles of Association. An amendment of our Articles of Association would require a resolution of the general meeting upon proposal by the Board.</w:t>
      </w:r>
    </w:p>
    <w:p>
      <w:pPr>
        <w:spacing w:after="0" w:line="162"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32406B"/>
        </w:rPr>
        <w:t>Initial settlement of the ordinary shares issued in this offering will take place at the consummation of this offering through The Depository Trust Company, or DTC, in accordance with its customary settlement procedures for equity securities. Each person owning ordinary shares held through DTC must rely on the procedures thereof and on institutions that have accounts therewith to exercise any rights of a holder of the ordinary shares.</w:t>
      </w:r>
    </w:p>
    <w:p>
      <w:pPr>
        <w:spacing w:after="0" w:line="176"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Upon the consummation of this offering, our Articles of Association will provide that, for as long as any of our ordinary shares are admitted to trading on Nasdaq, the New York Stock Exchange or on any other regulated stock exchange operating in the United States, the laws of the State of New York shall apply to the property law aspects of the ordinary shares reflected in the register administered by our transfer agent, subject to certain overriding exceptions under the Dutch Civil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Articles of Association and Dutch law</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Set forth below is a summary of relevant information concerning our share capital and material provisions of our Articles of Association that will be effective upon the consummation of this offering and applicable Dutch law. This summary does not constitute legal advice regarding those matters and should not be regarded as such.</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Ordinary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following summarizes the main rights of holders of our ordinary shares:</w:t>
      </w:r>
    </w:p>
    <w:p>
      <w:pPr>
        <w:spacing w:after="0" w:line="131" w:lineRule="exact"/>
        <w:rPr>
          <w:sz w:val="20"/>
          <w:szCs w:val="20"/>
          <w:color w:val="auto"/>
        </w:rPr>
      </w:pPr>
    </w:p>
    <w:p>
      <w:pPr>
        <w:ind w:left="1000" w:right="740" w:hanging="547"/>
        <w:spacing w:after="0" w:line="282" w:lineRule="auto"/>
        <w:tabs>
          <w:tab w:leader="none" w:pos="1000" w:val="left"/>
        </w:tabs>
        <w:numPr>
          <w:ilvl w:val="0"/>
          <w:numId w:val="9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each holder of ordinary shares is entitled to one vote per share on all matters to be voted on by shareholders generally, including the appointment of directors;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there are no cumulative voting rights;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157</w:t>
      </w:r>
    </w:p>
    <w:p>
      <w:pPr>
        <w:sectPr>
          <w:pgSz w:w="11900" w:h="16838" w:orient="portrait"/>
          <w:cols w:equalWidth="0" w:num="1">
            <w:col w:w="11220"/>
          </w:cols>
          <w:pgMar w:left="320" w:top="455" w:right="3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66" w:lineRule="auto"/>
        <w:tabs>
          <w:tab w:leader="none" w:pos="1000" w:val="left"/>
        </w:tabs>
        <w:numPr>
          <w:ilvl w:val="0"/>
          <w:numId w:val="9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holders of our ordinary shares are entitled to dividends and other distributions as may be declared from time to time by us out of funds legally available for that purpose, if any, following payment of the preferred dividend if any preferred shares are or have been outstanding (to the extent holders or former holders of preferred shares are entitled to such distribution under our Articles of Association);</w:t>
      </w:r>
    </w:p>
    <w:p>
      <w:pPr>
        <w:spacing w:after="0" w:line="81" w:lineRule="exact"/>
        <w:rPr>
          <w:rFonts w:ascii="Times New Roman" w:cs="Times New Roman" w:eastAsia="Times New Roman" w:hAnsi="Times New Roman"/>
          <w:sz w:val="18"/>
          <w:szCs w:val="18"/>
          <w:color w:val="32406B"/>
        </w:rPr>
      </w:pPr>
    </w:p>
    <w:p>
      <w:pPr>
        <w:ind w:left="1000" w:right="20" w:hanging="547"/>
        <w:spacing w:after="0" w:line="261" w:lineRule="auto"/>
        <w:tabs>
          <w:tab w:leader="none" w:pos="1000" w:val="left"/>
        </w:tabs>
        <w:numPr>
          <w:ilvl w:val="0"/>
          <w:numId w:val="9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upon our liquidation, dissolution or winding-up, the holders of ordinary shares will be entitled to share ratably in the distribution of all of our assets remaining available for distribution after satisfaction of all our liabilities, following payment of the preferred dividend if any preferred shares are or have been outstanding (to the extent holders or former holders of preferred shares are entitled to such distribution under our Articles of Association); and</w:t>
      </w:r>
    </w:p>
    <w:p>
      <w:pPr>
        <w:spacing w:after="0" w:line="85" w:lineRule="exact"/>
        <w:rPr>
          <w:rFonts w:ascii="Times New Roman" w:cs="Times New Roman" w:eastAsia="Times New Roman" w:hAnsi="Times New Roman"/>
          <w:sz w:val="18"/>
          <w:szCs w:val="18"/>
          <w:color w:val="32406B"/>
        </w:rPr>
      </w:pPr>
    </w:p>
    <w:p>
      <w:pPr>
        <w:ind w:left="1000" w:right="120" w:hanging="547"/>
        <w:spacing w:after="0" w:line="266" w:lineRule="auto"/>
        <w:tabs>
          <w:tab w:leader="none" w:pos="1000" w:val="left"/>
        </w:tabs>
        <w:numPr>
          <w:ilvl w:val="0"/>
          <w:numId w:val="9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holders of ordinary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Company’s Shareholders’ Register</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We must keep our shareholders’ register accurate and current. The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in shares belonging to another or a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in respect of such shares. The ordinary shares offered in this offering will be held through DTC, therefore DTC or its nominee will be recorded in the shareholders’ register as the holder of those ordinary shares.</w:t>
      </w:r>
    </w:p>
    <w:p>
      <w:pPr>
        <w:spacing w:after="0" w:line="181" w:lineRule="exact"/>
        <w:rPr>
          <w:sz w:val="20"/>
          <w:szCs w:val="20"/>
          <w:color w:val="auto"/>
        </w:rPr>
      </w:pPr>
    </w:p>
    <w:p>
      <w:pPr>
        <w:ind w:right="360" w:firstLine="449"/>
        <w:spacing w:after="0" w:line="284" w:lineRule="auto"/>
        <w:rPr>
          <w:sz w:val="20"/>
          <w:szCs w:val="20"/>
          <w:color w:val="auto"/>
        </w:rPr>
      </w:pPr>
      <w:r>
        <w:rPr>
          <w:rFonts w:ascii="Times New Roman" w:cs="Times New Roman" w:eastAsia="Times New Roman" w:hAnsi="Times New Roman"/>
          <w:sz w:val="18"/>
          <w:szCs w:val="18"/>
          <w:color w:val="32406B"/>
        </w:rPr>
        <w:t>Our ordinary shares and preferred shares shall be in registered form (</w:t>
      </w:r>
      <w:r>
        <w:rPr>
          <w:rFonts w:ascii="Times New Roman" w:cs="Times New Roman" w:eastAsia="Times New Roman" w:hAnsi="Times New Roman"/>
          <w:sz w:val="18"/>
          <w:szCs w:val="18"/>
          <w:i w:val="1"/>
          <w:iCs w:val="1"/>
          <w:color w:val="32406B"/>
        </w:rPr>
        <w:t>op naam</w:t>
      </w:r>
      <w:r>
        <w:rPr>
          <w:rFonts w:ascii="Times New Roman" w:cs="Times New Roman" w:eastAsia="Times New Roman" w:hAnsi="Times New Roman"/>
          <w:sz w:val="18"/>
          <w:szCs w:val="18"/>
          <w:color w:val="32406B"/>
        </w:rPr>
        <w:t>). We may issue share certificates (</w:t>
      </w:r>
      <w:r>
        <w:rPr>
          <w:rFonts w:ascii="Times New Roman" w:cs="Times New Roman" w:eastAsia="Times New Roman" w:hAnsi="Times New Roman"/>
          <w:sz w:val="18"/>
          <w:szCs w:val="18"/>
          <w:i w:val="1"/>
          <w:iCs w:val="1"/>
          <w:color w:val="32406B"/>
        </w:rPr>
        <w:t>aandeelbewijzen</w:t>
      </w:r>
      <w:r>
        <w:rPr>
          <w:rFonts w:ascii="Times New Roman" w:cs="Times New Roman" w:eastAsia="Times New Roman" w:hAnsi="Times New Roman"/>
          <w:sz w:val="18"/>
          <w:szCs w:val="18"/>
          <w:color w:val="32406B"/>
        </w:rPr>
        <w:t>) for registered shares in such form as may be approved by our Board.</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Corporate Objectives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Pursuant to the Articles of Association, our main corporate objectives are:</w:t>
      </w:r>
    </w:p>
    <w:p>
      <w:pPr>
        <w:spacing w:after="0" w:line="131" w:lineRule="exact"/>
        <w:rPr>
          <w:sz w:val="20"/>
          <w:szCs w:val="20"/>
          <w:color w:val="auto"/>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discover, develop and commercialize treatments, including for hereditary angioedema;</w:t>
      </w:r>
    </w:p>
    <w:p>
      <w:pPr>
        <w:spacing w:after="0" w:line="130" w:lineRule="exact"/>
        <w:rPr>
          <w:rFonts w:ascii="Times New Roman" w:cs="Times New Roman" w:eastAsia="Times New Roman" w:hAnsi="Times New Roman"/>
          <w:sz w:val="18"/>
          <w:szCs w:val="18"/>
          <w:color w:val="32406B"/>
        </w:rPr>
      </w:pPr>
    </w:p>
    <w:p>
      <w:pPr>
        <w:ind w:left="1000" w:right="100" w:hanging="547"/>
        <w:spacing w:after="0" w:line="266" w:lineRule="auto"/>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engage, in any way whatsoever, in trading activities (retail and wholesale), the import, export, purchase, sale and distribution of products, including, but not limited to, pharmaceutical products, and other related (raw material) products and to render operational and supporting services to its group companies in connection herewith;</w:t>
      </w:r>
    </w:p>
    <w:p>
      <w:pPr>
        <w:spacing w:after="0" w:line="81"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develop and trade in patents, trademarks, licenses, knowhow, copyrights, data base rights and other intellectual property rights;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participate in, finance or hold any other interest in, or to conduct the management of, other legal entities, partnerships or enterprises;</w:t>
      </w:r>
    </w:p>
    <w:p>
      <w:pPr>
        <w:spacing w:after="0" w:line="130"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furnish guarantees, to provide security, to warrant performance in any other way and to assume liability, whether jointly and severally or otherwise, in respect of obligations of group companies or other parties;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do anything which, in the widest sense, is connected with or may be conducive to the objects described above.</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Limitations on the Rights to Own Ordinary Shares</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Our ordinary shares may be issued to individuals, corporations, trusts, estates of deceased individuals, partnerships and unincorporated associations of persons. Our Articles of Association contain no limitation on the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158</w:t>
      </w:r>
    </w:p>
    <w:p>
      <w:pPr>
        <w:sectPr>
          <w:pgSz w:w="11900" w:h="16838" w:orient="portrait"/>
          <w:cols w:equalWidth="0" w:num="1">
            <w:col w:w="11180"/>
          </w:cols>
          <w:pgMar w:left="320" w:top="455" w:right="39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rights to own our ordinary shares and no limitation on the rights of nonresidents of the Netherlands or foreign shareholders to hold or exercise voting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Following the consummation of this offering, our preferred shares shall only be issued to the protective foundation, if and when incorporated.</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Limitation on Liability and Indemnification Matters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Under Dutch law,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directors (and other current and former officers and employees as designated by our Board). No indemnification shall be given to an indemnified person:</w:t>
      </w:r>
    </w:p>
    <w:p>
      <w:pPr>
        <w:spacing w:after="0" w:line="89" w:lineRule="exact"/>
        <w:rPr>
          <w:sz w:val="20"/>
          <w:szCs w:val="20"/>
          <w:color w:val="auto"/>
        </w:rPr>
      </w:pPr>
    </w:p>
    <w:p>
      <w:pPr>
        <w:ind w:left="1000" w:right="60" w:hanging="547"/>
        <w:spacing w:after="0" w:line="261" w:lineRule="auto"/>
        <w:tabs>
          <w:tab w:leader="none" w:pos="1000" w:val="left"/>
        </w:tabs>
        <w:numPr>
          <w:ilvl w:val="0"/>
          <w:numId w:val="9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85" w:lineRule="exact"/>
        <w:rPr>
          <w:rFonts w:ascii="Times New Roman" w:cs="Times New Roman" w:eastAsia="Times New Roman" w:hAnsi="Times New Roman"/>
          <w:sz w:val="18"/>
          <w:szCs w:val="18"/>
          <w:color w:val="32406B"/>
        </w:rPr>
      </w:pPr>
    </w:p>
    <w:p>
      <w:pPr>
        <w:ind w:left="1000" w:right="300" w:hanging="547"/>
        <w:spacing w:after="0" w:line="282" w:lineRule="auto"/>
        <w:tabs>
          <w:tab w:leader="none" w:pos="1000" w:val="left"/>
        </w:tabs>
        <w:numPr>
          <w:ilvl w:val="0"/>
          <w:numId w:val="9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7" w:lineRule="exact"/>
        <w:rPr>
          <w:rFonts w:ascii="Times New Roman" w:cs="Times New Roman" w:eastAsia="Times New Roman" w:hAnsi="Times New Roman"/>
          <w:sz w:val="18"/>
          <w:szCs w:val="18"/>
          <w:color w:val="32406B"/>
        </w:rPr>
      </w:pPr>
    </w:p>
    <w:p>
      <w:pPr>
        <w:ind w:left="1000" w:right="260" w:hanging="547"/>
        <w:spacing w:after="0" w:line="261" w:lineRule="auto"/>
        <w:tabs>
          <w:tab w:leader="none" w:pos="1000" w:val="left"/>
        </w:tabs>
        <w:numPr>
          <w:ilvl w:val="0"/>
          <w:numId w:val="9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relation to proceedings brought by such indemnified person against the Company, except for proceedings brought to enforce indemnification to which 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85" w:lineRule="exact"/>
        <w:rPr>
          <w:rFonts w:ascii="Times New Roman" w:cs="Times New Roman" w:eastAsia="Times New Roman" w:hAnsi="Times New Roman"/>
          <w:sz w:val="18"/>
          <w:szCs w:val="18"/>
          <w:color w:val="32406B"/>
        </w:rPr>
      </w:pPr>
    </w:p>
    <w:p>
      <w:pPr>
        <w:ind w:left="1000" w:right="260" w:hanging="547"/>
        <w:spacing w:after="0" w:line="282" w:lineRule="auto"/>
        <w:tabs>
          <w:tab w:leader="none" w:pos="1000" w:val="left"/>
        </w:tabs>
        <w:numPr>
          <w:ilvl w:val="0"/>
          <w:numId w:val="9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for any financial losses, damages or expenses incurred in connection with a settlement of any proceedings effected without the Company’s prior consent.</w:t>
      </w:r>
    </w:p>
    <w:p>
      <w:pPr>
        <w:spacing w:after="0" w:line="162"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Under our Articles of Association, our Board may stipulate additional terms, conditions and restrictions in relation to the indemnification described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Shareholders’ Meetings and Consents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General meeting</w:t>
      </w:r>
    </w:p>
    <w:p>
      <w:pPr>
        <w:spacing w:after="0" w:line="119"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General meetings may be held in Amsterdam, Arnhem, Assen, The Hague, Haarlem, s-Hertogenbosch, Groningen, Leeuwarden, Lelystad, Leiden,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equity has decreased to an amount equal to or lower than half of its paid-up and called-up share capital, in order to discuss the measures to be taken if so required.</w:t>
      </w:r>
    </w:p>
    <w:p>
      <w:pPr>
        <w:spacing w:after="0" w:line="18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Pursuant to Dutch law, one or more shareholders or others with meeting rights under Dutch law who jointly represent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Board to convene a general meeting and our Board has not taken the necessary steps so that the general meeting could be held within six weeks after the request.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159</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General meetings can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Board, including the filling of any vacancies in the Board. In addition, the agenda shall include such items as have been included therein by the Board. The agenda shall also include such items requested by one or more shareholders, or others with meeting rights under Dutch law, representing at least 3% of the issued share capital. Requests must be made in writing or by electronic means and received by the Board at least 60 days before the day of the meeting. No resolutions shall be adopted on items other than those that have been included in the agenda.</w:t>
      </w:r>
    </w:p>
    <w:p>
      <w:pPr>
        <w:spacing w:after="0" w:line="19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 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9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8"/>
          <w:szCs w:val="18"/>
          <w:color w:val="32406B"/>
        </w:rPr>
        <w:t>The general meeting is presided over by the chairman of the Board. If no chairman has been elected or if he or she is not present at the meeting, the general meeting shall be presided over by the vice-Chairman. If no vice-Chairman has been elected or if he or she is not present at the meeting, the general meeting shall be presided over by the chief executive officer. If no chief executive officer has been elected or if he or she is not present at the meeting, the general meeting shall be presided over by another director present at the meeting. If no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Directors may always attend a general meeting. In these meetings, they have an advisory vote. The chairman of the meeting may decide at his or her discretion to admit other persons to the meeting.</w:t>
      </w:r>
    </w:p>
    <w:p>
      <w:pPr>
        <w:spacing w:after="0" w:line="189" w:lineRule="exact"/>
        <w:rPr>
          <w:sz w:val="20"/>
          <w:szCs w:val="20"/>
          <w:color w:val="auto"/>
        </w:rPr>
      </w:pPr>
    </w:p>
    <w:p>
      <w:pPr>
        <w:ind w:firstLine="449"/>
        <w:spacing w:after="0" w:line="277" w:lineRule="auto"/>
        <w:rPr>
          <w:sz w:val="20"/>
          <w:szCs w:val="20"/>
          <w:color w:val="auto"/>
        </w:rPr>
      </w:pPr>
      <w:r>
        <w:rPr>
          <w:rFonts w:ascii="Times New Roman" w:cs="Times New Roman" w:eastAsia="Times New Roman" w:hAnsi="Times New Roman"/>
          <w:sz w:val="17"/>
          <w:szCs w:val="17"/>
          <w:color w:val="32406B"/>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2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Quorum and voting requirements</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Each ordinary share and each preferred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160</w:t>
      </w:r>
    </w:p>
    <w:p>
      <w:pPr>
        <w:sectPr>
          <w:pgSz w:w="11900" w:h="16838" w:orient="portrait"/>
          <w:cols w:equalWidth="0" w:num="1">
            <w:col w:w="11200"/>
          </w:cols>
          <w:pgMar w:left="320" w:top="455" w:right="3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32406B"/>
        </w:rPr>
        <w:t>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and the holders of a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or the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or a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4"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32406B"/>
        </w:rPr>
        <w:t>Decisions of the general meeting are taken by a simple majority of votes cast, except where Dutch law or our Articles of Association provide for a qualified majority or unanimity.</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Board</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Appointment of directors</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0"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32406B"/>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Duties and liabilities of directors</w:t>
      </w:r>
    </w:p>
    <w:p>
      <w:pPr>
        <w:spacing w:after="0" w:line="119" w:lineRule="exact"/>
        <w:rPr>
          <w:sz w:val="20"/>
          <w:szCs w:val="20"/>
          <w:color w:val="auto"/>
        </w:rPr>
      </w:pPr>
    </w:p>
    <w:p>
      <w:pPr>
        <w:ind w:right="160" w:firstLine="449"/>
        <w:spacing w:after="0" w:line="254" w:lineRule="auto"/>
        <w:rPr>
          <w:sz w:val="20"/>
          <w:szCs w:val="20"/>
          <w:color w:val="auto"/>
        </w:rPr>
      </w:pPr>
      <w:r>
        <w:rPr>
          <w:rFonts w:ascii="Times New Roman" w:cs="Times New Roman" w:eastAsia="Times New Roman" w:hAnsi="Times New Roman"/>
          <w:sz w:val="18"/>
          <w:szCs w:val="18"/>
          <w:color w:val="32406B"/>
        </w:rPr>
        <w:t>Under Dutch law, the Board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Dividends and Other Distributions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Amount available for distribution</w:t>
      </w:r>
    </w:p>
    <w:p>
      <w:pPr>
        <w:spacing w:after="0" w:line="117"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color w:val="32406B"/>
        </w:rPr>
        <w:t>We may only make distributions, whether of profits or from our reserves, to our shareholders to the extent our shareholders’ equity (</w:t>
      </w:r>
      <w:r>
        <w:rPr>
          <w:rFonts w:ascii="Times New Roman" w:cs="Times New Roman" w:eastAsia="Times New Roman" w:hAnsi="Times New Roman"/>
          <w:sz w:val="18"/>
          <w:szCs w:val="18"/>
          <w:i w:val="1"/>
          <w:iCs w:val="1"/>
          <w:color w:val="32406B"/>
        </w:rPr>
        <w:t>eigen vermogen</w:t>
      </w:r>
      <w:r>
        <w:rPr>
          <w:rFonts w:ascii="Times New Roman" w:cs="Times New Roman" w:eastAsia="Times New Roman" w:hAnsi="Times New Roman"/>
          <w:sz w:val="18"/>
          <w:szCs w:val="18"/>
          <w:color w:val="32406B"/>
        </w:rPr>
        <w:t>) exceeds the sum of the paid-up and called-up share capital plus any reserves required by Dutch law or by our Articles of Association. Under our Articles of Association, if any preferred shares are or have been outstanding, the preferred dividend is first paid out of the profit, if available for distribution, to the holders or former holders, as applicable, of those preferred shares to the extent they are entitled to such distribution under our Articles of Association. Our Board may decide that all or part of our remaining profits are carried to reserves. After such reservation, any remaining profit will be at the disposal of the general meeting at the proposal of our Board for distribution on our ordinary shares, subject to the applicable restrictions of Dutch law.</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161</w:t>
      </w:r>
    </w:p>
    <w:p>
      <w:pPr>
        <w:sectPr>
          <w:pgSz w:w="11900" w:h="16838" w:orient="portrait"/>
          <w:cols w:equalWidth="0" w:num="1">
            <w:col w:w="11200"/>
          </w:cols>
          <w:pgMar w:left="320" w:top="455" w:right="37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We only make a distribution of dividends to our shareholders after the adoption of our annual accounts demonstrating that such distribution is legally permitted. The Board is permitted, subject to certain requirements, to declare interim dividends without the approval of the general meeting.</w:t>
      </w:r>
    </w:p>
    <w:p>
      <w:pPr>
        <w:spacing w:after="0" w:line="162"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32406B"/>
        </w:rPr>
        <w:t>Dividends and other distributions shall be made payable not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32406B"/>
        </w:rPr>
        <w:t>verjaring</w:t>
      </w:r>
      <w:r>
        <w:rPr>
          <w:rFonts w:ascii="Times New Roman" w:cs="Times New Roman" w:eastAsia="Times New Roman" w:hAnsi="Times New Roman"/>
          <w:sz w:val="18"/>
          <w:szCs w:val="18"/>
          <w:color w:val="32406B"/>
        </w:rPr>
        <w:t>).</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Exchange controls</w:t>
      </w:r>
    </w:p>
    <w:p>
      <w:pPr>
        <w:spacing w:after="0" w:line="119" w:lineRule="exact"/>
        <w:rPr>
          <w:sz w:val="20"/>
          <w:szCs w:val="20"/>
          <w:color w:val="auto"/>
        </w:rPr>
      </w:pPr>
    </w:p>
    <w:p>
      <w:pPr>
        <w:jc w:val="both"/>
        <w:ind w:right="160" w:firstLine="449"/>
        <w:spacing w:after="0" w:line="258" w:lineRule="auto"/>
        <w:rPr>
          <w:sz w:val="20"/>
          <w:szCs w:val="20"/>
          <w:color w:val="auto"/>
        </w:rPr>
      </w:pPr>
      <w:r>
        <w:rPr>
          <w:rFonts w:ascii="Times New Roman" w:cs="Times New Roman" w:eastAsia="Times New Roman" w:hAnsi="Times New Roman"/>
          <w:sz w:val="18"/>
          <w:szCs w:val="18"/>
          <w:color w:val="32406B"/>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Times New Roman" w:cs="Times New Roman" w:eastAsia="Times New Roman" w:hAnsi="Times New Roman"/>
          <w:sz w:val="18"/>
          <w:szCs w:val="18"/>
          <w:i w:val="1"/>
          <w:iCs w:val="1"/>
          <w:color w:val="32406B"/>
        </w:rPr>
        <w:t>Sanctiewet 1977</w:t>
      </w:r>
      <w:r>
        <w:rPr>
          <w:rFonts w:ascii="Times New Roman" w:cs="Times New Roman" w:eastAsia="Times New Roman" w:hAnsi="Times New Roman"/>
          <w:sz w:val="18"/>
          <w:szCs w:val="18"/>
          <w:color w:val="32406B"/>
        </w:rPr>
        <w:t>) or other legislation, applicable anti-boycott regulations and similar rules. There are no special restrictions in the Articles of Association or Dutch law that limit the right of shareholders who are not citizens or residents of the Netherlands to hold or vote shares.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Squeeze-out procedures</w:t>
      </w:r>
    </w:p>
    <w:p>
      <w:pPr>
        <w:spacing w:after="0" w:line="119"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8"/>
          <w:szCs w:val="18"/>
          <w:color w:val="32406B"/>
        </w:rPr>
        <w:t>A shareholder who alone or together with group companies holds at least 95% of our issued share capital for his or her own account may initiate proceedings against the other shareholders jointly for the transfer of their shares to such shareholder. The proceedings are held before the Enterprise Chamber of the Amsterdam Court of Appeal, or the Enterprise Chamber (</w:t>
      </w:r>
      <w:r>
        <w:rPr>
          <w:rFonts w:ascii="Times New Roman" w:cs="Times New Roman" w:eastAsia="Times New Roman" w:hAnsi="Times New Roman"/>
          <w:sz w:val="18"/>
          <w:szCs w:val="18"/>
          <w:i w:val="1"/>
          <w:iCs w:val="1"/>
          <w:color w:val="32406B"/>
        </w:rPr>
        <w:t>Ondernemingskamer</w:t>
      </w:r>
      <w:r>
        <w:rPr>
          <w:rFonts w:ascii="Times New Roman" w:cs="Times New Roman" w:eastAsia="Times New Roman" w:hAnsi="Times New Roman"/>
          <w:sz w:val="18"/>
          <w:szCs w:val="18"/>
          <w:color w:val="32406B"/>
        </w:rPr>
        <w:t>), and can be instituted by means of a writ of summons served upon each of the other shareholders in accordance with the provisions of the Dutch Code of Civil Procedure (</w:t>
      </w:r>
      <w:r>
        <w:rPr>
          <w:rFonts w:ascii="Times New Roman" w:cs="Times New Roman" w:eastAsia="Times New Roman" w:hAnsi="Times New Roman"/>
          <w:sz w:val="18"/>
          <w:szCs w:val="18"/>
          <w:i w:val="1"/>
          <w:iCs w:val="1"/>
          <w:color w:val="32406B"/>
        </w:rPr>
        <w:t>Wetboek van Burgerlijke</w:t>
      </w:r>
      <w:r>
        <w:rPr>
          <w:rFonts w:ascii="Times New Roman" w:cs="Times New Roman" w:eastAsia="Times New Roman" w:hAnsi="Times New Roman"/>
          <w:sz w:val="18"/>
          <w:szCs w:val="18"/>
          <w:color w:val="32406B"/>
        </w:rPr>
        <w:t xml:space="preserve"> </w:t>
      </w:r>
      <w:r>
        <w:rPr>
          <w:rFonts w:ascii="Times New Roman" w:cs="Times New Roman" w:eastAsia="Times New Roman" w:hAnsi="Times New Roman"/>
          <w:sz w:val="18"/>
          <w:szCs w:val="18"/>
          <w:i w:val="1"/>
          <w:iCs w:val="1"/>
          <w:color w:val="32406B"/>
        </w:rPr>
        <w:t>Rechtsvordering</w:t>
      </w:r>
      <w:r>
        <w:rPr>
          <w:rFonts w:ascii="Times New Roman" w:cs="Times New Roman" w:eastAsia="Times New Roman" w:hAnsi="Times New Roman"/>
          <w:sz w:val="18"/>
          <w:szCs w:val="18"/>
          <w:color w:val="32406B"/>
        </w:rPr>
        <w:t>). The Enterprise Chamber may grant the claim for squeeze-out in relation to the other shareholders and will determine the price to be paid</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Dissolution and Liquidation</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debts, if any preferred shares are or have been outstanding, a liquidation distribution equal to the preferred dividend is first paid out to the holders or former holders of those preferred shares (to the extent they are entitled to such distribution under our Articles of Association). Any remaining assets shall be distributed to the holders of ordinary shares in proportion to their ordinary shares.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Exclusive Forum</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Our Articles of Association provide that the U.S. federal district courts shall be the sole and exclusive forum for any claim asserting a cause of action arising under the Securities Act. Section 22 of the Securities Act creates concurrent jurisdiction for federal and state courts over all such Securities Act actions. Accordingly, both state and federal courts have jurisdiction to entertain such claims. This choice of forum provision may limit a</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162</w:t>
      </w:r>
    </w:p>
    <w:p>
      <w:pPr>
        <w:sectPr>
          <w:pgSz w:w="11900" w:h="16838" w:orient="portrait"/>
          <w:cols w:equalWidth="0" w:num="1">
            <w:col w:w="11200"/>
          </w:cols>
          <w:pgMar w:left="320" w:top="455" w:right="3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32406B"/>
        </w:rPr>
        <w:t>shareholder’s ability to bring a claim in a judicial forum that it finds favorable for disputes with us or our directors, officers or other employees and may increase the costs associated with such lawsuits, which may discourage such lawsuits against us and our directors, officers and employees. Alternatively, if a court were to find these provisions of our Articles of Association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our share capital shall be deemed to have notice of and to have consented to the choice of forum provisions of our articles of association described above.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Dutch Corporate Governance Code</w:t>
      </w:r>
    </w:p>
    <w:p>
      <w:pPr>
        <w:spacing w:after="0" w:line="119"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32406B"/>
        </w:rPr>
        <w:t>As a listed Dutch public company (</w:t>
      </w:r>
      <w:r>
        <w:rPr>
          <w:rFonts w:ascii="Times New Roman" w:cs="Times New Roman" w:eastAsia="Times New Roman" w:hAnsi="Times New Roman"/>
          <w:sz w:val="18"/>
          <w:szCs w:val="18"/>
          <w:i w:val="1"/>
          <w:iCs w:val="1"/>
          <w:color w:val="32406B"/>
        </w:rPr>
        <w:t>naamloze vennootschap</w:t>
      </w:r>
      <w:r>
        <w:rPr>
          <w:rFonts w:ascii="Times New Roman" w:cs="Times New Roman" w:eastAsia="Times New Roman" w:hAnsi="Times New Roman"/>
          <w:sz w:val="18"/>
          <w:szCs w:val="18"/>
          <w:color w:val="32406B"/>
        </w:rPr>
        <w:t>), we will be subject to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“Risk Factors—Risks Related to Our Ordinary Shares and This Offering—We are not obligated to, and do not, comply with all best practice provisions of the Dutch Corporate Governance Code.”</w:t>
      </w:r>
    </w:p>
    <w:p>
      <w:pPr>
        <w:spacing w:after="0" w:line="185"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32406B"/>
        </w:rPr>
        <w:t>We do not comply with all principles and best practice provisions of the DCGC. As of the date of this prospectus, we deviate from the DCGC as summarized below, but cannot exclude the possibility of deviating from additional provisions of the DCGC, including after the date hereof in order to follow market practice or governance practices in the United States.</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will provide that the general meeting can only pass such resolution by a two-thirds majority representing more than half of the issued share capital. However, the DCGC recommends that the general meeting can pass such a resolution by simple majority, representing no more than one-third of the issued share capital.</w:t>
      </w:r>
    </w:p>
    <w:p>
      <w:pPr>
        <w:spacing w:after="0" w:line="183"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Under our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80"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The DCGC recommends against providing equity awards as part of the compensation of a non-executive director. However, we expect to deviate from this recommendation and grant equity awards to our non-executive directors, consistent with U.S. market practice.</w:t>
      </w:r>
    </w:p>
    <w:p>
      <w:pPr>
        <w:spacing w:after="0" w:line="162"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32406B"/>
        </w:rPr>
        <w:t>Our Equity Incentive Plan allows us to set the terms and conditions of equity awards granted thereunder. Under the Equity Incentive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32406B"/>
        </w:rPr>
        <w:t>163</w:t>
      </w:r>
    </w:p>
    <w:p>
      <w:pPr>
        <w:sectPr>
          <w:pgSz w:w="11900" w:h="16838" w:orient="portrait"/>
          <w:cols w:equalWidth="0" w:num="1">
            <w:col w:w="11180"/>
          </w:cols>
          <w:pgMar w:left="320" w:top="455" w:right="39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Dutch Financial Reporting Supervision Act</w:t>
      </w:r>
    </w:p>
    <w:p>
      <w:pPr>
        <w:spacing w:after="0" w:line="119" w:lineRule="exact"/>
        <w:rPr>
          <w:sz w:val="20"/>
          <w:szCs w:val="20"/>
          <w:color w:val="auto"/>
        </w:rPr>
      </w:pPr>
    </w:p>
    <w:p>
      <w:pPr>
        <w:ind w:firstLine="449"/>
        <w:spacing w:after="0" w:line="267" w:lineRule="auto"/>
        <w:rPr>
          <w:sz w:val="20"/>
          <w:szCs w:val="20"/>
          <w:color w:val="auto"/>
        </w:rPr>
      </w:pPr>
      <w:r>
        <w:rPr>
          <w:rFonts w:ascii="Times New Roman" w:cs="Times New Roman" w:eastAsia="Times New Roman" w:hAnsi="Times New Roman"/>
          <w:sz w:val="18"/>
          <w:szCs w:val="18"/>
          <w:color w:val="32406B"/>
        </w:rPr>
        <w:t>On the basis of the Dutch Financial Reporting Supervision Act (</w:t>
      </w:r>
      <w:r>
        <w:rPr>
          <w:rFonts w:ascii="Times New Roman" w:cs="Times New Roman" w:eastAsia="Times New Roman" w:hAnsi="Times New Roman"/>
          <w:sz w:val="18"/>
          <w:szCs w:val="18"/>
          <w:i w:val="1"/>
          <w:iCs w:val="1"/>
          <w:color w:val="32406B"/>
        </w:rPr>
        <w:t>Wet toezicht financiële verslaggeving</w:t>
      </w:r>
      <w:r>
        <w:rPr>
          <w:rFonts w:ascii="Times New Roman" w:cs="Times New Roman" w:eastAsia="Times New Roman" w:hAnsi="Times New Roman"/>
          <w:sz w:val="18"/>
          <w:szCs w:val="18"/>
          <w:color w:val="32406B"/>
        </w:rPr>
        <w:t>), or the FRSA, the Dutch Authority for the Financial Markets (</w:t>
      </w:r>
      <w:r>
        <w:rPr>
          <w:rFonts w:ascii="Times New Roman" w:cs="Times New Roman" w:eastAsia="Times New Roman" w:hAnsi="Times New Roman"/>
          <w:sz w:val="18"/>
          <w:szCs w:val="18"/>
          <w:i w:val="1"/>
          <w:iCs w:val="1"/>
          <w:color w:val="32406B"/>
        </w:rPr>
        <w:t>Stichting Autoriteit Financiële Markten</w:t>
      </w:r>
      <w:r>
        <w:rPr>
          <w:rFonts w:ascii="Times New Roman" w:cs="Times New Roman" w:eastAsia="Times New Roman" w:hAnsi="Times New Roman"/>
          <w:sz w:val="18"/>
          <w:szCs w:val="18"/>
          <w:color w:val="32406B"/>
        </w:rPr>
        <w:t>), or AFM supervises the application of financial reporting standards by Dutch companies whose securities are listed on a Dutch or foreign stock exchange.</w:t>
      </w:r>
    </w:p>
    <w:p>
      <w:pPr>
        <w:spacing w:after="0" w:line="175"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32406B"/>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 (ii) recommend to us the making available of further explanations. If we do not comply with such a request or recommendation, the AFM may request that the Enterprise Chamber of the Amsterdam Court of Appeal (</w:t>
      </w:r>
      <w:r>
        <w:rPr>
          <w:rFonts w:ascii="Times New Roman" w:cs="Times New Roman" w:eastAsia="Times New Roman" w:hAnsi="Times New Roman"/>
          <w:sz w:val="18"/>
          <w:szCs w:val="18"/>
          <w:i w:val="1"/>
          <w:iCs w:val="1"/>
          <w:color w:val="32406B"/>
        </w:rPr>
        <w:t>Ondernemingskamer</w:t>
      </w:r>
      <w:r>
        <w:rPr>
          <w:rFonts w:ascii="Times New Roman" w:cs="Times New Roman" w:eastAsia="Times New Roman" w:hAnsi="Times New Roman"/>
          <w:sz w:val="18"/>
          <w:szCs w:val="18"/>
          <w:color w:val="32406B"/>
        </w:rPr>
        <w:t>)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Comparison of Dutch Corporate Law and U.S. Corporate Law</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Corporate Governance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Duties of directors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We have a one-tier board structure consisting of one or more executive directors and one or more non-executive directors.</w:t>
      </w:r>
    </w:p>
    <w:p>
      <w:pPr>
        <w:spacing w:after="0" w:line="227" w:lineRule="exact"/>
        <w:rPr>
          <w:sz w:val="20"/>
          <w:szCs w:val="20"/>
          <w:color w:val="auto"/>
        </w:rPr>
      </w:pPr>
    </w:p>
    <w:p>
      <w:pPr>
        <w:ind w:firstLine="449"/>
        <w:spacing w:after="0" w:line="272" w:lineRule="auto"/>
        <w:rPr>
          <w:sz w:val="20"/>
          <w:szCs w:val="20"/>
          <w:color w:val="auto"/>
        </w:rPr>
      </w:pPr>
      <w:r>
        <w:rPr>
          <w:rFonts w:ascii="Times New Roman" w:cs="Times New Roman" w:eastAsia="Times New Roman" w:hAnsi="Times New Roman"/>
          <w:sz w:val="17"/>
          <w:szCs w:val="17"/>
          <w:color w:val="32406B"/>
        </w:rPr>
        <w:t>Under Dutch law, the board of directors as a collective is responsible for our management, strategy, policy and operations. The executive directors manage our day-to-day business and operations and implement our strategy. The non-executive directors supervise the performance of the duties of our directors, our policy and our general course of affairs. Subject to certain limitations under Dutch law, the directors may divide their tasks among themselves in or pursuant to the internal rules applicable to the board of directors.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of directors regarding a material change in our identity or character requires approval of the general meeting.</w:t>
      </w:r>
    </w:p>
    <w:p>
      <w:pPr>
        <w:spacing w:after="0" w:line="170"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The board of directors bears the ultimate responsibility for managing the business and affairs of a corporation. In discharging this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164</w:t>
      </w:r>
    </w:p>
    <w:p>
      <w:pPr>
        <w:sectPr>
          <w:pgSz w:w="11900" w:h="16838" w:orient="portrait"/>
          <w:cols w:equalWidth="0" w:num="1">
            <w:col w:w="11220"/>
          </w:cols>
          <w:pgMar w:left="320" w:top="455" w:right="3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Director terms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The DCGC provides the following best practice recommendations on the terms for directors’ service:</w:t>
      </w:r>
    </w:p>
    <w:p>
      <w:pPr>
        <w:spacing w:after="0" w:line="133" w:lineRule="exact"/>
        <w:rPr>
          <w:sz w:val="20"/>
          <w:szCs w:val="20"/>
          <w:color w:val="auto"/>
        </w:rPr>
      </w:pPr>
    </w:p>
    <w:p>
      <w:pPr>
        <w:ind w:left="1000" w:right="340" w:hanging="547"/>
        <w:spacing w:after="0" w:line="282" w:lineRule="auto"/>
        <w:tabs>
          <w:tab w:leader="none" w:pos="1000" w:val="left"/>
        </w:tabs>
        <w:numPr>
          <w:ilvl w:val="0"/>
          <w:numId w:val="9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Executive directors should be appointed for a maximum period of four years, without limiting the number of consecutive terms executive directors may serve.</w:t>
      </w:r>
    </w:p>
    <w:p>
      <w:pPr>
        <w:spacing w:after="0" w:line="67" w:lineRule="exact"/>
        <w:rPr>
          <w:rFonts w:ascii="Times New Roman" w:cs="Times New Roman" w:eastAsia="Times New Roman" w:hAnsi="Times New Roman"/>
          <w:sz w:val="18"/>
          <w:szCs w:val="18"/>
          <w:color w:val="32406B"/>
        </w:rPr>
      </w:pPr>
    </w:p>
    <w:p>
      <w:pPr>
        <w:ind w:left="1000" w:right="40" w:hanging="547"/>
        <w:spacing w:after="0" w:line="266" w:lineRule="auto"/>
        <w:tabs>
          <w:tab w:leader="none" w:pos="1000" w:val="left"/>
        </w:tabs>
        <w:numPr>
          <w:ilvl w:val="0"/>
          <w:numId w:val="9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Non-executive directors should be appointed for two consecutive periods of no more than four years. Thereafter, non-executive directors may be reappointed for a maximum of two consecutive periods of no more than two years, provided that in the event of reappointment after an eight-year term of office the reasons for such reappointment should be disclosed in the Company’s statutory annual Board report.</w:t>
      </w:r>
    </w:p>
    <w:p>
      <w:pPr>
        <w:spacing w:after="0" w:line="17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 general meeting shall at all times be entitled to suspend or remove a director. Under our Articles of Association, the general meeting may only adopt a resolution to suspend or remove such director by at least a two-thirds majority of the votes cast, provided such majority represents more than half of the issued share capital, unless the resolution is passed at the proposal of the board of directors, in which case a simple majority of the votes cast is sufficient.</w:t>
      </w:r>
    </w:p>
    <w:p>
      <w:pPr>
        <w:spacing w:after="0" w:line="178"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The Delaware General Corporation Law generally provides for a one-year term for directors, but permits directorships to be divided into</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Director vacancies</w:t>
      </w:r>
    </w:p>
    <w:p>
      <w:pPr>
        <w:spacing w:after="0" w:line="117"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Our Board can temporarily fill vacancies in its midst caused by temporary absence or incapacity of directors without requiring a</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shareholder vote. If all of our directors are absent or incapacitated, our management shall be attributed to the person who most recently ceased to hold office as the chairman of our Board. If such former chairman would be unwilling or unable to accept that position, our management would be attributed to the person who most recently ceased to hold office as our chief executive officer. If such former chief executive officer would also be unwilling or unable to accept that position, our management would be attributed to one or more persons whom the general meeting would designate for that purpose. The person(s) charged with our management in this manner, may designate one or more persons to be charged with our management instead of, or together with, such person(s).</w:t>
      </w:r>
    </w:p>
    <w:p>
      <w:pPr>
        <w:spacing w:after="0" w:line="185"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Under Dutch law, directors are appointed and reappointed by the general meeting, on a recommendation of our nomination and corporate governance committee. Under our Articles of Association, directors are appointed by the general meeting upon the binding nomination by our Board.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81" w:lineRule="exact"/>
        <w:rPr>
          <w:sz w:val="20"/>
          <w:szCs w:val="20"/>
          <w:color w:val="auto"/>
        </w:rPr>
      </w:pPr>
    </w:p>
    <w:p>
      <w:pPr>
        <w:ind w:right="320" w:firstLine="449"/>
        <w:spacing w:after="0" w:line="277" w:lineRule="auto"/>
        <w:rPr>
          <w:sz w:val="20"/>
          <w:szCs w:val="20"/>
          <w:color w:val="auto"/>
        </w:rPr>
      </w:pPr>
      <w:r>
        <w:rPr>
          <w:rFonts w:ascii="Times New Roman" w:cs="Times New Roman" w:eastAsia="Times New Roman" w:hAnsi="Times New Roman"/>
          <w:sz w:val="17"/>
          <w:szCs w:val="17"/>
          <w:i w:val="1"/>
          <w:iCs w:val="1"/>
          <w:color w:val="32406B"/>
        </w:rPr>
        <w:t>Delaware</w:t>
      </w:r>
      <w:r>
        <w:rPr>
          <w:rFonts w:ascii="Times New Roman" w:cs="Times New Roman" w:eastAsia="Times New Roman" w:hAnsi="Times New Roman"/>
          <w:sz w:val="17"/>
          <w:szCs w:val="17"/>
          <w:color w:val="32406B"/>
        </w:rPr>
        <w:t>. The Delaware General Corporation Law provides that vacancies and newly created directorships may be filled by a majority of the</w:t>
      </w:r>
      <w:r>
        <w:rPr>
          <w:rFonts w:ascii="Times New Roman" w:cs="Times New Roman" w:eastAsia="Times New Roman" w:hAnsi="Times New Roman"/>
          <w:sz w:val="17"/>
          <w:szCs w:val="17"/>
          <w:i w:val="1"/>
          <w:iCs w:val="1"/>
          <w:color w:val="32406B"/>
        </w:rPr>
        <w:t xml:space="preserve"> </w:t>
      </w:r>
      <w:r>
        <w:rPr>
          <w:rFonts w:ascii="Times New Roman" w:cs="Times New Roman" w:eastAsia="Times New Roman" w:hAnsi="Times New Roman"/>
          <w:sz w:val="17"/>
          <w:szCs w:val="17"/>
          <w:color w:val="32406B"/>
        </w:rPr>
        <w:t>directors then in office (even though less than a quorum) unless (i) otherwise provided in the certificate of incorporation or bylaws of the corporation or</w:t>
      </w:r>
    </w:p>
    <w:p>
      <w:pPr>
        <w:spacing w:after="0" w:line="1" w:lineRule="exact"/>
        <w:rPr>
          <w:sz w:val="20"/>
          <w:szCs w:val="20"/>
          <w:color w:val="auto"/>
        </w:rPr>
      </w:pPr>
    </w:p>
    <w:p>
      <w:pPr>
        <w:ind w:right="100" w:firstLine="8"/>
        <w:spacing w:after="0" w:line="260" w:lineRule="auto"/>
        <w:tabs>
          <w:tab w:leader="none" w:pos="265" w:val="left"/>
        </w:tabs>
        <w:numPr>
          <w:ilvl w:val="0"/>
          <w:numId w:val="9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certificate of incorporation directs that a particular class of stock is to elect such director, in which case any other directors elected by such class, or a sole remaining director elected by such class, will fill such vacancy.</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165</w:t>
      </w:r>
    </w:p>
    <w:p>
      <w:pPr>
        <w:sectPr>
          <w:pgSz w:w="11900" w:h="16838" w:orient="portrait"/>
          <w:cols w:equalWidth="0" w:num="1">
            <w:col w:w="11240"/>
          </w:cols>
          <w:pgMar w:left="320" w:top="455" w:right="3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Conflict-of-interest transactions</w:t>
      </w:r>
    </w:p>
    <w:p>
      <w:pPr>
        <w:spacing w:after="0" w:line="117" w:lineRule="exact"/>
        <w:rPr>
          <w:sz w:val="20"/>
          <w:szCs w:val="20"/>
          <w:color w:val="auto"/>
        </w:rPr>
      </w:pPr>
    </w:p>
    <w:p>
      <w:pPr>
        <w:ind w:right="80" w:firstLine="449"/>
        <w:spacing w:after="0" w:line="25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and our Articles of Association, our directors shall not take part in any discussion or decision-making that</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involves a subject or transaction in relation to which he or she has a direct or indirect personal conflict of interest with us. Such a conflict of interest would generally arise if the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case, each director is entitled to participate in the discussion and decision-making process and to cast a vote.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DCGC provides the following best practice recommendations in relation to conflicts of interests:</w:t>
      </w:r>
    </w:p>
    <w:p>
      <w:pPr>
        <w:spacing w:after="0" w:line="131" w:lineRule="exact"/>
        <w:rPr>
          <w:sz w:val="20"/>
          <w:szCs w:val="20"/>
          <w:color w:val="auto"/>
        </w:rPr>
      </w:pPr>
    </w:p>
    <w:p>
      <w:pPr>
        <w:ind w:left="1000" w:right="560" w:hanging="547"/>
        <w:spacing w:after="0" w:line="282" w:lineRule="auto"/>
        <w:tabs>
          <w:tab w:leader="none" w:pos="1000" w:val="left"/>
        </w:tabs>
        <w:numPr>
          <w:ilvl w:val="0"/>
          <w:numId w:val="9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director should report any potential conflict of interest in a transaction that is of material significance to the Company and/or to such director to the other directors without delay, providing all relevant information in relation to the conflict;</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board of directors should then decide, outside the presence of the director concerned, whether there is a conflict of interest;</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9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transactions in which there is a conflict of interest with a director should be agreed on arms’ length terms; and</w:t>
      </w:r>
    </w:p>
    <w:p>
      <w:pPr>
        <w:spacing w:after="0" w:line="130" w:lineRule="exact"/>
        <w:rPr>
          <w:rFonts w:ascii="Times New Roman" w:cs="Times New Roman" w:eastAsia="Times New Roman" w:hAnsi="Times New Roman"/>
          <w:sz w:val="18"/>
          <w:szCs w:val="18"/>
          <w:color w:val="32406B"/>
        </w:rPr>
      </w:pPr>
    </w:p>
    <w:p>
      <w:pPr>
        <w:jc w:val="both"/>
        <w:ind w:left="1000" w:hanging="547"/>
        <w:spacing w:after="0" w:line="266" w:lineRule="auto"/>
        <w:tabs>
          <w:tab w:leader="none" w:pos="1000" w:val="left"/>
        </w:tabs>
        <w:numPr>
          <w:ilvl w:val="0"/>
          <w:numId w:val="9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decision to enter into such a transaction in which there is a conflict of interest with a director that is of material significance to the Company and/or to such director shall require the approval of the board of directors, and such transactions should be disclosed in the Company’s annual board report.</w:t>
      </w:r>
    </w:p>
    <w:p>
      <w:pPr>
        <w:spacing w:after="0" w:line="174" w:lineRule="exact"/>
        <w:rPr>
          <w:sz w:val="20"/>
          <w:szCs w:val="20"/>
          <w:color w:val="auto"/>
        </w:rPr>
      </w:pPr>
    </w:p>
    <w:p>
      <w:pPr>
        <w:ind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transactions involving a Delaware corporation and an interested director of that corporation</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would not be voidable if:</w:t>
      </w:r>
    </w:p>
    <w:p>
      <w:pPr>
        <w:spacing w:after="0" w:line="66" w:lineRule="exact"/>
        <w:rPr>
          <w:sz w:val="20"/>
          <w:szCs w:val="20"/>
          <w:color w:val="auto"/>
        </w:rPr>
      </w:pPr>
    </w:p>
    <w:p>
      <w:pPr>
        <w:ind w:left="1000" w:right="460" w:hanging="547"/>
        <w:spacing w:after="0" w:line="282" w:lineRule="auto"/>
        <w:tabs>
          <w:tab w:leader="none" w:pos="1000" w:val="left"/>
        </w:tabs>
        <w:numPr>
          <w:ilvl w:val="0"/>
          <w:numId w:val="9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67"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9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material facts are disclosed or known as to the director’s relationship or interest and the transaction is specifically approved in good faith by vote of the majority of shares entitled to vote thereon; or</w:t>
      </w:r>
    </w:p>
    <w:p>
      <w:pPr>
        <w:spacing w:after="0" w:line="67" w:lineRule="exact"/>
        <w:rPr>
          <w:rFonts w:ascii="Times New Roman" w:cs="Times New Roman" w:eastAsia="Times New Roman" w:hAnsi="Times New Roman"/>
          <w:sz w:val="18"/>
          <w:szCs w:val="18"/>
          <w:color w:val="32406B"/>
        </w:rPr>
      </w:pPr>
    </w:p>
    <w:p>
      <w:pPr>
        <w:ind w:left="1000" w:right="420" w:hanging="547"/>
        <w:spacing w:after="0" w:line="282" w:lineRule="auto"/>
        <w:tabs>
          <w:tab w:leader="none" w:pos="1000" w:val="left"/>
        </w:tabs>
        <w:numPr>
          <w:ilvl w:val="0"/>
          <w:numId w:val="9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transaction is fair to the corporation at the time it is authorized by the board of directors, a committee of the board of directors or the stockholders.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Proxy voting by directors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An absent director may issue a proxy for a specific board meeting but only to another director in writing or by electronic means.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A director of a Delaware corporation may not issue a proxy representing the director’s voting rights as a director.</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Shareholder Rights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Voting rights</w:t>
      </w:r>
    </w:p>
    <w:p>
      <w:pPr>
        <w:spacing w:after="0" w:line="117" w:lineRule="exact"/>
        <w:rPr>
          <w:sz w:val="20"/>
          <w:szCs w:val="20"/>
          <w:color w:val="auto"/>
        </w:rPr>
      </w:pPr>
    </w:p>
    <w:p>
      <w:pPr>
        <w:jc w:val="both"/>
        <w:ind w:right="16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In accordance with Dutch law and our Articles of Association, each issued ordinary share and each issued preferred share confers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166</w:t>
      </w:r>
    </w:p>
    <w:p>
      <w:pPr>
        <w:sectPr>
          <w:pgSz w:w="11900" w:h="16838" w:orient="portrait"/>
          <w:cols w:equalWidth="0" w:num="1">
            <w:col w:w="11220"/>
          </w:cols>
          <w:pgMar w:left="320" w:top="455" w:right="3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32406B"/>
        </w:rPr>
        <w:t>holders of a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and the holders of a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in respect of shares held by us or our subsidiaries in our share capital are not excluded from the right to vote on such shares, if the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or the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was granted prior to the time such shares were acquired by us or any of our subsidiaries. Neither we nor any of our subsidiaries may cast votes in respect of a share on which we or such subsidiary holds a right of usufruct (</w:t>
      </w:r>
      <w:r>
        <w:rPr>
          <w:rFonts w:ascii="Times New Roman" w:cs="Times New Roman" w:eastAsia="Times New Roman" w:hAnsi="Times New Roman"/>
          <w:sz w:val="18"/>
          <w:szCs w:val="18"/>
          <w:i w:val="1"/>
          <w:iCs w:val="1"/>
          <w:color w:val="32406B"/>
        </w:rPr>
        <w:t>vruchtgebruik</w:t>
      </w:r>
      <w:r>
        <w:rPr>
          <w:rFonts w:ascii="Times New Roman" w:cs="Times New Roman" w:eastAsia="Times New Roman" w:hAnsi="Times New Roman"/>
          <w:sz w:val="18"/>
          <w:szCs w:val="18"/>
          <w:color w:val="32406B"/>
        </w:rPr>
        <w:t>) or a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w:t>
      </w:r>
    </w:p>
    <w:p>
      <w:pPr>
        <w:spacing w:after="0" w:line="18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8"/>
          <w:szCs w:val="18"/>
          <w:color w:val="32406B"/>
        </w:rPr>
        <w:t>In accordance with our Articles of Association, 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7" w:lineRule="exact"/>
        <w:rPr>
          <w:sz w:val="20"/>
          <w:szCs w:val="20"/>
          <w:color w:val="auto"/>
        </w:rPr>
      </w:pPr>
    </w:p>
    <w:p>
      <w:pPr>
        <w:ind w:right="32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each stockholder is entitled to one vote per share of stock, unless the certificate of</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185"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Shareholder proposals</w:t>
      </w:r>
    </w:p>
    <w:p>
      <w:pPr>
        <w:spacing w:after="0" w:line="11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Pursuant to our Articles of Association, extraordinary general meetings will be held whenever required under Dutch law 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whenever our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our Board has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18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the Board at least 60 days before the day of the meeting.</w:t>
      </w:r>
    </w:p>
    <w:p>
      <w:pPr>
        <w:spacing w:after="0" w:line="180" w:lineRule="exact"/>
        <w:rPr>
          <w:sz w:val="20"/>
          <w:szCs w:val="20"/>
          <w:color w:val="auto"/>
        </w:rPr>
      </w:pPr>
    </w:p>
    <w:p>
      <w:pPr>
        <w:jc w:val="both"/>
        <w:ind w:right="360" w:firstLine="449"/>
        <w:spacing w:after="0" w:line="266" w:lineRule="auto"/>
        <w:rPr>
          <w:sz w:val="20"/>
          <w:szCs w:val="20"/>
          <w:color w:val="auto"/>
        </w:rPr>
      </w:pPr>
      <w:r>
        <w:rPr>
          <w:rFonts w:ascii="Times New Roman" w:cs="Times New Roman" w:eastAsia="Times New Roman" w:hAnsi="Times New Roman"/>
          <w:sz w:val="18"/>
          <w:szCs w:val="18"/>
          <w:color w:val="32406B"/>
        </w:rPr>
        <w:t>In accordance with the DCGC, and our Articles of Association, shareholders having the right to put item on the agenda under the rules described above, shall exercise such right only after consulting the Board in that respect. If one or more shareholders intend to request that an item be put on the agenda that may result in a change in the Company’s strategy (for example, the removal of directors), the Board must be given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167</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406B"/>
        </w:rPr>
        <w:t>opportunity to invoke a reasonable period to respond to such intention. Such period shall not exceed 180 days (or such other period as may be stipulated for such purpose by Dutch law and/or the DCGC from time to time). If invoked, the Board must use such response period for further deliberation and constructive consultation, in any event with the shareholders concerned, and must explore alternatives. At the end of the response time, the Board must report on this consultation and the exploration of alternatives to the general meeting. The response period may be invoked only once for any given general meeting and does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187"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Delaware law does not specifically grant stockholders the right to bring business before an annual or special meeting. Delaware law</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Action by written consent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shareholders’ resolutions may be adopted in writing without holding a meeting of shareholders, provided that</w:t>
      </w:r>
    </w:p>
    <w:p>
      <w:pPr>
        <w:spacing w:after="0" w:line="29" w:lineRule="exact"/>
        <w:rPr>
          <w:sz w:val="20"/>
          <w:szCs w:val="20"/>
          <w:color w:val="auto"/>
        </w:rPr>
      </w:pPr>
    </w:p>
    <w:p>
      <w:pPr>
        <w:ind w:right="420" w:firstLine="8"/>
        <w:spacing w:after="0" w:line="253" w:lineRule="auto"/>
        <w:tabs>
          <w:tab w:leader="none" w:pos="215" w:val="left"/>
        </w:tabs>
        <w:numPr>
          <w:ilvl w:val="0"/>
          <w:numId w:val="9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7" w:lineRule="exact"/>
        <w:rPr>
          <w:sz w:val="20"/>
          <w:szCs w:val="20"/>
          <w:color w:val="auto"/>
        </w:rPr>
      </w:pPr>
    </w:p>
    <w:p>
      <w:pPr>
        <w:ind w:right="30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Although permitted by Delaware law, publicly listed companies do not typically permit stockholders of a corporation to take action by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written consent.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Appraisal rights</w:t>
      </w:r>
    </w:p>
    <w:p>
      <w:pPr>
        <w:spacing w:after="0" w:line="117"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Subject to certain exceptions, Dutch law does not recognize the concept of appraisal or dissenters’ rights. However, Dutch law does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82" w:lineRule="exact"/>
        <w:rPr>
          <w:sz w:val="20"/>
          <w:szCs w:val="20"/>
          <w:color w:val="auto"/>
        </w:rPr>
      </w:pPr>
    </w:p>
    <w:p>
      <w:pPr>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The Delaware General Corporation Law provides for stockholder appraisal rights, or the right to demand payment in cash of the judicially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determined fair value of the stockholder’s shares, in connection with certain mergers and consolidations.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Shareholder suits</w:t>
      </w:r>
    </w:p>
    <w:p>
      <w:pPr>
        <w:spacing w:after="0" w:line="117" w:lineRule="exact"/>
        <w:rPr>
          <w:sz w:val="20"/>
          <w:szCs w:val="20"/>
          <w:color w:val="auto"/>
        </w:rPr>
      </w:pPr>
    </w:p>
    <w:p>
      <w:pPr>
        <w:ind w:right="16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In the event a third-party is liable to a Dutch company, only the Company itself can bring a civil action against that party.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168</w:t>
      </w:r>
    </w:p>
    <w:p>
      <w:pPr>
        <w:sectPr>
          <w:pgSz w:w="11900" w:h="16838" w:orient="portrait"/>
          <w:cols w:equalWidth="0" w:num="1">
            <w:col w:w="11220"/>
          </w:cols>
          <w:pgMar w:left="320" w:top="455" w:right="3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32406B"/>
        </w:rPr>
        <w:t>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19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a stockholder may bring a derivative action on behalf of the corporation to enforce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Repurchase of shares</w:t>
      </w:r>
    </w:p>
    <w:p>
      <w:pPr>
        <w:spacing w:after="0" w:line="117"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when issuing shares, a public company with limited liability such as ours may not subscribe for newly issued</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shares in its own capital. Such company may, however, subject to certain restrictions of Dutch law and its Articles of Association, acquire shares in its own capital. A listed public company with limited liability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paid-up and called-up share capital plus any reserves required by Dutch law or its Articles of Association and (ii) the aggregate nominal value of shares of the company which the company acquires, holds or on which the company holds a right of pledge (</w:t>
      </w:r>
      <w:r>
        <w:rPr>
          <w:rFonts w:ascii="Times New Roman" w:cs="Times New Roman" w:eastAsia="Times New Roman" w:hAnsi="Times New Roman"/>
          <w:sz w:val="18"/>
          <w:szCs w:val="18"/>
          <w:i w:val="1"/>
          <w:iCs w:val="1"/>
          <w:color w:val="32406B"/>
        </w:rPr>
        <w:t>pandrecht</w:t>
      </w:r>
      <w:r>
        <w:rPr>
          <w:rFonts w:ascii="Times New Roman" w:cs="Times New Roman" w:eastAsia="Times New Roman" w:hAnsi="Times New Roman"/>
          <w:sz w:val="18"/>
          <w:szCs w:val="18"/>
          <w:color w:val="32406B"/>
        </w:rPr>
        <w:t>) or which are held by a subsidiary of the company, would not exceed 50% of its then current issued share capital. Such company may only acquire its own shares if its general meeting has granted the board of directors the authority to effect such acquisitions.</w:t>
      </w:r>
    </w:p>
    <w:p>
      <w:pPr>
        <w:spacing w:after="0" w:line="190" w:lineRule="exact"/>
        <w:rPr>
          <w:sz w:val="20"/>
          <w:szCs w:val="20"/>
          <w:color w:val="auto"/>
        </w:rPr>
      </w:pPr>
    </w:p>
    <w:p>
      <w:pPr>
        <w:ind w:right="80" w:firstLine="449"/>
        <w:spacing w:after="0" w:line="254" w:lineRule="auto"/>
        <w:rPr>
          <w:sz w:val="20"/>
          <w:szCs w:val="20"/>
          <w:color w:val="auto"/>
        </w:rPr>
      </w:pPr>
      <w:r>
        <w:rPr>
          <w:rFonts w:ascii="Times New Roman" w:cs="Times New Roman" w:eastAsia="Times New Roman" w:hAnsi="Times New Roman"/>
          <w:sz w:val="18"/>
          <w:szCs w:val="18"/>
          <w:color w:val="32406B"/>
        </w:rPr>
        <w:t>An acquisition of ordinary shares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Prior to the consummation of this offering, our Board will be authorized, for a period of 18 months after our conversion into Pharvaris N.V., to cause the repurchase of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 No authorization of the general meeting is required if ordinary shares are acquired by us with the intention of transferring such ordinary shares to our employees under an applicable employee stock purchase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169</w:t>
      </w:r>
    </w:p>
    <w:p>
      <w:pPr>
        <w:sectPr>
          <w:pgSz w:w="11900" w:h="16838" w:orient="portrait"/>
          <w:cols w:equalWidth="0" w:num="1">
            <w:col w:w="11220"/>
          </w:cols>
          <w:pgMar w:left="320" w:top="455" w:right="3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Our Board will also be authorized, for a period of 18 months after our conversion into Pharvaris N.V. to cause the repurchase of preferred shares, for a price which is higher than nil and does not exceed the nominal value thereof.</w:t>
      </w:r>
    </w:p>
    <w:p>
      <w:pPr>
        <w:spacing w:after="0" w:line="160"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a corporation may generally purchase or redeem its own shares unless the capital of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Anti-Takeover Provisions</w:t>
      </w:r>
    </w:p>
    <w:p>
      <w:pPr>
        <w:spacing w:after="0" w:line="119" w:lineRule="exact"/>
        <w:rPr>
          <w:sz w:val="20"/>
          <w:szCs w:val="20"/>
          <w:color w:val="auto"/>
        </w:rPr>
      </w:pPr>
    </w:p>
    <w:p>
      <w:pPr>
        <w:ind w:right="4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various protective measures are possible and permissible within the boundaries set by Dutch law and Dutch case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law. We have adopted several provisions that may have the effect of making a takeover of our Company more difficult or less attractive, including:</w:t>
      </w:r>
    </w:p>
    <w:p>
      <w:pPr>
        <w:spacing w:after="0" w:line="66" w:lineRule="exact"/>
        <w:rPr>
          <w:sz w:val="20"/>
          <w:szCs w:val="20"/>
          <w:color w:val="auto"/>
        </w:rPr>
      </w:pPr>
    </w:p>
    <w:p>
      <w:pPr>
        <w:ind w:left="1000" w:right="80" w:hanging="547"/>
        <w:spacing w:after="0" w:line="266" w:lineRule="auto"/>
        <w:tabs>
          <w:tab w:leader="none" w:pos="1000" w:val="left"/>
        </w:tabs>
        <w:numPr>
          <w:ilvl w:val="0"/>
          <w:numId w:val="9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authorization of a class of preferred shares that may be issued to a protective foundation pursuant to a call option to that effect, see “Risk Factors—Dutch corporate law and our Articles of Association contain or may contain provisions that may discourage, delay or prevent a takeover attempt, which could adversely affect the price of our ordinary shares”;</w:t>
      </w:r>
    </w:p>
    <w:p>
      <w:pPr>
        <w:spacing w:after="0" w:line="81"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9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provision that our directors may only be removed at the general meeting by a two-thirds majority of votes cast representing more than half of our issued share capital if such removal is not proposed by our Board;</w:t>
      </w:r>
    </w:p>
    <w:p>
      <w:pPr>
        <w:spacing w:after="0" w:line="67" w:lineRule="exact"/>
        <w:rPr>
          <w:rFonts w:ascii="Times New Roman" w:cs="Times New Roman" w:eastAsia="Times New Roman" w:hAnsi="Times New Roman"/>
          <w:sz w:val="18"/>
          <w:szCs w:val="18"/>
          <w:color w:val="32406B"/>
        </w:rPr>
      </w:pPr>
    </w:p>
    <w:p>
      <w:pPr>
        <w:ind w:left="1000" w:right="240" w:hanging="547"/>
        <w:spacing w:after="0" w:line="266" w:lineRule="auto"/>
        <w:tabs>
          <w:tab w:leader="none" w:pos="1000" w:val="left"/>
        </w:tabs>
        <w:numPr>
          <w:ilvl w:val="0"/>
          <w:numId w:val="9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our directors being appointed on the basis of a binding nomination by our Board, which can only be overruled by the general meeting by a resolution adopted by at least a two-thirds majority of the votes cast, provided such majority represents more than half of the issued share capital (in which case the Board shall make a new nomination);</w:t>
      </w:r>
    </w:p>
    <w:p>
      <w:pPr>
        <w:spacing w:after="0" w:line="81" w:lineRule="exact"/>
        <w:rPr>
          <w:rFonts w:ascii="Times New Roman" w:cs="Times New Roman" w:eastAsia="Times New Roman" w:hAnsi="Times New Roman"/>
          <w:sz w:val="18"/>
          <w:szCs w:val="18"/>
          <w:color w:val="32406B"/>
        </w:rPr>
      </w:pPr>
    </w:p>
    <w:p>
      <w:pPr>
        <w:ind w:left="1000" w:right="40" w:hanging="547"/>
        <w:spacing w:after="0" w:line="282" w:lineRule="auto"/>
        <w:tabs>
          <w:tab w:leader="none" w:pos="1000" w:val="left"/>
        </w:tabs>
        <w:numPr>
          <w:ilvl w:val="0"/>
          <w:numId w:val="9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provision which allows the former chairman of our Board or our former chief executive officer to be charged with our management if all of our directors are absent or incapacitated; and</w:t>
      </w:r>
    </w:p>
    <w:p>
      <w:pPr>
        <w:spacing w:after="0" w:line="67" w:lineRule="exact"/>
        <w:rPr>
          <w:rFonts w:ascii="Times New Roman" w:cs="Times New Roman" w:eastAsia="Times New Roman" w:hAnsi="Times New Roman"/>
          <w:sz w:val="18"/>
          <w:szCs w:val="18"/>
          <w:color w:val="32406B"/>
        </w:rPr>
      </w:pPr>
    </w:p>
    <w:p>
      <w:pPr>
        <w:ind w:left="1000" w:right="40" w:hanging="547"/>
        <w:spacing w:after="0" w:line="282" w:lineRule="auto"/>
        <w:tabs>
          <w:tab w:leader="none" w:pos="1000" w:val="left"/>
        </w:tabs>
        <w:numPr>
          <w:ilvl w:val="0"/>
          <w:numId w:val="9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requirements that certain matters, including an amendment of our Articles of Association, may only be brought to our shareholders for a vote upon a proposal by our Board.</w:t>
      </w:r>
    </w:p>
    <w:p>
      <w:pPr>
        <w:spacing w:after="0" w:line="162"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32406B"/>
        </w:rPr>
        <w:t>In addition, Dutch law allows for staggered multi-year terms of our directors, as a result of which only part of our directors may be subject to appointment or re-appointment in any one year.</w:t>
      </w:r>
    </w:p>
    <w:p>
      <w:pPr>
        <w:spacing w:after="0" w:line="160" w:lineRule="exact"/>
        <w:rPr>
          <w:sz w:val="20"/>
          <w:szCs w:val="20"/>
          <w:color w:val="auto"/>
        </w:rPr>
      </w:pPr>
    </w:p>
    <w:p>
      <w:pPr>
        <w:ind w:right="12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In addition to other aspects of Delaware law governing fiduciary duties of directors during a potential takeover, the Delaware General</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Corporation Law also contains provisions that protect Delaware companies from hostile takeovers and from actions following the takeover by prohibiting some transactions once an acquirer has gained a significant holding in the corporation.</w:t>
      </w:r>
    </w:p>
    <w:p>
      <w:pPr>
        <w:spacing w:after="0" w:line="175"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81" w:lineRule="exact"/>
        <w:rPr>
          <w:sz w:val="20"/>
          <w:szCs w:val="20"/>
          <w:color w:val="auto"/>
        </w:rPr>
      </w:pPr>
    </w:p>
    <w:p>
      <w:pPr>
        <w:ind w:left="1000" w:right="120" w:hanging="547"/>
        <w:spacing w:after="0" w:line="282" w:lineRule="auto"/>
        <w:tabs>
          <w:tab w:leader="none" w:pos="1000" w:val="left"/>
        </w:tabs>
        <w:numPr>
          <w:ilvl w:val="0"/>
          <w:numId w:val="10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prior to such time the board of directors of the corporation approved either the business combination or the transaction which resulted in the stockholder becoming an interested stockholder;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170</w:t>
      </w:r>
    </w:p>
    <w:p>
      <w:pPr>
        <w:sectPr>
          <w:pgSz w:w="11900" w:h="16838" w:orient="portrait"/>
          <w:cols w:equalWidth="0" w:num="1">
            <w:col w:w="11200"/>
          </w:cols>
          <w:pgMar w:left="320" w:top="455"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000" w:right="20" w:hanging="547"/>
        <w:spacing w:after="0" w:line="266" w:lineRule="auto"/>
        <w:tabs>
          <w:tab w:leader="none" w:pos="1000" w:val="left"/>
        </w:tabs>
        <w:numPr>
          <w:ilvl w:val="0"/>
          <w:numId w:val="10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1" w:lineRule="exact"/>
        <w:rPr>
          <w:rFonts w:ascii="Times New Roman" w:cs="Times New Roman" w:eastAsia="Times New Roman" w:hAnsi="Times New Roman"/>
          <w:sz w:val="18"/>
          <w:szCs w:val="18"/>
          <w:color w:val="32406B"/>
        </w:rPr>
      </w:pPr>
    </w:p>
    <w:p>
      <w:pPr>
        <w:ind w:left="1000" w:right="360" w:hanging="547"/>
        <w:spacing w:after="0" w:line="282" w:lineRule="auto"/>
        <w:tabs>
          <w:tab w:leader="none" w:pos="1000" w:val="left"/>
        </w:tabs>
        <w:numPr>
          <w:ilvl w:val="0"/>
          <w:numId w:val="10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6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Access to Books and Records</w:t>
      </w:r>
    </w:p>
    <w:p>
      <w:pPr>
        <w:spacing w:after="0" w:line="119" w:lineRule="exact"/>
        <w:rPr>
          <w:sz w:val="20"/>
          <w:szCs w:val="20"/>
          <w:color w:val="auto"/>
        </w:rPr>
      </w:pPr>
    </w:p>
    <w:p>
      <w:pPr>
        <w:ind w:right="12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The board of directors provides the general meeting, within a reasonable amount of time with all information that the shareholders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require for the exercise of their powers, unless this would be contrary to an overriding interest of our Company. If the board of directors invokes such an overriding interest, it must give reasons.</w:t>
      </w:r>
    </w:p>
    <w:p>
      <w:pPr>
        <w:spacing w:after="0" w:line="173" w:lineRule="exact"/>
        <w:rPr>
          <w:sz w:val="20"/>
          <w:szCs w:val="20"/>
          <w:color w:val="auto"/>
        </w:rPr>
      </w:pPr>
    </w:p>
    <w:p>
      <w:pPr>
        <w:ind w:right="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any stockholder may inspect for any proper purpose certain of the corporation’s books and</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records during the corporation’s usual hours of business.</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Removal of Directors</w:t>
      </w:r>
    </w:p>
    <w:p>
      <w:pPr>
        <w:spacing w:after="0" w:line="119" w:lineRule="exact"/>
        <w:rPr>
          <w:sz w:val="20"/>
          <w:szCs w:val="20"/>
          <w:color w:val="auto"/>
        </w:rPr>
      </w:pPr>
    </w:p>
    <w:p>
      <w:pPr>
        <w:jc w:val="both"/>
        <w:ind w:right="280" w:firstLine="449"/>
        <w:spacing w:after="0" w:line="290" w:lineRule="auto"/>
        <w:rPr>
          <w:sz w:val="20"/>
          <w:szCs w:val="20"/>
          <w:color w:val="auto"/>
        </w:rPr>
      </w:pPr>
      <w:r>
        <w:rPr>
          <w:rFonts w:ascii="Times New Roman" w:cs="Times New Roman" w:eastAsia="Times New Roman" w:hAnsi="Times New Roman"/>
          <w:sz w:val="17"/>
          <w:szCs w:val="17"/>
          <w:i w:val="1"/>
          <w:iCs w:val="1"/>
          <w:color w:val="32406B"/>
        </w:rPr>
        <w:t>The Netherlands</w:t>
      </w:r>
      <w:r>
        <w:rPr>
          <w:rFonts w:ascii="Times New Roman" w:cs="Times New Roman" w:eastAsia="Times New Roman" w:hAnsi="Times New Roman"/>
          <w:sz w:val="17"/>
          <w:szCs w:val="17"/>
          <w:color w:val="32406B"/>
        </w:rPr>
        <w:t>. Under our Articles of Association, the general meeting shall at all times be entitled to suspend or dismiss a director. The general</w:t>
      </w:r>
      <w:r>
        <w:rPr>
          <w:rFonts w:ascii="Times New Roman" w:cs="Times New Roman" w:eastAsia="Times New Roman" w:hAnsi="Times New Roman"/>
          <w:sz w:val="17"/>
          <w:szCs w:val="17"/>
          <w:i w:val="1"/>
          <w:iCs w:val="1"/>
          <w:color w:val="32406B"/>
        </w:rPr>
        <w:t xml:space="preserve"> </w:t>
      </w:r>
      <w:r>
        <w:rPr>
          <w:rFonts w:ascii="Times New Roman" w:cs="Times New Roman" w:eastAsia="Times New Roman" w:hAnsi="Times New Roman"/>
          <w:sz w:val="17"/>
          <w:szCs w:val="17"/>
          <w:color w:val="32406B"/>
        </w:rPr>
        <w:t>meeting may only adopt a resolution to suspend or dismiss a director by at least a two-thirds majority of the votes cast, if such majority represents more than half of the issued share capital, unless the proposal was made by the board of directors, in which latter case a simple majority is sufficient.</w:t>
      </w:r>
    </w:p>
    <w:p>
      <w:pPr>
        <w:spacing w:after="0" w:line="155"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any director or the entire board of directors may be removed, with or without cause, by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holders of a majority of the shares then entitled to vote at an election of 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Issuance of Shares</w:t>
      </w:r>
    </w:p>
    <w:p>
      <w:pPr>
        <w:spacing w:after="0" w:line="119" w:lineRule="exact"/>
        <w:rPr>
          <w:sz w:val="20"/>
          <w:szCs w:val="20"/>
          <w:color w:val="auto"/>
        </w:rPr>
      </w:pPr>
    </w:p>
    <w:p>
      <w:pPr>
        <w:ind w:right="16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a company’s general meeting is the corporate body authorized to resolve on the issuance of shares and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granting of rights to subscribe for shares. The general meeting can delegate such authority to another corporate body of the company, such as the board of directors, for a period not exceeding five years; this authorization may only be extended from time to time for a maximum period of five years.</w:t>
      </w:r>
    </w:p>
    <w:p>
      <w:pPr>
        <w:spacing w:after="0" w:line="175"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32406B"/>
        </w:rPr>
        <w:t>Prior to the consummation of this offering, our Board will be authorized, for a period of five years after our conversion into Pharvaris N.V., to issue shares or grant rights to subscribe for shares up to our authorized share capital from time to time. We may not subscribe for our own shares on issue.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171</w:t>
      </w:r>
    </w:p>
    <w:p>
      <w:pPr>
        <w:sectPr>
          <w:pgSz w:w="11900" w:h="16838" w:orient="portrait"/>
          <w:cols w:equalWidth="0" w:num="1">
            <w:col w:w="11240"/>
          </w:cols>
          <w:pgMar w:left="320" w:top="455" w:right="3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right="16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The issuance of shares requires the board of directors to adopt a resolution or resolutions, authorizing the issuance, pursuant to authority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expressly vested in the board of directors by the provisions of the Company’s certificate of incorporation.</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Preemptive Rights</w:t>
      </w:r>
    </w:p>
    <w:p>
      <w:pPr>
        <w:spacing w:after="0" w:line="119"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in the event of an issuance of ordinary shares, each shareholder will have a pro rata preemptive right in</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 of directors. Our preferred shares carry no preemptive rights.</w:t>
      </w:r>
    </w:p>
    <w:p>
      <w:pPr>
        <w:spacing w:after="0" w:line="18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 board of directors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the board of directors as the authorized body to do so requires a majority of not less than two-thirds of the votes cast, if less than one-half of our issued share capital is represented at the meeting.</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Prior to the consummation of this offering, our Board will be authorized, for a period of five years after our conversion into Pharvaris N.V. to limit or exclude preemptive rights in relation to an issuance of shares or a grant of rights to subscribe for shares that the Board is authorized to resolve upon. See above under “—Issuance of Shares.”</w:t>
      </w:r>
    </w:p>
    <w:p>
      <w:pPr>
        <w:spacing w:after="0" w:line="174" w:lineRule="exact"/>
        <w:rPr>
          <w:sz w:val="20"/>
          <w:szCs w:val="20"/>
          <w:color w:val="auto"/>
        </w:rPr>
      </w:pPr>
    </w:p>
    <w:p>
      <w:pPr>
        <w:ind w:right="2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stockholders have no preemptive rights to subscribe for additional issues of stock or to any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security convertible into such stock unless, and to the extent that, such rights are expressly provided for in the certificate of incorporation.</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Dividends</w:t>
      </w:r>
    </w:p>
    <w:p>
      <w:pPr>
        <w:spacing w:after="0" w:line="119"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Dutch law provides that dividends may be distributed after adoption of the annual accounts by the general meeting from which it</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appears that such dividend distribution is allowed. Moreover, dividends may be distributed only to the extent the shareholders’ equity exceeds the amount of the paid-up and called-up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paid-up and called-up issued share capital plus any reserves as described above as apparent from our financial statements. Under Dutch law, the Articles of Association may prescribe that the board of directors decide what portion of the profits are to be held as reserves.</w:t>
      </w:r>
    </w:p>
    <w:p>
      <w:pPr>
        <w:spacing w:after="0" w:line="18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Under the Articles of Association, first, if any preferred shares are or have been outstanding, a dividend is first paid out of the profit, if available for distribution, to the holders or former holders, as applicable, of those preferred shares to the extent they are entitled to such distribution under our Articles of Association. Any remaining profit is carried to the reserve as the board of directors determines. After reservation by the board of directors of any profit, the remaining profit will be at the disposal of the general meeting at the proposal of our Board for distribution on our ordinary shares, subject to the applicable restrictions of Dutch law. We only make a distribution of dividends to our shareholders after the adoption of our annual accounts demonstrating that such distribution is legally permitted. The board of directors is permitted, subject to certain requirements, to declare interim dividends without the approval of the general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172</w:t>
      </w:r>
    </w:p>
    <w:p>
      <w:pPr>
        <w:sectPr>
          <w:pgSz w:w="11900" w:h="16838" w:orient="portrait"/>
          <w:cols w:equalWidth="0" w:num="1">
            <w:col w:w="11220"/>
          </w:cols>
          <w:pgMar w:left="320" w:top="455" w:right="3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Dividends and other distributions shall be made payable not later than the date determined by the board of directors.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32406B"/>
        </w:rPr>
        <w:t>verjaring</w:t>
      </w:r>
      <w:r>
        <w:rPr>
          <w:rFonts w:ascii="Times New Roman" w:cs="Times New Roman" w:eastAsia="Times New Roman" w:hAnsi="Times New Roman"/>
          <w:sz w:val="18"/>
          <w:szCs w:val="18"/>
          <w:color w:val="32406B"/>
        </w:rPr>
        <w:t>).</w:t>
      </w:r>
    </w:p>
    <w:p>
      <w:pPr>
        <w:spacing w:after="0" w:line="174" w:lineRule="exact"/>
        <w:rPr>
          <w:sz w:val="20"/>
          <w:szCs w:val="20"/>
          <w:color w:val="auto"/>
        </w:rPr>
      </w:pPr>
    </w:p>
    <w:p>
      <w:pPr>
        <w:ind w:right="120" w:firstLine="449"/>
        <w:spacing w:after="0" w:line="258"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subject to any restrictions contained in the corporation’s certificate of incorporation, a</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Shareholder Vote on Certain Reorganizations</w:t>
      </w:r>
    </w:p>
    <w:p>
      <w:pPr>
        <w:spacing w:after="0" w:line="119" w:lineRule="exact"/>
        <w:rPr>
          <w:sz w:val="20"/>
          <w:szCs w:val="20"/>
          <w:color w:val="auto"/>
        </w:rPr>
      </w:pPr>
    </w:p>
    <w:p>
      <w:pPr>
        <w:ind w:right="400" w:firstLine="449"/>
        <w:spacing w:after="0" w:line="284"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the general meeting must approve resolutions of the board of directors relating to a significant change in the</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identity or the character of the Company or the business of the Company, which includes:</w:t>
      </w:r>
    </w:p>
    <w:p>
      <w:pPr>
        <w:spacing w:after="0" w:line="66" w:lineRule="exact"/>
        <w:rPr>
          <w:sz w:val="20"/>
          <w:szCs w:val="20"/>
          <w:color w:val="auto"/>
        </w:rPr>
      </w:pPr>
    </w:p>
    <w:p>
      <w:pPr>
        <w:ind w:left="1000" w:hanging="547"/>
        <w:spacing w:after="0"/>
        <w:tabs>
          <w:tab w:leader="none" w:pos="1000" w:val="left"/>
        </w:tabs>
        <w:numPr>
          <w:ilvl w:val="0"/>
          <w:numId w:val="10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transfer of the business or virtually the entire business to a third-party;</w:t>
      </w:r>
    </w:p>
    <w:p>
      <w:pPr>
        <w:spacing w:after="0" w:line="130" w:lineRule="exact"/>
        <w:rPr>
          <w:rFonts w:ascii="Times New Roman" w:cs="Times New Roman" w:eastAsia="Times New Roman" w:hAnsi="Times New Roman"/>
          <w:sz w:val="18"/>
          <w:szCs w:val="18"/>
          <w:color w:val="32406B"/>
        </w:rPr>
      </w:pPr>
    </w:p>
    <w:p>
      <w:pPr>
        <w:ind w:left="1000" w:right="260" w:hanging="547"/>
        <w:spacing w:after="0" w:line="266" w:lineRule="auto"/>
        <w:tabs>
          <w:tab w:leader="none" w:pos="1000" w:val="left"/>
        </w:tabs>
        <w:numPr>
          <w:ilvl w:val="0"/>
          <w:numId w:val="10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81" w:lineRule="exact"/>
        <w:rPr>
          <w:rFonts w:ascii="Times New Roman" w:cs="Times New Roman" w:eastAsia="Times New Roman" w:hAnsi="Times New Roman"/>
          <w:sz w:val="18"/>
          <w:szCs w:val="18"/>
          <w:color w:val="32406B"/>
        </w:rPr>
      </w:pPr>
    </w:p>
    <w:p>
      <w:pPr>
        <w:jc w:val="both"/>
        <w:ind w:left="1000" w:right="60" w:hanging="547"/>
        <w:spacing w:after="0" w:line="266" w:lineRule="auto"/>
        <w:tabs>
          <w:tab w:leader="none" w:pos="1000" w:val="left"/>
        </w:tabs>
        <w:numPr>
          <w:ilvl w:val="0"/>
          <w:numId w:val="10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174"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the vote of a majority of the outstanding shares of capital stock entitled to vote thereon</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82" w:lineRule="exact"/>
        <w:rPr>
          <w:sz w:val="20"/>
          <w:szCs w:val="20"/>
          <w:color w:val="auto"/>
        </w:rPr>
      </w:pPr>
    </w:p>
    <w:p>
      <w:pPr>
        <w:jc w:val="both"/>
        <w:ind w:firstLine="449"/>
        <w:spacing w:after="0" w:line="276" w:lineRule="auto"/>
        <w:rPr>
          <w:sz w:val="20"/>
          <w:szCs w:val="20"/>
          <w:color w:val="auto"/>
        </w:rPr>
      </w:pPr>
      <w:r>
        <w:rPr>
          <w:rFonts w:ascii="Times New Roman" w:cs="Times New Roman" w:eastAsia="Times New Roman" w:hAnsi="Times New Roman"/>
          <w:sz w:val="17"/>
          <w:szCs w:val="17"/>
          <w:color w:val="32406B"/>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w:t>
      </w:r>
    </w:p>
    <w:p>
      <w:pPr>
        <w:spacing w:after="0" w:line="1" w:lineRule="exact"/>
        <w:rPr>
          <w:sz w:val="20"/>
          <w:szCs w:val="20"/>
          <w:color w:val="auto"/>
        </w:rPr>
      </w:pPr>
    </w:p>
    <w:p>
      <w:pPr>
        <w:ind w:firstLine="8"/>
        <w:spacing w:after="0" w:line="253" w:lineRule="auto"/>
        <w:tabs>
          <w:tab w:leader="none" w:pos="265" w:val="left"/>
        </w:tabs>
        <w:numPr>
          <w:ilvl w:val="0"/>
          <w:numId w:val="10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Compensation of Directors</w:t>
      </w:r>
    </w:p>
    <w:p>
      <w:pPr>
        <w:spacing w:after="0" w:line="11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i w:val="1"/>
          <w:iCs w:val="1"/>
          <w:color w:val="32406B"/>
        </w:rPr>
        <w:t>The Netherlands</w:t>
      </w:r>
      <w:r>
        <w:rPr>
          <w:rFonts w:ascii="Times New Roman" w:cs="Times New Roman" w:eastAsia="Times New Roman" w:hAnsi="Times New Roman"/>
          <w:sz w:val="18"/>
          <w:szCs w:val="18"/>
          <w:color w:val="32406B"/>
        </w:rPr>
        <w:t>. Under Dutch law and our Articles of Association, we must adopt a compensation policy for our Board. Such compensation policy</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shall be adopted by the general meeting upon the proposal of the board of directors. The board of directors determines the compensation of individual directors with due observance of the compensation policy. Our executive directors may not participate in the discussions or decision-making regarding the compensation of executive directors. A proposal by the board of directors with respect to</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173</w:t>
      </w:r>
    </w:p>
    <w:p>
      <w:pPr>
        <w:sectPr>
          <w:pgSz w:w="11900" w:h="16838" w:orient="portrait"/>
          <w:cols w:equalWidth="0" w:num="1">
            <w:col w:w="11220"/>
          </w:cols>
          <w:pgMar w:left="320" w:top="455" w:right="3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32406B"/>
        </w:rPr>
        <w:t>compensation schemes in the form of shares or rights to shares is submitted by the board of directors to the general meeting for its approval. This proposal must set out at least the maximum number of shares or rights to subscribe for shares to be granted to the board of directors and the criteria for granting or amendment.</w:t>
      </w:r>
    </w:p>
    <w:p>
      <w:pPr>
        <w:spacing w:after="0" w:line="174" w:lineRule="exact"/>
        <w:rPr>
          <w:sz w:val="20"/>
          <w:szCs w:val="20"/>
          <w:color w:val="auto"/>
        </w:rPr>
      </w:pPr>
    </w:p>
    <w:p>
      <w:pPr>
        <w:jc w:val="both"/>
        <w:ind w:right="140" w:firstLine="449"/>
        <w:spacing w:after="0" w:line="267" w:lineRule="auto"/>
        <w:rPr>
          <w:sz w:val="20"/>
          <w:szCs w:val="20"/>
          <w:color w:val="auto"/>
        </w:rPr>
      </w:pPr>
      <w:r>
        <w:rPr>
          <w:rFonts w:ascii="Times New Roman" w:cs="Times New Roman" w:eastAsia="Times New Roman" w:hAnsi="Times New Roman"/>
          <w:sz w:val="18"/>
          <w:szCs w:val="18"/>
          <w:i w:val="1"/>
          <w:iCs w:val="1"/>
          <w:color w:val="32406B"/>
        </w:rPr>
        <w:t>Delaware</w:t>
      </w:r>
      <w:r>
        <w:rPr>
          <w:rFonts w:ascii="Times New Roman" w:cs="Times New Roman" w:eastAsia="Times New Roman" w:hAnsi="Times New Roman"/>
          <w:sz w:val="18"/>
          <w:szCs w:val="18"/>
          <w:color w:val="32406B"/>
        </w:rPr>
        <w:t>. Under the Delaware General Corporation Law, the stockholders do not generally have the right to approve the compensation policy for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directors or the senior management of the corporation, although certain aspects of executive compensation may be subject to stockholder vote due to the provisions of U.S. federal securities and tax law, as well as exchange requirements.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Code of Ethics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have adopted a code of ethics applicable to the board of directors and all employees.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ordinary shares have been approved for listing on the Nasdaq Global Select Market under the symbol “PHVS.”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U.S. transfer agent and registrar for the ordinary shares is American Stock Transfer &amp; Trust Company,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32406B"/>
        </w:rPr>
        <w:t>174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2406B"/>
        </w:rPr>
        <w:t>ORDINARY SHARES ELIGIBLE FOR FUTURE SALE</w:t>
      </w:r>
    </w:p>
    <w:p>
      <w:pPr>
        <w:spacing w:after="0" w:line="229"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Prior to this offering, no public market existed for our ordinary shares. Future sales of ordinary shares in the public market after this offering, and the availability of ordinary shares for future sale, could adversely affect the market price of our ordinary shares prevailing from time to time. As described below, a significant number of currently outstanding ordinary shares will not be available for sale shortly after this offering due to contractual restrictions on transfers of ordinary shares. However, future sales of substantial numbers of our ordinary shares, or the perception that these sales could occur, could adversely affect prevailing market prices for our ordinary shares and could impair our future ability to raise equity capital.</w:t>
      </w:r>
    </w:p>
    <w:p>
      <w:pPr>
        <w:spacing w:after="0" w:line="183"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8"/>
          <w:szCs w:val="18"/>
          <w:color w:val="32406B"/>
        </w:rPr>
        <w:t>Based on the number of ordinary shares outstanding on September 30, 2020, after giving effect to the closing of the Series C financing and upon completion of this offering and the conversion of all of our preferred shares into ordinary shares, 31,839,776 ordinary shares will be outstanding, assuming no exercise of outstanding options or the underwriters’ over-allotment option. All of the ordinary shares sold in this offering will be freely tradable without restrictions or further registration under the Securities Act, except for any ordinary shares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189"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Additionally, of the options to purchase 1,572,295 ordinary shares outstanding as of January 1, 2021 and assuming no outstanding options or warrants are exercised and no exercise of the underwriters’ overallotment option, 409,795 options exercisable for 409,795 ordinary shares will be vested and eligible for sale 180 days after the date of this prospectus subject to Dutch law.</w:t>
      </w:r>
    </w:p>
    <w:p>
      <w:pPr>
        <w:spacing w:after="0" w:line="176"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32406B"/>
        </w:rPr>
        <w:t>Under the lock-up agreements described below and the provisions of Rules 144 and 701 under the Securities Act, and assuming no exercise of the underwriters’ overallotment option, these restricted securities will be available for sale in the public market as follows:</w:t>
      </w:r>
    </w:p>
    <w:p>
      <w:pPr>
        <w:spacing w:after="0" w:line="67" w:lineRule="exact"/>
        <w:rPr>
          <w:sz w:val="20"/>
          <w:szCs w:val="20"/>
          <w:color w:val="auto"/>
        </w:rPr>
      </w:pPr>
    </w:p>
    <w:p>
      <w:pPr>
        <w:ind w:left="1000" w:hanging="547"/>
        <w:spacing w:after="0"/>
        <w:tabs>
          <w:tab w:leader="none" w:pos="1000" w:val="left"/>
        </w:tabs>
        <w:numPr>
          <w:ilvl w:val="0"/>
          <w:numId w:val="10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approximately 8,270,500 ordinary shares will be eligible for immediate sale on the date of this prospectus; and</w:t>
      </w:r>
    </w:p>
    <w:p>
      <w:pPr>
        <w:spacing w:after="0" w:line="130" w:lineRule="exact"/>
        <w:rPr>
          <w:rFonts w:ascii="Times New Roman" w:cs="Times New Roman" w:eastAsia="Times New Roman" w:hAnsi="Times New Roman"/>
          <w:sz w:val="18"/>
          <w:szCs w:val="18"/>
          <w:color w:val="32406B"/>
        </w:rPr>
      </w:pPr>
    </w:p>
    <w:p>
      <w:pPr>
        <w:ind w:left="1000" w:right="40" w:hanging="547"/>
        <w:spacing w:after="0" w:line="266" w:lineRule="auto"/>
        <w:tabs>
          <w:tab w:leader="none" w:pos="1000" w:val="left"/>
        </w:tabs>
        <w:numPr>
          <w:ilvl w:val="0"/>
          <w:numId w:val="10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31,839,776 ordinary shares will be eligible for sale upon the expiration of the lock-up and market standoff agreements 180 days after the date of this prospectus,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that ordinary shares held by our affiliates will remain subject to volume, manner of sale, and other resale limitations set forth in Rule 144, as described below and subject to Dutch law.</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2406B"/>
        </w:rPr>
        <w:t>In addition, following the expiration of the lock-up period, certain shareholders will have the right, subject to certain conditions, to require us to register the sale of their ordinary shares under federal securities laws. See “Related Party Transactions—Shareholders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Rule 144</w:t>
      </w:r>
    </w:p>
    <w:p>
      <w:pPr>
        <w:spacing w:after="0" w:line="121"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32406B"/>
        </w:rPr>
        <w:t>In general, non-affiliate and affiliates, are entitled to sell their securities without registration with the SEC under an exemption from registration provided by Rule 144 under the Securities Act.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Non-Affiliates</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Any person who is not deemed to have been one of our affiliates at the time of, or at any time during the three months preceding, a sale may sell an unlimited number of restricted securities under Rule 144 if:</w:t>
      </w:r>
    </w:p>
    <w:p>
      <w:pPr>
        <w:spacing w:after="0" w:line="67" w:lineRule="exact"/>
        <w:rPr>
          <w:sz w:val="20"/>
          <w:szCs w:val="20"/>
          <w:color w:val="auto"/>
        </w:rPr>
      </w:pPr>
    </w:p>
    <w:p>
      <w:pPr>
        <w:ind w:left="1000" w:right="40" w:hanging="547"/>
        <w:spacing w:after="0" w:line="282" w:lineRule="auto"/>
        <w:tabs>
          <w:tab w:leader="none" w:pos="1000" w:val="left"/>
        </w:tabs>
        <w:numPr>
          <w:ilvl w:val="0"/>
          <w:numId w:val="10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restricted securities have been held for at least six months, including the holding period of any prior owner other than one of our affiliates (subject to certain exceptions);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we have been subject to the Exchange Act periodic reporting requirements for at least 90 days before the sale; and</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during the first year the person has held the shares, we are current in our Exchange Act reporting at the time of sale.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175</w:t>
      </w:r>
    </w:p>
    <w:p>
      <w:pPr>
        <w:sectPr>
          <w:pgSz w:w="11900" w:h="16838" w:orient="portrait"/>
          <w:cols w:equalWidth="0" w:num="1">
            <w:col w:w="11220"/>
          </w:cols>
          <w:pgMar w:left="320" w:top="455" w:right="3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Affiliates</w:t>
      </w:r>
    </w:p>
    <w:p>
      <w:pPr>
        <w:spacing w:after="0" w:line="121"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8"/>
          <w:szCs w:val="18"/>
          <w:color w:val="32406B"/>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85" w:lineRule="exact"/>
        <w:rPr>
          <w:sz w:val="20"/>
          <w:szCs w:val="20"/>
          <w:color w:val="auto"/>
        </w:rPr>
      </w:pPr>
    </w:p>
    <w:p>
      <w:pPr>
        <w:ind w:left="1000" w:hanging="547"/>
        <w:spacing w:after="0" w:line="266" w:lineRule="auto"/>
        <w:tabs>
          <w:tab w:leader="none" w:pos="1000" w:val="left"/>
        </w:tabs>
        <w:numPr>
          <w:ilvl w:val="0"/>
          <w:numId w:val="10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1% of the number of ordinary shares then outstanding, which will equal approximately 318,398 shares immediately after the consummation of this offering based on the number of ordinary shares outstanding as of September 30, 2020, after giving effect to the closing of the Series C financing and the conversion of all of our preferred shares into ordinary shares; or</w:t>
      </w:r>
    </w:p>
    <w:p>
      <w:pPr>
        <w:spacing w:after="0" w:line="81" w:lineRule="exact"/>
        <w:rPr>
          <w:rFonts w:ascii="Times New Roman" w:cs="Times New Roman" w:eastAsia="Times New Roman" w:hAnsi="Times New Roman"/>
          <w:sz w:val="18"/>
          <w:szCs w:val="18"/>
          <w:color w:val="32406B"/>
        </w:rPr>
      </w:pPr>
    </w:p>
    <w:p>
      <w:pPr>
        <w:ind w:left="1000" w:right="220" w:hanging="547"/>
        <w:spacing w:after="0" w:line="282" w:lineRule="auto"/>
        <w:tabs>
          <w:tab w:leader="none" w:pos="1000" w:val="left"/>
        </w:tabs>
        <w:numPr>
          <w:ilvl w:val="0"/>
          <w:numId w:val="10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average weekly trading volume of our ordinary shares on the Nasdaq during the four calendar weeks preceding the filing of a notice on Form 144 with respect to the sale.</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Additionally, persons who are our affiliates at the time of, or any time during the three months preceding, a sale may sell unrestricted securities under the requirements of Rule 144 described above, without regard to the six month holding period of Rule 144.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Rule 701</w:t>
      </w:r>
    </w:p>
    <w:p>
      <w:pPr>
        <w:spacing w:after="0" w:line="12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Rule 701 under the Securities Act, as in effect on the date of this prospectus, permits resales of ordinary shares in reliance upon Rule 144 but without compliance with certain restrictions of Rule 144, including the holding period requirement. Most of our employees, executive officers or directors who purchased ordinary shares under a written compensatory plan or contract may be entitled to rely on the resale provisions of Rule 701, but all holders of Rule 701 ordinary shares are required to wait until 90 days after the date of this prospectus before selling their ordinary shares subject also to Dutch law. However, all Rule 701 ordinary shares are subject to lockup agreements as described below and in the section of this prospectus titled “Underwriting” and will not become eligible for sale until the expiration of the restrictions set forth in those agreements.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Options to Purchase Ordinary Shares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We intend to file a registration statement on Form S-8 under the U.S. Securities Act to register all ordinary shares issued or issuable pursuant to the exercise of outstanding options and other equity awards to purchase ordinary shares shortly after the date of this prospectus. This registration statement will become effective immediately upon filing. Ordinary shares covered by this registration statement will then be eligible for sale in the public markets, subject to vesting restrictions and any applicable holding periods,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Regulation S</w:t>
      </w:r>
    </w:p>
    <w:p>
      <w:pPr>
        <w:spacing w:after="0" w:line="121" w:lineRule="exact"/>
        <w:rPr>
          <w:sz w:val="20"/>
          <w:szCs w:val="20"/>
          <w:color w:val="auto"/>
        </w:rPr>
      </w:pPr>
    </w:p>
    <w:p>
      <w:pPr>
        <w:jc w:val="both"/>
        <w:ind w:right="60" w:firstLine="449"/>
        <w:spacing w:after="0" w:line="266" w:lineRule="auto"/>
        <w:rPr>
          <w:sz w:val="20"/>
          <w:szCs w:val="20"/>
          <w:color w:val="auto"/>
        </w:rPr>
      </w:pPr>
      <w:r>
        <w:rPr>
          <w:rFonts w:ascii="Times New Roman" w:cs="Times New Roman" w:eastAsia="Times New Roman" w:hAnsi="Times New Roman"/>
          <w:sz w:val="18"/>
          <w:szCs w:val="18"/>
          <w:color w:val="32406B"/>
        </w:rPr>
        <w:t>Regulation S provides generally that sales made in offshore transactions are not subject to the registration or prospectus-delivery requirements of the Securities Act. Accordingly, restricted securities may be sold in offshore transactions in compliance with Regulation S. Offshore transactions are issuances of securities by an issuer, underwriters, affiliates of the issuer and individuals, outside of the United States. As such, the sale of shares by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176</w:t>
      </w:r>
    </w:p>
    <w:p>
      <w:pPr>
        <w:sectPr>
          <w:pgSz w:w="11900" w:h="16838" w:orient="portrait"/>
          <w:cols w:equalWidth="0" w:num="1">
            <w:col w:w="11220"/>
          </w:cols>
          <w:pgMar w:left="320" w:top="455" w:right="3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32406B"/>
        </w:rPr>
        <w:t>us, or our shareholders, outside of the United States could be an “offshore” transaction and not subject to the Securities Act registration requirements, in certain circumstances and subject to specified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Lock-Up Agreements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We, the members of our Board, our Senior Management and certain of our other existing security holders have agreed, subject to specified exceptions, for a period of 180 days after the date of this prospectus without the prior written consent of Morgan Stanley &amp; Co. LLC, BofA Securities, Inc. and SVB Leerink LLC, not to directly or indirectly:</w:t>
      </w:r>
    </w:p>
    <w:p>
      <w:pPr>
        <w:spacing w:after="0" w:line="81" w:lineRule="exact"/>
        <w:rPr>
          <w:sz w:val="20"/>
          <w:szCs w:val="20"/>
          <w:color w:val="auto"/>
        </w:rPr>
      </w:pPr>
    </w:p>
    <w:p>
      <w:pPr>
        <w:ind w:left="1000" w:right="20" w:hanging="547"/>
        <w:spacing w:after="0" w:line="282" w:lineRule="auto"/>
        <w:tabs>
          <w:tab w:leader="none" w:pos="1000" w:val="left"/>
        </w:tabs>
        <w:numPr>
          <w:ilvl w:val="0"/>
          <w:numId w:val="10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sell, offer, contract or grant any option to sell (including any short sale), pledge, transfer, or establish an open “put equivalent position” within the meaning of Rule 16a-1(h) under the Exchange Act;</w:t>
      </w:r>
    </w:p>
    <w:p>
      <w:pPr>
        <w:spacing w:after="0" w:line="67" w:lineRule="exact"/>
        <w:rPr>
          <w:rFonts w:ascii="Times New Roman" w:cs="Times New Roman" w:eastAsia="Times New Roman" w:hAnsi="Times New Roman"/>
          <w:sz w:val="18"/>
          <w:szCs w:val="18"/>
          <w:color w:val="32406B"/>
        </w:rPr>
      </w:pPr>
    </w:p>
    <w:p>
      <w:pPr>
        <w:ind w:left="1000" w:right="640" w:hanging="547"/>
        <w:spacing w:after="0" w:line="282" w:lineRule="auto"/>
        <w:tabs>
          <w:tab w:leader="none" w:pos="1000" w:val="left"/>
        </w:tabs>
        <w:numPr>
          <w:ilvl w:val="0"/>
          <w:numId w:val="10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otherwise dispose of any ordinary shares or securities exchangeable or exercisable for or convertible into ordinary shares currently or hereafter owned either of record or beneficially; or</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publicly announce an intention to do any of the foregoing.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This restriction terminates after the close of trading of our ordinary shares on and including the 180th day after the date of this prospectus.</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Morgan Stanley &amp; Co. LLC, BofA Securities, Inc. and SVB Leerink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ordinary shares prior to the expiration of the lock-up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Directed Share Program</w:t>
      </w:r>
    </w:p>
    <w:p>
      <w:pPr>
        <w:spacing w:after="0" w:line="121" w:lineRule="exact"/>
        <w:rPr>
          <w:sz w:val="20"/>
          <w:szCs w:val="20"/>
          <w:color w:val="auto"/>
        </w:rPr>
      </w:pPr>
    </w:p>
    <w:p>
      <w:pPr>
        <w:ind w:right="200" w:firstLine="449"/>
        <w:spacing w:after="0" w:line="281" w:lineRule="auto"/>
        <w:rPr>
          <w:sz w:val="20"/>
          <w:szCs w:val="20"/>
          <w:color w:val="auto"/>
        </w:rPr>
      </w:pPr>
      <w:r>
        <w:rPr>
          <w:rFonts w:ascii="Times New Roman" w:cs="Times New Roman" w:eastAsia="Times New Roman" w:hAnsi="Times New Roman"/>
          <w:sz w:val="17"/>
          <w:szCs w:val="17"/>
          <w:color w:val="32406B"/>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 Shares purchased through the directed share program will not be subject to lockup restrictions with the underwriters, except in the case of shares purchased by any of our directors, officers or employees. For additional information, see the section titled “Underwriting—Directed Share Program.”</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177</w:t>
      </w:r>
    </w:p>
    <w:p>
      <w:pPr>
        <w:sectPr>
          <w:pgSz w:w="11900" w:h="16838" w:orient="portrait"/>
          <w:cols w:equalWidth="0" w:num="1">
            <w:col w:w="11240"/>
          </w:cols>
          <w:pgMar w:left="320" w:top="455" w:right="3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MATERIAL UNITED STATES AND DUTCH INCOME TAX CONSIDERATIONS</w:t>
      </w:r>
    </w:p>
    <w:p>
      <w:pPr>
        <w:spacing w:after="0" w:line="229"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The information presented under the caption “—Material U.S. Federal Income Tax Considerations to U.S. Holders” below is a discussion of material U.S. federal income tax considerations to a U.S. Holder (as defined below) of investing in our ordinary shares. The information presented under the caption “—Dutch Tax Consequences” is a discussion of the material Dutch tax consequences of investing in our ordinary shares.</w:t>
      </w:r>
    </w:p>
    <w:p>
      <w:pPr>
        <w:spacing w:after="0" w:line="176"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32406B"/>
        </w:rPr>
        <w:t>You should consult your tax advisor regarding the applicable tax consequences to you of investing in our ordinary shares under the laws of the United States (federal, state and local), the Netherlands, and any other applicable jurisdiction.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Material U.S. Federal Income Tax Considerations to U.S. Holders</w:t>
      </w:r>
    </w:p>
    <w:p>
      <w:pPr>
        <w:spacing w:after="0" w:line="12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The following is a discussion of the material U.S. federal income tax consequences to the U.S. Holders, as defined below, of owning and disposing of our ordinary shares. It does not describe all tax considerations that may be relevant to a particular person’s decision to acquire our ordinary shares. This discussion applies only to a U.S. Holder that purchases our ordinary shares in connection with this offering and holds such ordinary shares as capital assets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94" w:lineRule="exact"/>
        <w:rPr>
          <w:sz w:val="20"/>
          <w:szCs w:val="20"/>
          <w:color w:val="auto"/>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certain financial institutions;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corporations that accumulate earnings to avoid U.S. federal income tax, or expatriated entities subject to Section 7874 of the Code;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dealers or traders in securities who use a mark-to-market method of tax accounting;</w:t>
      </w:r>
    </w:p>
    <w:p>
      <w:pPr>
        <w:spacing w:after="0" w:line="130"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persons holding ordinary shares as part of a hedging transaction, straddle, wash sale, conversion transaction or other integrated transaction or persons entering into a constructive sale with respect to ordinary shares;</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persons whose functional currency for U.S. federal income tax purposes is not the U.S. dollar;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entities classified as partnerships for U.S. federal income tax purposes or other pass-through entities or investors in such entities;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tax-exempt entities, including an “individual retirement account” or “Roth IRA”;</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any persons directly or indirectly acquiring ordinary shares in connection with the performance of services;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persons who are subject to Section 451(b) of the Code;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persons that own or are deemed to own ten percent or more of our ordinary shares (by vote or value);</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 corporations, regulated investment companies, real estate investment trusts, real estate mortgage investment conduits; or</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persons holding ordinary shares in connection with a trade or business conducted outside of the United States.</w:t>
      </w:r>
    </w:p>
    <w:p>
      <w:pPr>
        <w:spacing w:after="0" w:line="225"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8"/>
          <w:szCs w:val="18"/>
          <w:color w:val="32406B"/>
        </w:rPr>
        <w:t>If an entity that is classified as a partnership for U.S. federal income tax purposes holds ordinary shares, the U.S. federal income tax treatment of a partner will generally depend on the status of the partner and the activities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178</w:t>
      </w:r>
    </w:p>
    <w:p>
      <w:pPr>
        <w:sectPr>
          <w:pgSz w:w="11900" w:h="16838" w:orient="portrait"/>
          <w:cols w:equalWidth="0" w:num="1">
            <w:col w:w="11220"/>
          </w:cols>
          <w:pgMar w:left="320" w:top="455" w:right="3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32406B"/>
        </w:rPr>
        <w:t>of the partner and the partnership. Partnerships holding ordinary shares and partners in such partnerships should consult their tax advisers as to the particular U.S. federal income tax consequences of owning and disposing of ordinary shares.</w:t>
      </w:r>
    </w:p>
    <w:p>
      <w:pPr>
        <w:spacing w:after="0" w:line="162"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 “U.S. Holder” is a holder who, for U.S. federal income tax purposes, is a beneficial owner of ordinary shares, who is eligible for the benefits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Treaty and who is:</w:t>
      </w:r>
    </w:p>
    <w:p>
      <w:pPr>
        <w:spacing w:after="0" w:line="112" w:lineRule="exact"/>
        <w:rPr>
          <w:sz w:val="20"/>
          <w:szCs w:val="20"/>
          <w:color w:val="auto"/>
        </w:rPr>
      </w:pPr>
    </w:p>
    <w:p>
      <w:pPr>
        <w:ind w:left="1000" w:hanging="547"/>
        <w:spacing w:after="0"/>
        <w:tabs>
          <w:tab w:leader="none" w:pos="1000" w:val="left"/>
        </w:tabs>
        <w:numPr>
          <w:ilvl w:val="0"/>
          <w:numId w:val="10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citizen or individual resident of the United States;</w:t>
      </w:r>
    </w:p>
    <w:p>
      <w:pPr>
        <w:spacing w:after="0" w:line="130" w:lineRule="exact"/>
        <w:rPr>
          <w:rFonts w:ascii="Times New Roman" w:cs="Times New Roman" w:eastAsia="Times New Roman" w:hAnsi="Times New Roman"/>
          <w:sz w:val="18"/>
          <w:szCs w:val="18"/>
          <w:color w:val="32406B"/>
        </w:rPr>
      </w:pPr>
    </w:p>
    <w:p>
      <w:pPr>
        <w:ind w:left="1000" w:right="180" w:hanging="547"/>
        <w:spacing w:after="0" w:line="282" w:lineRule="auto"/>
        <w:tabs>
          <w:tab w:leader="none" w:pos="1000" w:val="left"/>
        </w:tabs>
        <w:numPr>
          <w:ilvl w:val="0"/>
          <w:numId w:val="10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corporation, or other entity taxable as a corporation, created or organized in or under the laws of the United States, any state therein or the District of Columbia;</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0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32406B"/>
        </w:rPr>
      </w:pPr>
    </w:p>
    <w:p>
      <w:pPr>
        <w:ind w:left="1000" w:right="320" w:hanging="547"/>
        <w:spacing w:after="0" w:line="266" w:lineRule="auto"/>
        <w:tabs>
          <w:tab w:leader="none" w:pos="1000" w:val="left"/>
        </w:tabs>
        <w:numPr>
          <w:ilvl w:val="0"/>
          <w:numId w:val="10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right="340" w:firstLine="449"/>
        <w:spacing w:after="0" w:line="258" w:lineRule="auto"/>
        <w:rPr>
          <w:sz w:val="20"/>
          <w:szCs w:val="20"/>
          <w:color w:val="auto"/>
        </w:rPr>
      </w:pPr>
      <w:r>
        <w:rPr>
          <w:rFonts w:ascii="Times New Roman" w:cs="Times New Roman" w:eastAsia="Times New Roman" w:hAnsi="Times New Roman"/>
          <w:sz w:val="18"/>
          <w:szCs w:val="18"/>
          <w:color w:val="32406B"/>
        </w:rPr>
        <w:t>THIS SUMMARY IS FOR GENERAL INFORMATION PURPOSES ONLY, AND IS NOT INTENDED TO BE, AND SHOULD NOT BE CONSTRUED TO BE, LEGAL OR TAX ADVICE TO ANY PARTICULAR HOLDER. PROSPECTIVE INVESTORS ARE URGED TO CONSULT THEIR TAX ADVISORS WITH REGARD TO THE APPLICATION OF THE U.S. FEDERAL INCOME TAX LAWS, AS WELL AS THE APPLICATION OF U.S. NON-INCOME TAX LAWS AND THE LAWS OF ANY STATE, LOCAL OR NON-U.S. JURISDICTION, IN LIGHT OF THEIR PARTICULAR SITUATION.</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Taxation of Distributions</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As discussed above under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not be eligible for the dividends-received deduction generally available to U.S. corporations under the United States Internal Revenue Code.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179</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32406B"/>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Sale or Other Disposition of Ordinary Shares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32406B"/>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Passive Foreign Investment Company Rules</w:t>
      </w:r>
    </w:p>
    <w:p>
      <w:pPr>
        <w:spacing w:after="0" w:line="121" w:lineRule="exact"/>
        <w:rPr>
          <w:sz w:val="20"/>
          <w:szCs w:val="20"/>
          <w:color w:val="auto"/>
        </w:rPr>
      </w:pPr>
    </w:p>
    <w:p>
      <w:pPr>
        <w:ind w:right="20" w:firstLine="449"/>
        <w:spacing w:after="0" w:line="252" w:lineRule="auto"/>
        <w:rPr>
          <w:sz w:val="20"/>
          <w:szCs w:val="20"/>
          <w:color w:val="auto"/>
        </w:rPr>
      </w:pPr>
      <w:r>
        <w:rPr>
          <w:rFonts w:ascii="Times New Roman" w:cs="Times New Roman" w:eastAsia="Times New Roman" w:hAnsi="Times New Roman"/>
          <w:sz w:val="18"/>
          <w:szCs w:val="18"/>
          <w:color w:val="32406B"/>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the nature of our business, our financial statements, our expectations about the nature and amount of our income, assets and activities and the expected price of our ordinary shares in this offering, we do not believe we were a PFIC in 2019 and we do not expect to be a PFIC for our current taxable year or in the foreseeable future. In addition, we may, directly or indirectly, hold equity interests in other PFICs, or Lower-tier PFICs. Whether we or any of our subsidiaries will be a PFIC in 2020 or any future year is a factual determination that must be made annually at the close of each taxable year, and, thus, is subject to significant uncertainty, because among other things (i) a determination of whether a company is a PFIC must be made annually after the end of each taxable year and will depend on the composition of our income and assets and the market value of our assets from time to time and (ii) we will hold a substantial amount of cash following this offering, we cannot assure you that we will not be a PFIC for the current or any future taxable year. Accordingly, there can be no assurance that we will not be a PFIC in 2020 or any future taxable year and our United States tax counsel expresses no opinion regarding our PFIC status for any prior, current or future taxable year. If we are a PFIC for any year during which a U.S. Holder holds or is deemed to hold ordinary shares, we generally would continue to be treated as a PFIC with respect to that U.S. Holder for all succeeding years during which the U.S. Holder holds or is deemed to hold</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180</w:t>
      </w:r>
    </w:p>
    <w:p>
      <w:pPr>
        <w:sectPr>
          <w:pgSz w:w="11900" w:h="16838" w:orient="portrait"/>
          <w:cols w:equalWidth="0" w:num="1">
            <w:col w:w="11240"/>
          </w:cols>
          <w:pgMar w:left="320" w:top="455" w:right="3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32406B"/>
        </w:rPr>
        <w:t>ordinary shares, even if we ceased to meet the threshold requirements for PFIC status, unless under certain circumstances the U.S. Holder makes a valid deemed sale or deemed dividend election under the applicable Treasury regulations with respect to its ordinary shares.</w:t>
      </w:r>
    </w:p>
    <w:p>
      <w:pPr>
        <w:spacing w:after="0" w:line="16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w:t>
      </w:r>
    </w:p>
    <w:p>
      <w:pPr>
        <w:ind w:right="280" w:firstLine="8"/>
        <w:spacing w:after="0" w:line="260" w:lineRule="auto"/>
        <w:tabs>
          <w:tab w:leader="none" w:pos="265" w:val="left"/>
        </w:tabs>
        <w:numPr>
          <w:ilvl w:val="0"/>
          <w:numId w:val="11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disposition of shares of a Lower-tier PFIC, in each case as if the U.S. Holder held such shares directly, even if the U.S. Holder has not received the proceeds of those distributions or dispositions.</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88" w:lineRule="exact"/>
        <w:rPr>
          <w:sz w:val="20"/>
          <w:szCs w:val="20"/>
          <w:color w:val="auto"/>
        </w:rPr>
      </w:pPr>
    </w:p>
    <w:p>
      <w:pPr>
        <w:ind w:right="100" w:firstLine="449"/>
        <w:spacing w:after="0" w:line="252" w:lineRule="auto"/>
        <w:rPr>
          <w:sz w:val="20"/>
          <w:szCs w:val="20"/>
          <w:color w:val="auto"/>
        </w:rPr>
      </w:pPr>
      <w:r>
        <w:rPr>
          <w:rFonts w:ascii="Times New Roman" w:cs="Times New Roman" w:eastAsia="Times New Roman" w:hAnsi="Times New Roman"/>
          <w:sz w:val="18"/>
          <w:szCs w:val="18"/>
          <w:color w:val="32406B"/>
        </w:rPr>
        <w:t xml:space="preserve">A U.S. Holder can avoid certain of the adverse rules described above by making a mark-to-market election with respect to its ordinary shares, </w:t>
      </w:r>
      <w:r>
        <w:rPr>
          <w:rFonts w:ascii="Times New Roman" w:cs="Times New Roman" w:eastAsia="Times New Roman" w:hAnsi="Times New Roman"/>
          <w:sz w:val="18"/>
          <w:szCs w:val="18"/>
          <w:i w:val="1"/>
          <w:iCs w:val="1"/>
          <w:color w:val="32406B"/>
        </w:rPr>
        <w:t xml:space="preserve">provided </w:t>
      </w:r>
      <w:r>
        <w:rPr>
          <w:rFonts w:ascii="Times New Roman" w:cs="Times New Roman" w:eastAsia="Times New Roman" w:hAnsi="Times New Roman"/>
          <w:sz w:val="18"/>
          <w:szCs w:val="18"/>
          <w:color w:val="32406B"/>
        </w:rPr>
        <w:t>that the ordinary shares are “marketable.” Ordinary shares will be marketable if they are “regularly traded” on a “qualified exchange” or other</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market 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97" w:lineRule="exact"/>
        <w:rPr>
          <w:sz w:val="20"/>
          <w:szCs w:val="20"/>
          <w:color w:val="auto"/>
        </w:rPr>
      </w:pPr>
    </w:p>
    <w:p>
      <w:pPr>
        <w:ind w:right="100" w:firstLine="449"/>
        <w:spacing w:after="0" w:line="254" w:lineRule="auto"/>
        <w:rPr>
          <w:sz w:val="20"/>
          <w:szCs w:val="20"/>
          <w:color w:val="auto"/>
        </w:rPr>
      </w:pPr>
      <w:r>
        <w:rPr>
          <w:rFonts w:ascii="Times New Roman" w:cs="Times New Roman" w:eastAsia="Times New Roman" w:hAnsi="Times New Roman"/>
          <w:sz w:val="18"/>
          <w:szCs w:val="18"/>
          <w:color w:val="32406B"/>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181</w:t>
      </w:r>
    </w:p>
    <w:p>
      <w:pPr>
        <w:sectPr>
          <w:pgSz w:w="11900" w:h="16838" w:orient="portrait"/>
          <w:cols w:equalWidth="0" w:num="1">
            <w:col w:w="11240"/>
          </w:cols>
          <w:pgMar w:left="320" w:top="455" w:right="3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32406B"/>
        </w:rPr>
        <w:t>(at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90"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76"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76"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U.S. Holders should consult their tax advisors concerning our potential PFIC status and the potential application of the PFIC rules. The U.S. federal income tax rules relating to PFICs are very complex. U.S. Holders are strongly urged to consult their tax advisors with respect to the impact of PFIC status on the purchase, ownership and disposition of our ordinary shares, as applicable, the consequences to them of an investment in a PFIC (and any Lower-tier PFICs), any elections available with respect to the ordinary shares and the IRS information reporting obligations with respect to the purchase, ownership and disposition of ordinary shares of a PFIC.</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Information Reporting and Backup Withholding</w:t>
      </w:r>
    </w:p>
    <w:p>
      <w:pPr>
        <w:spacing w:after="0" w:line="121" w:lineRule="exact"/>
        <w:rPr>
          <w:sz w:val="20"/>
          <w:szCs w:val="20"/>
          <w:color w:val="auto"/>
        </w:rPr>
      </w:pPr>
    </w:p>
    <w:p>
      <w:pPr>
        <w:ind w:right="260" w:firstLine="449"/>
        <w:spacing w:after="0" w:line="276" w:lineRule="auto"/>
        <w:rPr>
          <w:sz w:val="20"/>
          <w:szCs w:val="20"/>
          <w:color w:val="auto"/>
        </w:rPr>
      </w:pPr>
      <w:r>
        <w:rPr>
          <w:rFonts w:ascii="Times New Roman" w:cs="Times New Roman" w:eastAsia="Times New Roman" w:hAnsi="Times New Roman"/>
          <w:sz w:val="17"/>
          <w:szCs w:val="17"/>
          <w:color w:val="32406B"/>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right="580" w:firstLine="8"/>
        <w:spacing w:after="0" w:line="260" w:lineRule="auto"/>
        <w:tabs>
          <w:tab w:leader="none" w:pos="265" w:val="left"/>
        </w:tabs>
        <w:numPr>
          <w:ilvl w:val="0"/>
          <w:numId w:val="11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the case of backup withholding, the U.S. Holder provides a correct taxpayer identification number and certifies that it is not subject to backup withholding.</w:t>
      </w:r>
    </w:p>
    <w:p>
      <w:pPr>
        <w:spacing w:after="0" w:line="18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 xml:space="preserve">The amount of any backup withholding from a payment to a U.S. Holder will be allowed as a credit against the U.S. Holder’s U.S. federal income tax liability and may entitle it to a refund,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that the required information is timely furnished to the IRS.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Information Reporting With Respect to Foreign Financial Assets</w:t>
      </w:r>
    </w:p>
    <w:p>
      <w:pPr>
        <w:spacing w:after="0" w:line="121"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8"/>
          <w:szCs w:val="18"/>
          <w:color w:val="32406B"/>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182</w:t>
      </w:r>
    </w:p>
    <w:p>
      <w:pPr>
        <w:sectPr>
          <w:pgSz w:w="11900" w:h="16838" w:orient="portrait"/>
          <w:cols w:equalWidth="0" w:num="1">
            <w:col w:w="11240"/>
          </w:cols>
          <w:pgMar w:left="320" w:top="455" w:right="3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9220"/>
        <w:spacing w:after="0"/>
        <w:rPr>
          <w:sz w:val="20"/>
          <w:szCs w:val="20"/>
          <w:color w:val="auto"/>
        </w:rPr>
      </w:pPr>
      <w:r>
        <w:rPr>
          <w:rFonts w:ascii="Times New Roman" w:cs="Times New Roman" w:eastAsia="Times New Roman" w:hAnsi="Times New Roman"/>
          <w:sz w:val="17"/>
          <w:szCs w:val="17"/>
          <w:b w:val="1"/>
          <w:bCs w:val="1"/>
          <w:color w:val="32406B"/>
        </w:rPr>
        <w:t>Dutch Tax Consequences</w:t>
      </w:r>
    </w:p>
    <w:p>
      <w:pPr>
        <w:spacing w:after="0" w:line="129" w:lineRule="exact"/>
        <w:rPr>
          <w:sz w:val="20"/>
          <w:szCs w:val="20"/>
          <w:color w:val="auto"/>
        </w:rPr>
      </w:pPr>
    </w:p>
    <w:p>
      <w:pPr>
        <w:jc w:val="right"/>
        <w:ind w:right="9220"/>
        <w:spacing w:after="0"/>
        <w:rPr>
          <w:sz w:val="20"/>
          <w:szCs w:val="20"/>
          <w:color w:val="auto"/>
        </w:rPr>
      </w:pPr>
      <w:r>
        <w:rPr>
          <w:rFonts w:ascii="Times New Roman" w:cs="Times New Roman" w:eastAsia="Times New Roman" w:hAnsi="Times New Roman"/>
          <w:sz w:val="18"/>
          <w:szCs w:val="18"/>
          <w:b w:val="1"/>
          <w:bCs w:val="1"/>
          <w:i w:val="1"/>
          <w:iCs w:val="1"/>
          <w:color w:val="32406B"/>
        </w:rPr>
        <w:t>Scope of Discussion</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To the extent this section consists of a statement as to matters of Dutch tax law, this section is the opinion of our Dutch counsel, NautaDutilh N.V., and outlines certain material Dutch tax consequences of the acquisition, holding and disposal of our ordinary shares. It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32406B"/>
        </w:rPr>
        <w:t>This section is based on the tax laws of the Netherlands, published regulations thereunder and published authoritative case law, all as in effect on the date hereof, and all of which are subject to change, possibly with retroactive effect. Where this section refers to “the Netherlands” or “Dutch” it refers only to the part of the Kingdom of the Netherlands located in Europe.</w:t>
      </w:r>
    </w:p>
    <w:p>
      <w:pPr>
        <w:spacing w:after="0" w:line="176" w:lineRule="exact"/>
        <w:rPr>
          <w:sz w:val="20"/>
          <w:szCs w:val="20"/>
          <w:color w:val="auto"/>
        </w:rPr>
      </w:pPr>
    </w:p>
    <w:p>
      <w:pPr>
        <w:ind w:right="140" w:firstLine="449"/>
        <w:spacing w:after="0" w:line="258" w:lineRule="auto"/>
        <w:rPr>
          <w:sz w:val="20"/>
          <w:szCs w:val="20"/>
          <w:color w:val="auto"/>
        </w:rPr>
      </w:pPr>
      <w:r>
        <w:rPr>
          <w:rFonts w:ascii="Times New Roman" w:cs="Times New Roman" w:eastAsia="Times New Roman" w:hAnsi="Times New Roman"/>
          <w:sz w:val="18"/>
          <w:szCs w:val="18"/>
          <w:color w:val="32406B"/>
        </w:rPr>
        <w:t>THIS DISCUSSION IS FOR GENERAL INFORMATION PURPOSES ONLY AND IS NOT DUTCH TAX ADVICE OR A COMPLETE DESCRIPTION OF ALL DUTCH TAX CONSEQUENCES RELATING TO THE ACQUISITION, HOLDING AND DISPOSAL OF THE SHARES. HOLDERS OR PROSPECTIVE HOLDERS OF ORDINARY SHARES SHOULD CONSULT THEIR OWN TAX ADVISORS REGARDING THE DUTCH TAX CONSEQUENCES RELATING TO THE ACQUISITION, HOLDING AND DISPOSAL OF THE ORDINARY SHARES IN LIGHT OF THEIR PARTICULAR CIRCUMSTANCES.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Please note that this section does not describe the Dutch tax consequences for:</w:t>
      </w:r>
    </w:p>
    <w:p>
      <w:pPr>
        <w:spacing w:after="0" w:line="131" w:lineRule="exact"/>
        <w:rPr>
          <w:sz w:val="20"/>
          <w:szCs w:val="20"/>
          <w:color w:val="auto"/>
        </w:rPr>
      </w:pPr>
    </w:p>
    <w:p>
      <w:pPr>
        <w:ind w:left="1000" w:right="40" w:hanging="317"/>
        <w:spacing w:after="0" w:line="254" w:lineRule="auto"/>
        <w:tabs>
          <w:tab w:leader="none" w:pos="1000" w:val="left"/>
        </w:tabs>
        <w:numPr>
          <w:ilvl w:val="0"/>
          <w:numId w:val="1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holders of our ordinary shares if such holders, and in the case of individuals, such holder’s partner or certain of its relatives by blood or marriage in the direct line (including foster children), have a substantial interest (</w:t>
      </w:r>
      <w:r>
        <w:rPr>
          <w:rFonts w:ascii="Times New Roman" w:cs="Times New Roman" w:eastAsia="Times New Roman" w:hAnsi="Times New Roman"/>
          <w:sz w:val="18"/>
          <w:szCs w:val="18"/>
          <w:i w:val="1"/>
          <w:iCs w:val="1"/>
          <w:color w:val="32406B"/>
        </w:rPr>
        <w:t>aanmerkelijk belang</w:t>
      </w:r>
      <w:r>
        <w:rPr>
          <w:rFonts w:ascii="Times New Roman" w:cs="Times New Roman" w:eastAsia="Times New Roman" w:hAnsi="Times New Roman"/>
          <w:sz w:val="18"/>
          <w:szCs w:val="18"/>
          <w:color w:val="32406B"/>
        </w:rPr>
        <w:t>) or deemed substantial interest (</w:t>
      </w:r>
      <w:r>
        <w:rPr>
          <w:rFonts w:ascii="Times New Roman" w:cs="Times New Roman" w:eastAsia="Times New Roman" w:hAnsi="Times New Roman"/>
          <w:sz w:val="18"/>
          <w:szCs w:val="18"/>
          <w:i w:val="1"/>
          <w:iCs w:val="1"/>
          <w:color w:val="32406B"/>
        </w:rPr>
        <w:t>fictief</w:t>
      </w:r>
      <w:r>
        <w:rPr>
          <w:rFonts w:ascii="Times New Roman" w:cs="Times New Roman" w:eastAsia="Times New Roman" w:hAnsi="Times New Roman"/>
          <w:sz w:val="18"/>
          <w:szCs w:val="18"/>
          <w:color w:val="32406B"/>
        </w:rPr>
        <w:t xml:space="preserve"> </w:t>
      </w:r>
      <w:r>
        <w:rPr>
          <w:rFonts w:ascii="Times New Roman" w:cs="Times New Roman" w:eastAsia="Times New Roman" w:hAnsi="Times New Roman"/>
          <w:sz w:val="18"/>
          <w:szCs w:val="18"/>
          <w:i w:val="1"/>
          <w:iCs w:val="1"/>
          <w:color w:val="32406B"/>
        </w:rPr>
        <w:t>aanmerkelijk belang</w:t>
      </w:r>
      <w:r>
        <w:rPr>
          <w:rFonts w:ascii="Times New Roman" w:cs="Times New Roman" w:eastAsia="Times New Roman" w:hAnsi="Times New Roman"/>
          <w:sz w:val="18"/>
          <w:szCs w:val="18"/>
          <w:color w:val="32406B"/>
        </w:rPr>
        <w:t>) in us under the Dutch Income Tax Act 2001 (</w:t>
      </w:r>
      <w:r>
        <w:rPr>
          <w:rFonts w:ascii="Times New Roman" w:cs="Times New Roman" w:eastAsia="Times New Roman" w:hAnsi="Times New Roman"/>
          <w:sz w:val="18"/>
          <w:szCs w:val="18"/>
          <w:i w:val="1"/>
          <w:iCs w:val="1"/>
          <w:color w:val="32406B"/>
        </w:rPr>
        <w:t>Wet inkomstenbelasting 2001</w:t>
      </w:r>
      <w:r>
        <w:rPr>
          <w:rFonts w:ascii="Times New Roman" w:cs="Times New Roman" w:eastAsia="Times New Roman" w:hAnsi="Times New Roman"/>
          <w:sz w:val="18"/>
          <w:szCs w:val="18"/>
          <w:color w:val="32406B"/>
        </w:rPr>
        <w:t>). Generally speaking, a holder of securities</w:t>
      </w:r>
      <w:r>
        <w:rPr>
          <w:rFonts w:ascii="Times New Roman" w:cs="Times New Roman" w:eastAsia="Times New Roman" w:hAnsi="Times New Roman"/>
          <w:sz w:val="18"/>
          <w:szCs w:val="18"/>
          <w:i w:val="1"/>
          <w:iCs w:val="1"/>
          <w:color w:val="32406B"/>
        </w:rPr>
        <w:t xml:space="preserve"> </w:t>
      </w:r>
      <w:r>
        <w:rPr>
          <w:rFonts w:ascii="Times New Roman" w:cs="Times New Roman" w:eastAsia="Times New Roman" w:hAnsi="Times New Roman"/>
          <w:sz w:val="18"/>
          <w:szCs w:val="18"/>
          <w:color w:val="32406B"/>
        </w:rPr>
        <w:t>in a company is considered to hold a 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91" w:lineRule="exact"/>
        <w:rPr>
          <w:rFonts w:ascii="Times New Roman" w:cs="Times New Roman" w:eastAsia="Times New Roman" w:hAnsi="Times New Roman"/>
          <w:sz w:val="18"/>
          <w:szCs w:val="18"/>
          <w:color w:val="32406B"/>
        </w:rPr>
      </w:pPr>
    </w:p>
    <w:p>
      <w:pPr>
        <w:ind w:left="1000" w:hanging="367"/>
        <w:spacing w:after="0" w:line="258" w:lineRule="auto"/>
        <w:tabs>
          <w:tab w:leader="none" w:pos="1000" w:val="left"/>
        </w:tabs>
        <w:numPr>
          <w:ilvl w:val="0"/>
          <w:numId w:val="1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holders of our ordinary shares, if the ordinary shares held by such holders qualify or qualified as a participation (</w:t>
      </w:r>
      <w:r>
        <w:rPr>
          <w:rFonts w:ascii="Times New Roman" w:cs="Times New Roman" w:eastAsia="Times New Roman" w:hAnsi="Times New Roman"/>
          <w:sz w:val="18"/>
          <w:szCs w:val="18"/>
          <w:i w:val="1"/>
          <w:iCs w:val="1"/>
          <w:color w:val="32406B"/>
        </w:rPr>
        <w:t>deelneming</w:t>
      </w:r>
      <w:r>
        <w:rPr>
          <w:rFonts w:ascii="Times New Roman" w:cs="Times New Roman" w:eastAsia="Times New Roman" w:hAnsi="Times New Roman"/>
          <w:sz w:val="18"/>
          <w:szCs w:val="18"/>
          <w:color w:val="32406B"/>
        </w:rPr>
        <w:t>) for purposes of the Dutch Corporate Income Tax Act 1969 (</w:t>
      </w:r>
      <w:r>
        <w:rPr>
          <w:rFonts w:ascii="Times New Roman" w:cs="Times New Roman" w:eastAsia="Times New Roman" w:hAnsi="Times New Roman"/>
          <w:sz w:val="18"/>
          <w:szCs w:val="18"/>
          <w:i w:val="1"/>
          <w:iCs w:val="1"/>
          <w:color w:val="32406B"/>
        </w:rPr>
        <w:t>Wet op de vennootschapsbelasting 1969</w:t>
      </w:r>
      <w:r>
        <w:rPr>
          <w:rFonts w:ascii="Times New Roman" w:cs="Times New Roman" w:eastAsia="Times New Roman" w:hAnsi="Times New Roman"/>
          <w:sz w:val="18"/>
          <w:szCs w:val="18"/>
          <w:color w:val="32406B"/>
        </w:rPr>
        <w:t>). Generally, a holder’s shareholding of 5% or more in a company’s nominal paid-up share capital qualifies as a participation. A holder may also have a participation if such holder does not have a shareholding of 5% or more but a related entity (statutorily defined term) has a participation or if the company in which the shares are held is a related entity (statutorily defined term);</w:t>
      </w:r>
    </w:p>
    <w:p>
      <w:pPr>
        <w:spacing w:after="0" w:line="88" w:lineRule="exact"/>
        <w:rPr>
          <w:rFonts w:ascii="Times New Roman" w:cs="Times New Roman" w:eastAsia="Times New Roman" w:hAnsi="Times New Roman"/>
          <w:sz w:val="18"/>
          <w:szCs w:val="18"/>
          <w:color w:val="32406B"/>
        </w:rPr>
      </w:pPr>
    </w:p>
    <w:p>
      <w:pPr>
        <w:ind w:left="1000" w:right="20" w:hanging="417"/>
        <w:spacing w:after="0" w:line="258" w:lineRule="auto"/>
        <w:tabs>
          <w:tab w:leader="none" w:pos="1000" w:val="left"/>
        </w:tabs>
        <w:numPr>
          <w:ilvl w:val="0"/>
          <w:numId w:val="11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pension funds, investment institutions (</w:t>
      </w:r>
      <w:r>
        <w:rPr>
          <w:rFonts w:ascii="Times New Roman" w:cs="Times New Roman" w:eastAsia="Times New Roman" w:hAnsi="Times New Roman"/>
          <w:sz w:val="18"/>
          <w:szCs w:val="18"/>
          <w:i w:val="1"/>
          <w:iCs w:val="1"/>
          <w:color w:val="32406B"/>
        </w:rPr>
        <w:t>fiscale beleggingsinstellingen</w:t>
      </w:r>
      <w:r>
        <w:rPr>
          <w:rFonts w:ascii="Times New Roman" w:cs="Times New Roman" w:eastAsia="Times New Roman" w:hAnsi="Times New Roman"/>
          <w:sz w:val="18"/>
          <w:szCs w:val="18"/>
          <w:color w:val="32406B"/>
        </w:rPr>
        <w:t>), exempt investment institutions (</w:t>
      </w:r>
      <w:r>
        <w:rPr>
          <w:rFonts w:ascii="Times New Roman" w:cs="Times New Roman" w:eastAsia="Times New Roman" w:hAnsi="Times New Roman"/>
          <w:sz w:val="18"/>
          <w:szCs w:val="18"/>
          <w:i w:val="1"/>
          <w:iCs w:val="1"/>
          <w:color w:val="32406B"/>
        </w:rPr>
        <w:t>vrijgestelde beleggingsinstellingen</w:t>
      </w:r>
      <w:r>
        <w:rPr>
          <w:rFonts w:ascii="Times New Roman" w:cs="Times New Roman" w:eastAsia="Times New Roman" w:hAnsi="Times New Roman"/>
          <w:sz w:val="18"/>
          <w:szCs w:val="18"/>
          <w:color w:val="32406B"/>
        </w:rPr>
        <w:t>) (as defined in the Dutch Corporate Income Tax Act 1969) and other entities that are, in whole or in part, not subject to or exempt from Dutch corporate income tax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32406B"/>
        </w:rPr>
        <w:t>183</w:t>
      </w:r>
    </w:p>
    <w:p>
      <w:pPr>
        <w:sectPr>
          <w:pgSz w:w="11900" w:h="16838" w:orient="portrait"/>
          <w:cols w:equalWidth="0" w:num="1">
            <w:col w:w="11160"/>
          </w:cols>
          <w:pgMar w:left="320" w:top="455" w:right="41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160" w:hanging="396"/>
        <w:spacing w:after="0" w:line="282" w:lineRule="auto"/>
        <w:tabs>
          <w:tab w:leader="none" w:pos="1000" w:val="left"/>
        </w:tabs>
        <w:numPr>
          <w:ilvl w:val="0"/>
          <w:numId w:val="1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holders who may be deemed an owner of ordinary shares for Dutch tax purposes pursuant to specific statutory attribution rules in Dutch tax law;</w:t>
      </w:r>
    </w:p>
    <w:p>
      <w:pPr>
        <w:spacing w:after="0" w:line="67" w:lineRule="exact"/>
        <w:rPr>
          <w:rFonts w:ascii="Times New Roman" w:cs="Times New Roman" w:eastAsia="Times New Roman" w:hAnsi="Times New Roman"/>
          <w:sz w:val="18"/>
          <w:szCs w:val="18"/>
          <w:color w:val="32406B"/>
        </w:rPr>
      </w:pPr>
    </w:p>
    <w:p>
      <w:pPr>
        <w:ind w:left="1000" w:hanging="346"/>
        <w:spacing w:after="0"/>
        <w:tabs>
          <w:tab w:leader="none" w:pos="1000" w:val="left"/>
        </w:tabs>
        <w:numPr>
          <w:ilvl w:val="0"/>
          <w:numId w:val="1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holders who are for Dutch tax purposes taxable as a corporate entity and resident of Aruba, Curaçao or Sint Maarten; and</w:t>
      </w:r>
    </w:p>
    <w:p>
      <w:pPr>
        <w:spacing w:after="0" w:line="130" w:lineRule="exact"/>
        <w:rPr>
          <w:rFonts w:ascii="Times New Roman" w:cs="Times New Roman" w:eastAsia="Times New Roman" w:hAnsi="Times New Roman"/>
          <w:sz w:val="18"/>
          <w:szCs w:val="18"/>
          <w:color w:val="32406B"/>
        </w:rPr>
      </w:pPr>
    </w:p>
    <w:p>
      <w:pPr>
        <w:ind w:left="1000" w:right="500" w:hanging="407"/>
        <w:spacing w:after="0" w:line="266" w:lineRule="auto"/>
        <w:tabs>
          <w:tab w:leader="none" w:pos="1000" w:val="left"/>
        </w:tabs>
        <w:numPr>
          <w:ilvl w:val="0"/>
          <w:numId w:val="11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holders of our ordinary shares who are individuals for whom the ordinary shares or any benefit derived from the ordinary shares are a remuneration or deemed to be a remuneration for activities performed by such holders or certain individuals related to such holders (as defined in the Dutch Income Tax Act 2001).</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Dividend Withholding Tax</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General</w:t>
      </w:r>
    </w:p>
    <w:p>
      <w:pPr>
        <w:spacing w:after="0" w:line="119" w:lineRule="exact"/>
        <w:rPr>
          <w:sz w:val="20"/>
          <w:szCs w:val="20"/>
          <w:color w:val="auto"/>
        </w:rPr>
      </w:pPr>
    </w:p>
    <w:p>
      <w:pPr>
        <w:ind w:right="620" w:firstLine="449"/>
        <w:spacing w:after="0" w:line="282" w:lineRule="auto"/>
        <w:rPr>
          <w:sz w:val="20"/>
          <w:szCs w:val="20"/>
          <w:color w:val="auto"/>
        </w:rPr>
      </w:pPr>
      <w:r>
        <w:rPr>
          <w:rFonts w:ascii="Times New Roman" w:cs="Times New Roman" w:eastAsia="Times New Roman" w:hAnsi="Times New Roman"/>
          <w:sz w:val="18"/>
          <w:szCs w:val="18"/>
          <w:color w:val="32406B"/>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expression “dividends distributed” includes, among other things:</w:t>
      </w:r>
    </w:p>
    <w:p>
      <w:pPr>
        <w:spacing w:after="0" w:line="131" w:lineRule="exact"/>
        <w:rPr>
          <w:sz w:val="20"/>
          <w:szCs w:val="20"/>
          <w:color w:val="auto"/>
        </w:rPr>
      </w:pPr>
    </w:p>
    <w:p>
      <w:pPr>
        <w:ind w:left="1000" w:right="200" w:hanging="547"/>
        <w:spacing w:after="0" w:line="282" w:lineRule="auto"/>
        <w:tabs>
          <w:tab w:leader="none" w:pos="1000" w:val="left"/>
        </w:tabs>
        <w:numPr>
          <w:ilvl w:val="0"/>
          <w:numId w:val="1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distributions in cash or in kind, deemed and constructive distributions and repayments of paid-in capital not recognized for Dutch dividend withholding tax purposes;</w:t>
      </w:r>
    </w:p>
    <w:p>
      <w:pPr>
        <w:spacing w:after="0" w:line="67" w:lineRule="exact"/>
        <w:rPr>
          <w:rFonts w:ascii="Times New Roman" w:cs="Times New Roman" w:eastAsia="Times New Roman" w:hAnsi="Times New Roman"/>
          <w:sz w:val="18"/>
          <w:szCs w:val="18"/>
          <w:color w:val="32406B"/>
        </w:rPr>
      </w:pPr>
    </w:p>
    <w:p>
      <w:pPr>
        <w:ind w:left="1000" w:right="200" w:hanging="547"/>
        <w:spacing w:after="0" w:line="266" w:lineRule="auto"/>
        <w:tabs>
          <w:tab w:leader="none" w:pos="1000" w:val="left"/>
        </w:tabs>
        <w:numPr>
          <w:ilvl w:val="0"/>
          <w:numId w:val="1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liquidation proceeds, proceeds of redemption of our ordinary shares, or proceeds of the repurchase of ordinary shares by us or one of our subsidiaries or other affiliated entities to the extent such proceeds exceed the average paid-in capital of those ordinary shares as recognized for purposes of Dutch dividend withholding tax;</w:t>
      </w:r>
    </w:p>
    <w:p>
      <w:pPr>
        <w:spacing w:after="0" w:line="81" w:lineRule="exact"/>
        <w:rPr>
          <w:rFonts w:ascii="Times New Roman" w:cs="Times New Roman" w:eastAsia="Times New Roman" w:hAnsi="Times New Roman"/>
          <w:sz w:val="18"/>
          <w:szCs w:val="18"/>
          <w:color w:val="32406B"/>
        </w:rPr>
      </w:pPr>
    </w:p>
    <w:p>
      <w:pPr>
        <w:ind w:left="1000" w:right="80" w:hanging="547"/>
        <w:spacing w:after="0" w:line="282" w:lineRule="auto"/>
        <w:tabs>
          <w:tab w:leader="none" w:pos="1000" w:val="left"/>
        </w:tabs>
        <w:numPr>
          <w:ilvl w:val="0"/>
          <w:numId w:val="1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an amount equal to the par value of our ordinary shares issued or an increase of the par value of ordinary shares, to the extent that it does not appear that a contribution, recognized for purposes of Dutch dividend withholding tax, has been made or will be made; and</w:t>
      </w:r>
    </w:p>
    <w:p>
      <w:pPr>
        <w:spacing w:after="0" w:line="67" w:lineRule="exact"/>
        <w:rPr>
          <w:rFonts w:ascii="Times New Roman" w:cs="Times New Roman" w:eastAsia="Times New Roman" w:hAnsi="Times New Roman"/>
          <w:sz w:val="18"/>
          <w:szCs w:val="18"/>
          <w:color w:val="32406B"/>
        </w:rPr>
      </w:pPr>
    </w:p>
    <w:p>
      <w:pPr>
        <w:ind w:left="1000" w:right="180" w:hanging="547"/>
        <w:spacing w:after="0" w:line="266" w:lineRule="auto"/>
        <w:tabs>
          <w:tab w:leader="none" w:pos="1000" w:val="left"/>
        </w:tabs>
        <w:numPr>
          <w:ilvl w:val="0"/>
          <w:numId w:val="11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partial repayment of the paid-in capital, recognized for purposes of Dutch dividend withholding tax, if and to the extent that we have net profits (</w:t>
      </w:r>
      <w:r>
        <w:rPr>
          <w:rFonts w:ascii="Times New Roman" w:cs="Times New Roman" w:eastAsia="Times New Roman" w:hAnsi="Times New Roman"/>
          <w:sz w:val="18"/>
          <w:szCs w:val="18"/>
          <w:i w:val="1"/>
          <w:iCs w:val="1"/>
          <w:color w:val="32406B"/>
        </w:rPr>
        <w:t>zuivere winst</w:t>
      </w:r>
      <w:r>
        <w:rPr>
          <w:rFonts w:ascii="Times New Roman" w:cs="Times New Roman" w:eastAsia="Times New Roman" w:hAnsi="Times New Roman"/>
          <w:sz w:val="18"/>
          <w:szCs w:val="18"/>
          <w:color w:val="32406B"/>
        </w:rPr>
        <w:t>), unless (i) the general meeting has resolved in advance to make such repayment and (ii) the par value of the ordinary shares concerned has been reduced by an equal amount by way of an amendment of the Articles of Association.</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Individuals and corporate legal entities who are resident or deemed to be resident of the Netherlands for Dutch tax purposes (“Dutch Resident Individuals” and “Dutch Resident Entities,” as the case may be), generally are entitled to an exemption of or a credit for any Dutch dividend withholding tax against their income tax or corporate income tax liability and to a refund of any residual Dutch dividend withholding tax. The same generally applies to holders of ordinary shares that are neither resident nor deemed to be resident of the Netherlands if the ordinary shares are attributable to a Dutch permanent establishment of such non-resident holder.</w:t>
      </w:r>
    </w:p>
    <w:p>
      <w:pPr>
        <w:spacing w:after="0" w:line="183"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or a double taxation convention in effect between the Netherlands and such other country.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Remittance to the Dutch tax authorities</w:t>
      </w:r>
    </w:p>
    <w:p>
      <w:pPr>
        <w:spacing w:after="0" w:line="11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In general, we will be required to remit all amounts withheld as Dutch dividend withholding tax to the Dutch tax authorities. However, under certain circumstances, we are allowed to reduce the amount to be remitted to the Dutch tax authorities by the lesser of:</w:t>
      </w:r>
    </w:p>
    <w:p>
      <w:pPr>
        <w:spacing w:after="0" w:line="67" w:lineRule="exact"/>
        <w:rPr>
          <w:sz w:val="20"/>
          <w:szCs w:val="20"/>
          <w:color w:val="auto"/>
        </w:rPr>
      </w:pPr>
    </w:p>
    <w:p>
      <w:pPr>
        <w:ind w:left="5480" w:right="2900" w:hanging="5027"/>
        <w:spacing w:after="0" w:line="454" w:lineRule="auto"/>
        <w:tabs>
          <w:tab w:leader="none" w:pos="998" w:val="left"/>
        </w:tabs>
        <w:numPr>
          <w:ilvl w:val="0"/>
          <w:numId w:val="11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3% of the portion of the distribution paid by us that is subject to Dutch dividend withholding tax; and 184</w:t>
      </w:r>
    </w:p>
    <w:p>
      <w:pPr>
        <w:sectPr>
          <w:pgSz w:w="11900" w:h="16838" w:orient="portrait"/>
          <w:cols w:equalWidth="0" w:num="1">
            <w:col w:w="11200"/>
          </w:cols>
          <w:pgMar w:left="320" w:top="455" w:right="3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right="40" w:hanging="547"/>
        <w:spacing w:after="0" w:line="266" w:lineRule="auto"/>
        <w:tabs>
          <w:tab w:leader="none" w:pos="1000" w:val="left"/>
        </w:tabs>
        <w:numPr>
          <w:ilvl w:val="0"/>
          <w:numId w:val="11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3% of the dividends and profit distributions, before deduction of foreign withholding taxes, received by us from qualifying foreign subsidiaries in the current calendar year (up to the date of the distribution) and the two preceding calendar years, as far as such dividends and profit distributions have not yet been taken into account for purposes of establishing the above mentioned reduction.</w:t>
      </w:r>
    </w:p>
    <w:p>
      <w:pPr>
        <w:spacing w:after="0" w:line="176"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Although this reduces the amount of Dutch dividend withholding tax that we are required to remit to the Dutch tax authorities, it does not reduce the amount of tax that we are required to withhold on dividends distributed.</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Dividend stripping</w:t>
      </w:r>
    </w:p>
    <w:p>
      <w:pPr>
        <w:spacing w:after="0" w:line="11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Pursuant to legislation to counteract “dividend stripping”, a reduction, exemption, credit or refund of Dutch dividend withholding tax is denied if the recipient of the dividend is not the beneficial owner as described in the Dutch Dividend Withholding Tax Act 1965 (</w:t>
      </w:r>
      <w:r>
        <w:rPr>
          <w:rFonts w:ascii="Times New Roman" w:cs="Times New Roman" w:eastAsia="Times New Roman" w:hAnsi="Times New Roman"/>
          <w:sz w:val="18"/>
          <w:szCs w:val="18"/>
          <w:i w:val="1"/>
          <w:iCs w:val="1"/>
          <w:color w:val="32406B"/>
        </w:rPr>
        <w:t>Wet op de dividendbelasting 1965</w:t>
      </w:r>
      <w:r>
        <w:rPr>
          <w:rFonts w:ascii="Times New Roman" w:cs="Times New Roman" w:eastAsia="Times New Roman" w:hAnsi="Times New Roman"/>
          <w:sz w:val="18"/>
          <w:szCs w:val="18"/>
          <w:color w:val="32406B"/>
        </w:rPr>
        <w:t>).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Taxes on Income and Capital Gains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Holders of Ordinary Shares Resident in the Netherlands: Individuals</w:t>
      </w:r>
    </w:p>
    <w:p>
      <w:pPr>
        <w:spacing w:after="0" w:line="11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32406B"/>
        </w:rPr>
        <w:t>If the holder of our ordinary shares is an individual resident or deemed to be resident of the Netherlands for Dutch income tax purposes (a “Dutch Resident Individual”), any payment on the ordinary shares or any gain or loss realized on the disposal or deemed disposal of the ordinary shares is taxable at the progressive Dutch income tax rates (with a maximum of 49.50% in 2021), if:</w:t>
      </w:r>
    </w:p>
    <w:p>
      <w:pPr>
        <w:spacing w:after="0" w:line="81" w:lineRule="exact"/>
        <w:rPr>
          <w:sz w:val="20"/>
          <w:szCs w:val="20"/>
          <w:color w:val="auto"/>
        </w:rPr>
      </w:pPr>
    </w:p>
    <w:p>
      <w:pPr>
        <w:ind w:left="1000" w:right="320" w:hanging="317"/>
        <w:spacing w:after="0" w:line="266" w:lineRule="auto"/>
        <w:tabs>
          <w:tab w:leader="none" w:pos="1000" w:val="left"/>
        </w:tabs>
        <w:numPr>
          <w:ilvl w:val="0"/>
          <w:numId w:val="1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ordinary shares are attributable to an enterprise from which the holder of ordinary shares derives a share of the profit, whether as an entrepreneur (</w:t>
      </w:r>
      <w:r>
        <w:rPr>
          <w:rFonts w:ascii="Times New Roman" w:cs="Times New Roman" w:eastAsia="Times New Roman" w:hAnsi="Times New Roman"/>
          <w:sz w:val="18"/>
          <w:szCs w:val="18"/>
          <w:i w:val="1"/>
          <w:iCs w:val="1"/>
          <w:color w:val="32406B"/>
        </w:rPr>
        <w:t>ondernemer</w:t>
      </w:r>
      <w:r>
        <w:rPr>
          <w:rFonts w:ascii="Times New Roman" w:cs="Times New Roman" w:eastAsia="Times New Roman" w:hAnsi="Times New Roman"/>
          <w:sz w:val="18"/>
          <w:szCs w:val="18"/>
          <w:color w:val="32406B"/>
        </w:rPr>
        <w:t>) or as a person who has a co-entitlement to the net worth (</w:t>
      </w:r>
      <w:r>
        <w:rPr>
          <w:rFonts w:ascii="Times New Roman" w:cs="Times New Roman" w:eastAsia="Times New Roman" w:hAnsi="Times New Roman"/>
          <w:sz w:val="18"/>
          <w:szCs w:val="18"/>
          <w:i w:val="1"/>
          <w:iCs w:val="1"/>
          <w:color w:val="32406B"/>
        </w:rPr>
        <w:t>medegerechtigd tot het vermogen</w:t>
      </w:r>
      <w:r>
        <w:rPr>
          <w:rFonts w:ascii="Times New Roman" w:cs="Times New Roman" w:eastAsia="Times New Roman" w:hAnsi="Times New Roman"/>
          <w:sz w:val="18"/>
          <w:szCs w:val="18"/>
          <w:color w:val="32406B"/>
        </w:rPr>
        <w:t>) of such enterprise without being a shareholder (as defined in the Dutch Income Tax Act 2001); or</w:t>
      </w:r>
    </w:p>
    <w:p>
      <w:pPr>
        <w:spacing w:after="0" w:line="81" w:lineRule="exact"/>
        <w:rPr>
          <w:rFonts w:ascii="Times New Roman" w:cs="Times New Roman" w:eastAsia="Times New Roman" w:hAnsi="Times New Roman"/>
          <w:sz w:val="18"/>
          <w:szCs w:val="18"/>
          <w:color w:val="32406B"/>
        </w:rPr>
      </w:pPr>
    </w:p>
    <w:p>
      <w:pPr>
        <w:ind w:left="1000" w:hanging="367"/>
        <w:spacing w:after="0" w:line="266" w:lineRule="auto"/>
        <w:tabs>
          <w:tab w:leader="none" w:pos="1000" w:val="left"/>
        </w:tabs>
        <w:numPr>
          <w:ilvl w:val="0"/>
          <w:numId w:val="11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holder of ordinary shares is considered to perform activities with respect to the ordinary shares that go beyond ordinary asset management (</w:t>
      </w:r>
      <w:r>
        <w:rPr>
          <w:rFonts w:ascii="Times New Roman" w:cs="Times New Roman" w:eastAsia="Times New Roman" w:hAnsi="Times New Roman"/>
          <w:sz w:val="18"/>
          <w:szCs w:val="18"/>
          <w:i w:val="1"/>
          <w:iCs w:val="1"/>
          <w:color w:val="32406B"/>
        </w:rPr>
        <w:t>normaal, actief vermogensbeheer</w:t>
      </w:r>
      <w:r>
        <w:rPr>
          <w:rFonts w:ascii="Times New Roman" w:cs="Times New Roman" w:eastAsia="Times New Roman" w:hAnsi="Times New Roman"/>
          <w:sz w:val="18"/>
          <w:szCs w:val="18"/>
          <w:color w:val="32406B"/>
        </w:rPr>
        <w:t>) or derives benefits from the Shares that are taxable as benefits from other activities (</w:t>
      </w:r>
      <w:r>
        <w:rPr>
          <w:rFonts w:ascii="Times New Roman" w:cs="Times New Roman" w:eastAsia="Times New Roman" w:hAnsi="Times New Roman"/>
          <w:sz w:val="18"/>
          <w:szCs w:val="18"/>
          <w:i w:val="1"/>
          <w:iCs w:val="1"/>
          <w:color w:val="32406B"/>
        </w:rPr>
        <w:t>resultaat uit overige</w:t>
      </w:r>
      <w:r>
        <w:rPr>
          <w:rFonts w:ascii="Times New Roman" w:cs="Times New Roman" w:eastAsia="Times New Roman" w:hAnsi="Times New Roman"/>
          <w:sz w:val="18"/>
          <w:szCs w:val="18"/>
          <w:color w:val="32406B"/>
        </w:rPr>
        <w:t xml:space="preserve"> </w:t>
      </w:r>
      <w:r>
        <w:rPr>
          <w:rFonts w:ascii="Times New Roman" w:cs="Times New Roman" w:eastAsia="Times New Roman" w:hAnsi="Times New Roman"/>
          <w:sz w:val="18"/>
          <w:szCs w:val="18"/>
          <w:i w:val="1"/>
          <w:iCs w:val="1"/>
          <w:color w:val="32406B"/>
        </w:rPr>
        <w:t>werkzaamheden</w:t>
      </w:r>
      <w:r>
        <w:rPr>
          <w:rFonts w:ascii="Times New Roman" w:cs="Times New Roman" w:eastAsia="Times New Roman" w:hAnsi="Times New Roman"/>
          <w:sz w:val="18"/>
          <w:szCs w:val="18"/>
          <w:color w:val="32406B"/>
        </w:rPr>
        <w:t>).</w:t>
      </w:r>
    </w:p>
    <w:p>
      <w:pPr>
        <w:spacing w:after="0" w:line="176"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8"/>
          <w:szCs w:val="18"/>
          <w:color w:val="32406B"/>
        </w:rPr>
        <w:t>If the above-mentioned conditions (i) and (ii) do not apply to the individual holder of our ordinary shares, such holder will be taxed annually on a deemed return (with a maximum of 5.69% in 2021) on the individual’s net investment assets (</w:t>
      </w:r>
      <w:r>
        <w:rPr>
          <w:rFonts w:ascii="Times New Roman" w:cs="Times New Roman" w:eastAsia="Times New Roman" w:hAnsi="Times New Roman"/>
          <w:sz w:val="18"/>
          <w:szCs w:val="18"/>
          <w:i w:val="1"/>
          <w:iCs w:val="1"/>
          <w:color w:val="32406B"/>
        </w:rPr>
        <w:t>rendementsgrondslag</w:t>
      </w:r>
      <w:r>
        <w:rPr>
          <w:rFonts w:ascii="Times New Roman" w:cs="Times New Roman" w:eastAsia="Times New Roman" w:hAnsi="Times New Roman"/>
          <w:sz w:val="18"/>
          <w:szCs w:val="18"/>
          <w:color w:val="32406B"/>
        </w:rPr>
        <w:t>) for the year, insofar the individual’s net investment assets for the year exceed a statutory threshold (</w:t>
      </w:r>
      <w:r>
        <w:rPr>
          <w:rFonts w:ascii="Times New Roman" w:cs="Times New Roman" w:eastAsia="Times New Roman" w:hAnsi="Times New Roman"/>
          <w:sz w:val="18"/>
          <w:szCs w:val="18"/>
          <w:i w:val="1"/>
          <w:iCs w:val="1"/>
          <w:color w:val="32406B"/>
        </w:rPr>
        <w:t>heffingvrij vermogen</w:t>
      </w:r>
      <w:r>
        <w:rPr>
          <w:rFonts w:ascii="Times New Roman" w:cs="Times New Roman" w:eastAsia="Times New Roman" w:hAnsi="Times New Roman"/>
          <w:sz w:val="18"/>
          <w:szCs w:val="18"/>
          <w:color w:val="32406B"/>
        </w:rPr>
        <w:t>). The deemed return on the individual’s net investment assets for the year is taxed at a rate of 31%. Actual income, gains or losses in respect of the ordinary shares are as such not subject to Dutch income tax.</w:t>
      </w:r>
    </w:p>
    <w:p>
      <w:pPr>
        <w:spacing w:after="0" w:line="180" w:lineRule="exact"/>
        <w:rPr>
          <w:sz w:val="20"/>
          <w:szCs w:val="20"/>
          <w:color w:val="auto"/>
        </w:rPr>
      </w:pPr>
    </w:p>
    <w:p>
      <w:pPr>
        <w:jc w:val="both"/>
        <w:ind w:right="380" w:firstLine="449"/>
        <w:spacing w:after="0" w:line="261" w:lineRule="auto"/>
        <w:rPr>
          <w:sz w:val="20"/>
          <w:szCs w:val="20"/>
          <w:color w:val="auto"/>
        </w:rPr>
      </w:pPr>
      <w:r>
        <w:rPr>
          <w:rFonts w:ascii="Times New Roman" w:cs="Times New Roman" w:eastAsia="Times New Roman" w:hAnsi="Times New Roman"/>
          <w:sz w:val="18"/>
          <w:szCs w:val="18"/>
          <w:color w:val="32406B"/>
        </w:rPr>
        <w:t>The net investment assets for the year are the fair market value of the investment assets less the allowable liabilities on 1 January of the relevant calendar year. Our ordinary shares are included as investment assets. For the net investment assets on 1 January 2021, the deemed return ranges from 1.90% up to 5.69% (depending on the aggregate amount of the net investment assets of the individual on 1 January 2021). The deemed return will be adjusted annually on the basis of historic market yields.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185</w:t>
      </w:r>
    </w:p>
    <w:p>
      <w:pPr>
        <w:sectPr>
          <w:pgSz w:w="11900" w:h="16838" w:orient="portrait"/>
          <w:cols w:equalWidth="0" w:num="1">
            <w:col w:w="11200"/>
          </w:cols>
          <w:pgMar w:left="320" w:top="455" w:right="3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Holders of Ordinary Shares Resident in the Netherlands: Corporate Entities</w:t>
      </w:r>
    </w:p>
    <w:p>
      <w:pPr>
        <w:spacing w:after="0" w:line="119"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Generally speaking, if the holder of ordinary shares is an entity that is a resident or deemed to be resident of the Netherlands for Dutch corporate income tax purposes (a “Dutch Resident Entity”), any payment under the ordinary shares or any gain or loss realized on the disposal or deemed disposal of the ordinary shares is subject to Dutch corporate income tax at a rate of 15% with respect to taxable profits up to €245,000 and 25% with respect to taxable profits in excess of that amount (rates and brackets for 2021).</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Holders of Ordinary Shares Resident Outside the Netherlands</w:t>
      </w:r>
    </w:p>
    <w:p>
      <w:pPr>
        <w:spacing w:after="0" w:line="11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32406B"/>
        </w:rPr>
        <w:t>A holder of our ordinary shares that is neither a Dutch Resident Entity nor a Dutch Resident Individual will not be subject to Dutch taxes on income or capital gains in respect of any payment under our ordinary shares or in respect of any gain or loss realized on the disposal or deemed disposal of the ordinary shares, provided that:</w:t>
      </w:r>
    </w:p>
    <w:p>
      <w:pPr>
        <w:spacing w:after="0" w:line="81" w:lineRule="exact"/>
        <w:rPr>
          <w:sz w:val="20"/>
          <w:szCs w:val="20"/>
          <w:color w:val="auto"/>
        </w:rPr>
      </w:pPr>
    </w:p>
    <w:p>
      <w:pPr>
        <w:ind w:left="1000" w:right="20" w:hanging="317"/>
        <w:spacing w:after="0" w:line="261" w:lineRule="auto"/>
        <w:tabs>
          <w:tab w:leader="none" w:pos="1000" w:val="left"/>
        </w:tabs>
        <w:numPr>
          <w:ilvl w:val="0"/>
          <w:numId w:val="1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such holder does not have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85" w:lineRule="exact"/>
        <w:rPr>
          <w:rFonts w:ascii="Times New Roman" w:cs="Times New Roman" w:eastAsia="Times New Roman" w:hAnsi="Times New Roman"/>
          <w:sz w:val="18"/>
          <w:szCs w:val="18"/>
          <w:color w:val="32406B"/>
        </w:rPr>
      </w:pPr>
    </w:p>
    <w:p>
      <w:pPr>
        <w:ind w:left="1000" w:hanging="367"/>
        <w:spacing w:after="0" w:line="266" w:lineRule="auto"/>
        <w:tabs>
          <w:tab w:leader="none" w:pos="1000" w:val="left"/>
        </w:tabs>
        <w:numPr>
          <w:ilvl w:val="0"/>
          <w:numId w:val="11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the event the holder is an individual, such holder does not carry out any activities in the Netherlands with respect to the ordinary shares that go beyond ordinary asset management and does not derive benefits from the ordinary shares that are taxable as benefits from other activities in the Netherlands.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Gift and Inheritance Taxes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Holders of Ordinary Shares Resident in the Netherlands</w:t>
      </w:r>
    </w:p>
    <w:p>
      <w:pPr>
        <w:spacing w:after="0" w:line="119"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Times New Roman" w:cs="Times New Roman" w:eastAsia="Times New Roman" w:hAnsi="Times New Roman"/>
          <w:sz w:val="18"/>
          <w:szCs w:val="18"/>
          <w:i w:val="1"/>
          <w:iCs w:val="1"/>
          <w:color w:val="32406B"/>
        </w:rPr>
        <w:t>’</w:t>
      </w:r>
      <w:r>
        <w:rPr>
          <w:rFonts w:ascii="Times New Roman" w:cs="Times New Roman" w:eastAsia="Times New Roman" w:hAnsi="Times New Roman"/>
          <w:sz w:val="18"/>
          <w:szCs w:val="18"/>
          <w:color w:val="32406B"/>
        </w:rPr>
        <w:t>s death.</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Holders of Ordinary Shares Resident Outside the Netherlands</w:t>
      </w:r>
    </w:p>
    <w:p>
      <w:pPr>
        <w:spacing w:after="0" w:line="119"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32406B"/>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67" w:lineRule="exact"/>
        <w:rPr>
          <w:sz w:val="20"/>
          <w:szCs w:val="20"/>
          <w:color w:val="auto"/>
        </w:rPr>
      </w:pPr>
    </w:p>
    <w:p>
      <w:pPr>
        <w:ind w:left="1000" w:right="100" w:hanging="317"/>
        <w:spacing w:after="0" w:line="266" w:lineRule="auto"/>
        <w:tabs>
          <w:tab w:leader="none" w:pos="1000" w:val="left"/>
        </w:tabs>
        <w:numPr>
          <w:ilvl w:val="0"/>
          <w:numId w:val="11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81" w:lineRule="exact"/>
        <w:rPr>
          <w:rFonts w:ascii="Times New Roman" w:cs="Times New Roman" w:eastAsia="Times New Roman" w:hAnsi="Times New Roman"/>
          <w:sz w:val="18"/>
          <w:szCs w:val="18"/>
          <w:color w:val="32406B"/>
        </w:rPr>
      </w:pPr>
    </w:p>
    <w:p>
      <w:pPr>
        <w:ind w:left="1000" w:right="440" w:hanging="367"/>
        <w:spacing w:after="0" w:line="282" w:lineRule="auto"/>
        <w:tabs>
          <w:tab w:leader="none" w:pos="1000" w:val="left"/>
        </w:tabs>
        <w:numPr>
          <w:ilvl w:val="0"/>
          <w:numId w:val="11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transfer is otherwise construed as a gift or inheritance made by, or on behalf of, a person who, at the time of the gift or death, is or is deemed to be resident of the Netherlands.</w:t>
      </w:r>
    </w:p>
    <w:p>
      <w:pPr>
        <w:spacing w:after="0" w:line="16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months preceding the date of the gift.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186</w:t>
      </w:r>
    </w:p>
    <w:p>
      <w:pPr>
        <w:sectPr>
          <w:pgSz w:w="11900" w:h="16838" w:orient="portrait"/>
          <w:cols w:equalWidth="0" w:num="1">
            <w:col w:w="11220"/>
          </w:cols>
          <w:pgMar w:left="320" w:top="455" w:right="3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Value Added Tax</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No Dutch value added tax will arise in respect of any payment in consideration for the holding or disposal of our ordinary shares.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Other Taxes and Duties</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No Dutch registration tax, transfer tax, stamp duty or any other similar documentary tax or duty will be payable in the Netherlands in respect of any payment in consideration for the holding or disposal of our ordinary shares.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Residency</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A holder of our ordinary shares will not be treated as a resident, or a deemed resident, of the Netherlands by reason only of the acquisition, or the holding, of our ordinary shares or the performance by us under our ordinary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32406B"/>
        </w:rPr>
        <w:t>187</w:t>
      </w:r>
    </w:p>
    <w:p>
      <w:pPr>
        <w:sectPr>
          <w:pgSz w:w="11900" w:h="16838" w:orient="portrait"/>
          <w:cols w:equalWidth="0" w:num="1">
            <w:col w:w="11100"/>
          </w:cols>
          <w:pgMar w:left="320" w:top="455" w:right="47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ENFORCEABILITY OF JUDGMENTS</w:t>
      </w:r>
    </w:p>
    <w:p>
      <w:pPr>
        <w:spacing w:after="0" w:line="229" w:lineRule="exact"/>
        <w:rPr>
          <w:sz w:val="20"/>
          <w:szCs w:val="20"/>
          <w:color w:val="auto"/>
        </w:rPr>
      </w:pPr>
    </w:p>
    <w:p>
      <w:pPr>
        <w:ind w:right="280" w:firstLine="449"/>
        <w:spacing w:after="0" w:line="312" w:lineRule="auto"/>
        <w:rPr>
          <w:sz w:val="20"/>
          <w:szCs w:val="20"/>
          <w:color w:val="auto"/>
        </w:rPr>
      </w:pPr>
      <w:r>
        <w:rPr>
          <w:rFonts w:ascii="Times New Roman" w:cs="Times New Roman" w:eastAsia="Times New Roman" w:hAnsi="Times New Roman"/>
          <w:sz w:val="17"/>
          <w:szCs w:val="17"/>
          <w:color w:val="32406B"/>
        </w:rPr>
        <w:t>The ability of shareholders in certain countries other than the Netherlands, in particular in the United States, to bring an action against us may be limited under Dutch law. We are incorporated under the laws of the Netherlands and have our statutory seat (</w:t>
      </w:r>
      <w:r>
        <w:rPr>
          <w:rFonts w:ascii="Times New Roman" w:cs="Times New Roman" w:eastAsia="Times New Roman" w:hAnsi="Times New Roman"/>
          <w:sz w:val="17"/>
          <w:szCs w:val="17"/>
          <w:i w:val="1"/>
          <w:iCs w:val="1"/>
          <w:color w:val="32406B"/>
        </w:rPr>
        <w:t>statutaire zetel</w:t>
      </w:r>
      <w:r>
        <w:rPr>
          <w:rFonts w:ascii="Times New Roman" w:cs="Times New Roman" w:eastAsia="Times New Roman" w:hAnsi="Times New Roman"/>
          <w:sz w:val="17"/>
          <w:szCs w:val="17"/>
          <w:color w:val="32406B"/>
        </w:rPr>
        <w:t>) in Leiden, the Netherlands.</w:t>
      </w:r>
    </w:p>
    <w:p>
      <w:pPr>
        <w:spacing w:after="0" w:line="140"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The majority of the members of the Board are resident of countries other than the United States. All or a substantial proportion of the assets of these individuals are located outside the United States. Our assets are predominantly located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80" w:lineRule="exact"/>
        <w:rPr>
          <w:sz w:val="20"/>
          <w:szCs w:val="20"/>
          <w:color w:val="auto"/>
        </w:rPr>
      </w:pPr>
    </w:p>
    <w:p>
      <w:pPr>
        <w:ind w:firstLine="449"/>
        <w:spacing w:after="0" w:line="252" w:lineRule="auto"/>
        <w:rPr>
          <w:sz w:val="20"/>
          <w:szCs w:val="20"/>
          <w:color w:val="auto"/>
        </w:rPr>
      </w:pPr>
      <w:r>
        <w:rPr>
          <w:rFonts w:ascii="Times New Roman" w:cs="Times New Roman" w:eastAsia="Times New Roman" w:hAnsi="Times New Roman"/>
          <w:sz w:val="18"/>
          <w:szCs w:val="18"/>
          <w:color w:val="32406B"/>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Times New Roman" w:cs="Times New Roman" w:eastAsia="Times New Roman" w:hAnsi="Times New Roman"/>
          <w:sz w:val="18"/>
          <w:szCs w:val="18"/>
          <w:i w:val="1"/>
          <w:iCs w:val="1"/>
          <w:color w:val="32406B"/>
        </w:rPr>
        <w:t>behoorlijke rechtspleging</w:t>
      </w:r>
      <w:r>
        <w:rPr>
          <w:rFonts w:ascii="Times New Roman" w:cs="Times New Roman" w:eastAsia="Times New Roman" w:hAnsi="Times New Roman"/>
          <w:sz w:val="18"/>
          <w:szCs w:val="18"/>
          <w:color w:val="32406B"/>
        </w:rPr>
        <w:t>),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Times New Roman" w:cs="Times New Roman" w:eastAsia="Times New Roman" w:hAnsi="Times New Roman"/>
          <w:sz w:val="18"/>
          <w:szCs w:val="18"/>
          <w:i w:val="1"/>
          <w:iCs w:val="1"/>
          <w:color w:val="32406B"/>
        </w:rPr>
        <w:t>openbare orde</w:t>
      </w:r>
      <w:r>
        <w:rPr>
          <w:rFonts w:ascii="Times New Roman" w:cs="Times New Roman" w:eastAsia="Times New Roman" w:hAnsi="Times New Roman"/>
          <w:sz w:val="18"/>
          <w:szCs w:val="18"/>
          <w:color w:val="32406B"/>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w:t>
      </w:r>
      <w:r>
        <w:rPr>
          <w:rFonts w:ascii="Times New Roman" w:cs="Times New Roman" w:eastAsia="Times New Roman" w:hAnsi="Times New Roman"/>
          <w:sz w:val="18"/>
          <w:szCs w:val="18"/>
          <w:i w:val="1"/>
          <w:iCs w:val="1"/>
          <w:color w:val="32406B"/>
        </w:rPr>
        <w:t>Wetboek van Burgerlijke Rechtsvordering</w:t>
      </w:r>
      <w:r>
        <w:rPr>
          <w:rFonts w:ascii="Times New Roman" w:cs="Times New Roman" w:eastAsia="Times New Roman" w:hAnsi="Times New Roman"/>
          <w:sz w:val="18"/>
          <w:szCs w:val="18"/>
          <w:color w:val="32406B"/>
        </w:rPr>
        <w:t>). Based on the foregoing, there can be no assurance that U.S. investors will be able to enforce any judgments obtained in U.S. courts in civil and commercial matters, including judgments under the U.S. federal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188</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UNDERWRITING</w:t>
      </w:r>
    </w:p>
    <w:p>
      <w:pPr>
        <w:spacing w:after="0" w:line="229"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Under the terms and subject to the conditions in an underwriting agreement dated the date of this prospectus, the underwriters named below, for whom Morgan Stanley &amp; Co. LLC, BofA Securities, Inc. and SVB Leerink LLC are acting as representatives, have severally agreed to purchase, and we have agreed to sell to them, severally, the number of shares indicated below:</w:t>
      </w:r>
    </w:p>
    <w:p>
      <w:pPr>
        <w:spacing w:after="0" w:line="184"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32406B"/>
                <w:w w:val="97"/>
              </w:rPr>
              <w:t>Name</w:t>
            </w:r>
          </w:p>
        </w:tc>
        <w:tc>
          <w:tcPr>
            <w:tcW w:w="7120" w:type="dxa"/>
            <w:vAlign w:val="bottom"/>
            <w:vMerge w:val="restart"/>
          </w:tcPr>
          <w:p>
            <w:pPr>
              <w:spacing w:after="0"/>
              <w:rPr>
                <w:sz w:val="13"/>
                <w:szCs w:val="13"/>
                <w:color w:val="auto"/>
              </w:rPr>
            </w:pPr>
          </w:p>
        </w:tc>
        <w:tc>
          <w:tcPr>
            <w:tcW w:w="9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32406B"/>
              </w:rPr>
              <w:t>Number of</w:t>
            </w:r>
          </w:p>
        </w:tc>
        <w:tc>
          <w:tcPr>
            <w:tcW w:w="0" w:type="dxa"/>
            <w:vAlign w:val="bottom"/>
          </w:tcPr>
          <w:p>
            <w:pPr>
              <w:spacing w:after="0"/>
              <w:rPr>
                <w:sz w:val="1"/>
                <w:szCs w:val="1"/>
                <w:color w:val="auto"/>
              </w:rPr>
            </w:pPr>
          </w:p>
        </w:tc>
      </w:tr>
      <w:tr>
        <w:trPr>
          <w:trHeight w:val="173"/>
        </w:trPr>
        <w:tc>
          <w:tcPr>
            <w:tcW w:w="360" w:type="dxa"/>
            <w:vAlign w:val="bottom"/>
            <w:tcBorders>
              <w:bottom w:val="single" w:sz="8" w:color="auto"/>
            </w:tcBorders>
            <w:vMerge w:val="continue"/>
          </w:tcPr>
          <w:p>
            <w:pPr>
              <w:spacing w:after="0"/>
              <w:rPr>
                <w:sz w:val="15"/>
                <w:szCs w:val="15"/>
                <w:color w:val="auto"/>
              </w:rPr>
            </w:pPr>
          </w:p>
        </w:tc>
        <w:tc>
          <w:tcPr>
            <w:tcW w:w="7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2406B"/>
              </w:rPr>
              <w:t>Shares</w:t>
            </w: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Morgan Stanley &amp; Co. LLC</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3,101,438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BofA Securities, Inc.</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32406B"/>
              </w:rPr>
              <w:t>2,481,150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SVB Leerink LLC</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1,943,567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Oppenheimer &amp; Co. Inc.</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32406B"/>
              </w:rPr>
              <w:t>413,525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Kempen &amp; Co U.S.A., Inc.</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330,820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32406B"/>
              </w:rPr>
              <w:t>Total:</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32406B"/>
              </w:rPr>
              <w:t>8,270,500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8"/>
          <w:szCs w:val="18"/>
          <w:color w:val="32406B"/>
        </w:rPr>
        <w:t>The underwriters and the representatives are collectively referred to as the “underwriters” and the “representatives,” respectively. The underwriters are offering the ordinary shares subject to their acceptance of the shares from us and subject to prior sale. The underwriting agreement provides that the obligations of the several underwriters to pay for and accept delivery of the ordinary shares offered by this prospectus are subject to the approval of certain legal matters by their counsel and to certain other conditions. The underwriters are obligated to take and pay for all of the ordinary shares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Certain of the underwriters may offer and sell the ordinary shares through one or more of their respective affiliates or other registered broker-dealers or selling agents.</w:t>
      </w:r>
    </w:p>
    <w:p>
      <w:pPr>
        <w:spacing w:after="0" w:line="162" w:lineRule="exact"/>
        <w:rPr>
          <w:sz w:val="20"/>
          <w:szCs w:val="20"/>
          <w:color w:val="auto"/>
        </w:rPr>
      </w:pPr>
    </w:p>
    <w:p>
      <w:pPr>
        <w:ind w:right="40" w:firstLine="449"/>
        <w:spacing w:after="0" w:line="266" w:lineRule="auto"/>
        <w:rPr>
          <w:sz w:val="20"/>
          <w:szCs w:val="20"/>
          <w:color w:val="auto"/>
        </w:rPr>
      </w:pPr>
      <w:r>
        <w:rPr>
          <w:rFonts w:ascii="Times New Roman" w:cs="Times New Roman" w:eastAsia="Times New Roman" w:hAnsi="Times New Roman"/>
          <w:sz w:val="18"/>
          <w:szCs w:val="18"/>
          <w:color w:val="32406B"/>
        </w:rPr>
        <w:t>The underwriters initially propose to offer part of the ordinary shares directly to the public at the offering price listed on the cover page of this prospectus and part to certain dealers at a price that represents a concession not in excess of $0.84 per share under the public offering price. After the initial offering of the ordinary shares, the offering price and other selling terms may from time to time be varied by the representatives.</w:t>
      </w:r>
    </w:p>
    <w:p>
      <w:pPr>
        <w:spacing w:after="0" w:line="176"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8"/>
          <w:szCs w:val="18"/>
          <w:color w:val="32406B"/>
        </w:rPr>
        <w:t>We have granted to the underwriters an option, exercisable for 30 days from the date of this prospectus, to purchase up to 1,240,575 additional ordinary shares at the public offering price listed on the cover page of this prospectus, less underwriting discounts and commissions. The underwriters may exercise this option solely for the purpose of covering over-allotments, if any, made in connection with the offering of the ordinary shares offered by this prospectus.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87"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1,240,575 ordinary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Per</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10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48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32406B"/>
              </w:rPr>
              <w:t>No Exercise</w:t>
            </w:r>
          </w:p>
        </w:tc>
        <w:tc>
          <w:tcPr>
            <w:tcW w:w="14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32406B"/>
              </w:rPr>
              <w:t>Full Exercise</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32406B"/>
              </w:rPr>
              <w:t>Share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Public offering price</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165,410,000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32406B"/>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190,221,500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32406B"/>
              </w:rPr>
              <w:t>Underwriting discounts and commissions to be paid by us: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11,578,700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32406B"/>
                <w:w w:val="70"/>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13,315,505</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Proceeds, before expenses, to us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18.60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153,831,300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32406B"/>
                <w:w w:val="70"/>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176,905,995</w:t>
            </w: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28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32406B"/>
              </w:rPr>
              <w:t>189</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312" w:lineRule="auto"/>
        <w:rPr>
          <w:sz w:val="20"/>
          <w:szCs w:val="20"/>
          <w:color w:val="auto"/>
        </w:rPr>
      </w:pPr>
      <w:r>
        <w:rPr>
          <w:rFonts w:ascii="Times New Roman" w:cs="Times New Roman" w:eastAsia="Times New Roman" w:hAnsi="Times New Roman"/>
          <w:sz w:val="17"/>
          <w:szCs w:val="17"/>
          <w:color w:val="32406B"/>
        </w:rPr>
        <w:t>The estimated offering expenses payable by us, exclusive of the underwriting discounts and commissions, are approximately $2.5 million. We have agreed to reimburse the underwriters for expenses relating to clearance of this offering with the Financial Industry Regulatory Authority up to $35,000.</w:t>
      </w:r>
    </w:p>
    <w:p>
      <w:pPr>
        <w:spacing w:after="0" w:line="140"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The underwriters have informed us that they do not intend sales to discretionary accounts to exceed 5% of the total number of ordinary shares offered by them.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Our ordinary shares have been approved for listing on the Nasdaq Global Select Market under the symbol “PHVS.”</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We have agreed that, without the prior written consent of the representatives on behalf of the underwriters, we will not, and will not publicly disclose an intention to, during the period ending 180 days after the date of this prospectus (the restricted period):</w:t>
      </w:r>
    </w:p>
    <w:p>
      <w:pPr>
        <w:spacing w:after="0" w:line="67" w:lineRule="exact"/>
        <w:rPr>
          <w:sz w:val="20"/>
          <w:szCs w:val="20"/>
          <w:color w:val="auto"/>
        </w:rPr>
      </w:pPr>
    </w:p>
    <w:p>
      <w:pPr>
        <w:jc w:val="both"/>
        <w:ind w:left="1000" w:right="240" w:hanging="547"/>
        <w:spacing w:after="0" w:line="266" w:lineRule="auto"/>
        <w:tabs>
          <w:tab w:leader="none" w:pos="1000" w:val="left"/>
        </w:tabs>
        <w:numPr>
          <w:ilvl w:val="0"/>
          <w:numId w:val="1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w:t>
      </w:r>
    </w:p>
    <w:p>
      <w:pPr>
        <w:spacing w:after="0" w:line="81" w:lineRule="exact"/>
        <w:rPr>
          <w:rFonts w:ascii="Times New Roman" w:cs="Times New Roman" w:eastAsia="Times New Roman" w:hAnsi="Times New Roman"/>
          <w:sz w:val="18"/>
          <w:szCs w:val="18"/>
          <w:color w:val="32406B"/>
        </w:rPr>
      </w:pPr>
    </w:p>
    <w:p>
      <w:pPr>
        <w:ind w:left="1000" w:right="100" w:hanging="547"/>
        <w:spacing w:after="0" w:line="282" w:lineRule="auto"/>
        <w:tabs>
          <w:tab w:leader="none" w:pos="1000" w:val="left"/>
        </w:tabs>
        <w:numPr>
          <w:ilvl w:val="0"/>
          <w:numId w:val="1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file any registration statement with the SEC relating to the offering of any ordinary shares or any securities convertible into or exercisable or exchangeable for ordinary shares; or</w:t>
      </w:r>
    </w:p>
    <w:p>
      <w:pPr>
        <w:spacing w:after="0" w:line="67" w:lineRule="exact"/>
        <w:rPr>
          <w:rFonts w:ascii="Times New Roman" w:cs="Times New Roman" w:eastAsia="Times New Roman" w:hAnsi="Times New Roman"/>
          <w:sz w:val="18"/>
          <w:szCs w:val="18"/>
          <w:color w:val="32406B"/>
        </w:rPr>
      </w:pPr>
    </w:p>
    <w:p>
      <w:pPr>
        <w:ind w:left="1000" w:right="60" w:hanging="547"/>
        <w:spacing w:after="0" w:line="282" w:lineRule="auto"/>
        <w:tabs>
          <w:tab w:leader="none" w:pos="1000" w:val="left"/>
        </w:tabs>
        <w:numPr>
          <w:ilvl w:val="0"/>
          <w:numId w:val="12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enter into any swap or other arrangement that transfers to another, in whole or in part, any of the economic consequences of ownership of the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whether any such transaction described above is to be settled by delivery of ordinary shares or such other securities, in cash or otherwise.</w:t>
      </w:r>
    </w:p>
    <w:p>
      <w:pPr>
        <w:spacing w:after="0" w:line="225"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32406B"/>
        </w:rPr>
        <w:t>The restrictions described in the immediately preceding paragraph do not apply to us in certain circumstances, subject to certain limitations and conditions set forth in the underwriting agreement, including:</w:t>
      </w:r>
    </w:p>
    <w:p>
      <w:pPr>
        <w:spacing w:after="0" w:line="54" w:lineRule="exact"/>
        <w:rPr>
          <w:sz w:val="20"/>
          <w:szCs w:val="20"/>
          <w:color w:val="auto"/>
        </w:rPr>
      </w:pPr>
    </w:p>
    <w:p>
      <w:pPr>
        <w:ind w:left="1080" w:hanging="192"/>
        <w:spacing w:after="0"/>
        <w:tabs>
          <w:tab w:leader="none" w:pos="1080" w:val="left"/>
        </w:tabs>
        <w:numPr>
          <w:ilvl w:val="0"/>
          <w:numId w:val="1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issuance and sale of the ordinary shares in this offering;</w:t>
      </w:r>
    </w:p>
    <w:p>
      <w:pPr>
        <w:spacing w:after="0" w:line="117" w:lineRule="exact"/>
        <w:rPr>
          <w:rFonts w:ascii="Times New Roman" w:cs="Times New Roman" w:eastAsia="Times New Roman" w:hAnsi="Times New Roman"/>
          <w:sz w:val="18"/>
          <w:szCs w:val="18"/>
          <w:color w:val="32406B"/>
        </w:rPr>
      </w:pPr>
    </w:p>
    <w:p>
      <w:pPr>
        <w:ind w:left="460" w:right="360" w:firstLine="428"/>
        <w:spacing w:after="0" w:line="282" w:lineRule="auto"/>
        <w:tabs>
          <w:tab w:leader="none" w:pos="1086" w:val="left"/>
        </w:tabs>
        <w:numPr>
          <w:ilvl w:val="0"/>
          <w:numId w:val="1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issuance of our ordinary shares upon the exercise of an option, award, restricted stock unit or warrant or the conversion of a security outstanding on the date of this prospectus;</w:t>
      </w:r>
    </w:p>
    <w:p>
      <w:pPr>
        <w:spacing w:after="0" w:line="53" w:lineRule="exact"/>
        <w:rPr>
          <w:rFonts w:ascii="Times New Roman" w:cs="Times New Roman" w:eastAsia="Times New Roman" w:hAnsi="Times New Roman"/>
          <w:sz w:val="18"/>
          <w:szCs w:val="18"/>
          <w:color w:val="32406B"/>
        </w:rPr>
      </w:pPr>
    </w:p>
    <w:p>
      <w:pPr>
        <w:ind w:left="460" w:right="100" w:firstLine="428"/>
        <w:spacing w:after="0" w:line="258" w:lineRule="auto"/>
        <w:tabs>
          <w:tab w:leader="none" w:pos="1076" w:val="left"/>
        </w:tabs>
        <w:numPr>
          <w:ilvl w:val="0"/>
          <w:numId w:val="1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facilitating the establishment of a trading plan on behalf of a shareholder, officer or director of the Company pursuant to Rule 10b5-1 under the Exchange Act for the transfer of ordinary shares, provided that (i) such plan does not provide for the transfer of ordinary shares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may be made under such plan during the restricted period;</w:t>
      </w:r>
    </w:p>
    <w:p>
      <w:pPr>
        <w:spacing w:after="0" w:line="75" w:lineRule="exact"/>
        <w:rPr>
          <w:rFonts w:ascii="Times New Roman" w:cs="Times New Roman" w:eastAsia="Times New Roman" w:hAnsi="Times New Roman"/>
          <w:sz w:val="18"/>
          <w:szCs w:val="18"/>
          <w:color w:val="32406B"/>
        </w:rPr>
      </w:pPr>
    </w:p>
    <w:p>
      <w:pPr>
        <w:ind w:left="1080" w:hanging="192"/>
        <w:spacing w:after="0"/>
        <w:tabs>
          <w:tab w:leader="none" w:pos="1080" w:val="left"/>
        </w:tabs>
        <w:numPr>
          <w:ilvl w:val="0"/>
          <w:numId w:val="1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filing by us of any registration statement on Form S-8 (or any successor form) with the SEC;</w:t>
      </w:r>
    </w:p>
    <w:p>
      <w:pPr>
        <w:spacing w:after="0" w:line="117" w:lineRule="exact"/>
        <w:rPr>
          <w:rFonts w:ascii="Times New Roman" w:cs="Times New Roman" w:eastAsia="Times New Roman" w:hAnsi="Times New Roman"/>
          <w:sz w:val="18"/>
          <w:szCs w:val="18"/>
          <w:color w:val="32406B"/>
        </w:rPr>
      </w:pPr>
    </w:p>
    <w:p>
      <w:pPr>
        <w:ind w:left="460" w:right="240" w:firstLine="428"/>
        <w:spacing w:after="0" w:line="266" w:lineRule="auto"/>
        <w:tabs>
          <w:tab w:leader="none" w:pos="1076" w:val="left"/>
        </w:tabs>
        <w:numPr>
          <w:ilvl w:val="0"/>
          <w:numId w:val="12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sales of ordinary shares on behalf of our officers named in the registration statement of which this prospectus forms a part to satisfy the withholding taxes payable upon the vesting, exercise or settlement of such officer’s equity awards pursuant to employee benefit plans described in this prospectus; or</w:t>
      </w:r>
    </w:p>
    <w:p>
      <w:pPr>
        <w:spacing w:after="0" w:line="67" w:lineRule="exact"/>
        <w:rPr>
          <w:rFonts w:ascii="Times New Roman" w:cs="Times New Roman" w:eastAsia="Times New Roman" w:hAnsi="Times New Roman"/>
          <w:sz w:val="18"/>
          <w:szCs w:val="18"/>
          <w:color w:val="32406B"/>
        </w:rPr>
      </w:pPr>
    </w:p>
    <w:p>
      <w:pPr>
        <w:jc w:val="both"/>
        <w:ind w:left="460" w:right="140" w:firstLine="428"/>
        <w:spacing w:after="0" w:line="277" w:lineRule="auto"/>
        <w:tabs>
          <w:tab w:leader="none" w:pos="1056" w:val="left"/>
        </w:tabs>
        <w:numPr>
          <w:ilvl w:val="0"/>
          <w:numId w:val="121"/>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the sale or issuance of or entry into an agreement to sell or issue ordinary shares or securities convertible into or exercisable for ordinary shares in connection with any (i) mergers, (ii) acquisition of securities, businesses, property, technologies or other assets, (iii) joint ventures, (iv) strategic alliances, commercial relationships or other collaborations, or (v) the assumption of employee benefit plans in connection with mergers or acquisitions; provided that the aggregate number of ordinary shares or securities convertible into or exercisable for ordinary shares that we may sell or issue or agree to sell or issue shall not exceed 10% of the total number of ordinary shares immediately following the completion of this offering.</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190</w:t>
      </w:r>
    </w:p>
    <w:p>
      <w:pPr>
        <w:sectPr>
          <w:pgSz w:w="11900" w:h="16838" w:orient="portrait"/>
          <w:cols w:equalWidth="0" w:num="1">
            <w:col w:w="11220"/>
          </w:cols>
          <w:pgMar w:left="320" w:top="455" w:right="3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Our directors and officers and the holders of substantially all of our outstanding stock and stock options have agreed that, without the prior written consent of the representatives on behalf of the underwriters, they will not, and will not publicly disclose an intention to, during the period ending 180 days after the date of this prospectus (the restricted period): (1) offer, pledge, sell, contract to sell, sell any option or contract to purchase, purchase any option or contract to sell, grant any option, right or warrant to purchase, lend, or otherwise transfer or dispose of, directly or indirectly, any ordinary shares or any securities convertible into or exercisable or exchangeable for ordinary shares, (2) enter into any swap or other arrangement that transfers to another, in whole or in part, any of the economic consequences of ownership of the ordinary shares, or (3) make any demand for or exercise any right with respect to the registration of any ordinary shares or any security convertible into or exercisable or exchangeable for ordinary shares. These restrictions do not apply in certain circumstances, subject to certain limitations and conditions set forth in the lock-up agreements, including:</w:t>
      </w:r>
    </w:p>
    <w:p>
      <w:pPr>
        <w:spacing w:after="0" w:line="84" w:lineRule="exact"/>
        <w:rPr>
          <w:sz w:val="20"/>
          <w:szCs w:val="20"/>
          <w:color w:val="auto"/>
        </w:rPr>
      </w:pPr>
    </w:p>
    <w:p>
      <w:pPr>
        <w:ind w:left="1080" w:hanging="192"/>
        <w:spacing w:after="0"/>
        <w:tabs>
          <w:tab w:leader="none" w:pos="1080"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registration of the offer and sale of ordinary shares pursuant to the underwriting agreement;</w:t>
      </w:r>
    </w:p>
    <w:p>
      <w:pPr>
        <w:spacing w:after="0" w:line="117" w:lineRule="exact"/>
        <w:rPr>
          <w:rFonts w:ascii="Times New Roman" w:cs="Times New Roman" w:eastAsia="Times New Roman" w:hAnsi="Times New Roman"/>
          <w:sz w:val="18"/>
          <w:szCs w:val="18"/>
          <w:color w:val="32406B"/>
        </w:rPr>
      </w:pPr>
    </w:p>
    <w:p>
      <w:pPr>
        <w:ind w:left="460" w:right="220" w:firstLine="428"/>
        <w:spacing w:after="0" w:line="266" w:lineRule="auto"/>
        <w:tabs>
          <w:tab w:leader="none" w:pos="108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transactions relating to ordinary shares or other securities acquired in this offering (other than any issuer-directed shares purchased in this offering), in a private placement from us consummated concurrently with the completion of this offering or open market transactions after the completion of this offering;</w:t>
      </w:r>
    </w:p>
    <w:p>
      <w:pPr>
        <w:spacing w:after="0" w:line="67" w:lineRule="exact"/>
        <w:rPr>
          <w:rFonts w:ascii="Times New Roman" w:cs="Times New Roman" w:eastAsia="Times New Roman" w:hAnsi="Times New Roman"/>
          <w:sz w:val="18"/>
          <w:szCs w:val="18"/>
          <w:color w:val="32406B"/>
        </w:rPr>
      </w:pPr>
    </w:p>
    <w:p>
      <w:pPr>
        <w:ind w:left="460" w:right="120" w:firstLine="428"/>
        <w:spacing w:after="0" w:line="282" w:lineRule="auto"/>
        <w:tabs>
          <w:tab w:leader="none" w:pos="107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transfers of ordinary shares or any security convertible into ordinary shares as a bona fide gift or gifts or by will, testamentary document or intestate succession;</w:t>
      </w:r>
    </w:p>
    <w:p>
      <w:pPr>
        <w:spacing w:after="0" w:line="53" w:lineRule="exact"/>
        <w:rPr>
          <w:rFonts w:ascii="Times New Roman" w:cs="Times New Roman" w:eastAsia="Times New Roman" w:hAnsi="Times New Roman"/>
          <w:sz w:val="18"/>
          <w:szCs w:val="18"/>
          <w:color w:val="32406B"/>
        </w:rPr>
      </w:pPr>
    </w:p>
    <w:p>
      <w:pPr>
        <w:ind w:left="460" w:right="740" w:firstLine="428"/>
        <w:spacing w:after="0" w:line="282" w:lineRule="auto"/>
        <w:tabs>
          <w:tab w:leader="none" w:pos="108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distributions of ordinary shares or any security convertible into ordinary shares to limited partners, members, trust beneficiaries or stockholders of such director, officer or holder;</w:t>
      </w:r>
    </w:p>
    <w:p>
      <w:pPr>
        <w:spacing w:after="0" w:line="53" w:lineRule="exact"/>
        <w:rPr>
          <w:rFonts w:ascii="Times New Roman" w:cs="Times New Roman" w:eastAsia="Times New Roman" w:hAnsi="Times New Roman"/>
          <w:sz w:val="18"/>
          <w:szCs w:val="18"/>
          <w:color w:val="32406B"/>
        </w:rPr>
      </w:pPr>
    </w:p>
    <w:p>
      <w:pPr>
        <w:ind w:left="460" w:right="340" w:firstLine="428"/>
        <w:spacing w:after="0" w:line="266" w:lineRule="auto"/>
        <w:tabs>
          <w:tab w:leader="none" w:pos="107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if such director, officer or holder is a corporation, partnership, limited liability company, trust or other business entity, to any direct or indirect affiliate (as defined in Rule 405 promulgated under the Securities Act) of such party or any investment fund or other entity controlled or managed by, or under common control or management with, such party or any investment fund or other entity that controls such party;</w:t>
      </w:r>
    </w:p>
    <w:p>
      <w:pPr>
        <w:spacing w:after="0" w:line="67" w:lineRule="exact"/>
        <w:rPr>
          <w:rFonts w:ascii="Times New Roman" w:cs="Times New Roman" w:eastAsia="Times New Roman" w:hAnsi="Times New Roman"/>
          <w:sz w:val="18"/>
          <w:szCs w:val="18"/>
          <w:color w:val="32406B"/>
        </w:rPr>
      </w:pPr>
    </w:p>
    <w:p>
      <w:pPr>
        <w:ind w:left="1060" w:hanging="172"/>
        <w:spacing w:after="0"/>
        <w:tabs>
          <w:tab w:leader="none" w:pos="1060"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solely by operation of law, pursuant to a qualified domestic order or in connection with a divorce settlement;</w:t>
      </w:r>
    </w:p>
    <w:p>
      <w:pPr>
        <w:spacing w:after="0" w:line="117" w:lineRule="exact"/>
        <w:rPr>
          <w:rFonts w:ascii="Times New Roman" w:cs="Times New Roman" w:eastAsia="Times New Roman" w:hAnsi="Times New Roman"/>
          <w:sz w:val="18"/>
          <w:szCs w:val="18"/>
          <w:color w:val="32406B"/>
        </w:rPr>
      </w:pPr>
    </w:p>
    <w:p>
      <w:pPr>
        <w:ind w:left="460" w:right="160" w:firstLine="428"/>
        <w:spacing w:after="0" w:line="266" w:lineRule="auto"/>
        <w:tabs>
          <w:tab w:leader="none" w:pos="108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any trust for the direct or indirect benefit of the undersigned or the immediate family of such party (for purposes of this agreement “immediate family” shall mean any relationship by blood, marriage or adoption, not more remote than first cousin), provided that any such transfer shall not involve a disposition for value;</w:t>
      </w:r>
    </w:p>
    <w:p>
      <w:pPr>
        <w:spacing w:after="0" w:line="67" w:lineRule="exact"/>
        <w:rPr>
          <w:rFonts w:ascii="Times New Roman" w:cs="Times New Roman" w:eastAsia="Times New Roman" w:hAnsi="Times New Roman"/>
          <w:sz w:val="18"/>
          <w:szCs w:val="18"/>
          <w:color w:val="32406B"/>
        </w:rPr>
      </w:pPr>
    </w:p>
    <w:p>
      <w:pPr>
        <w:ind w:left="460" w:right="160" w:firstLine="428"/>
        <w:spacing w:after="0" w:line="258" w:lineRule="auto"/>
        <w:tabs>
          <w:tab w:leader="none" w:pos="108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facilitating the establishment of a trading plan on behalf of a shareholder, officer or director of us pursuant to Rule 10b5-1 under the Exchange Act for the transfer of ordinary shares,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that such plan does not provide for the transfer of ordinary shares during the restricted period and to the extent a public announcement or filing under the Exchange Act, if any, is required of or voluntarily made by or on behalf of such party or us regarding the establishment of such plan, such announcement or filing shall include a statement to the effect that no transfer of ordinary shares may be made under such plan during the restricted period;</w:t>
      </w:r>
    </w:p>
    <w:p>
      <w:pPr>
        <w:spacing w:after="0" w:line="75" w:lineRule="exact"/>
        <w:rPr>
          <w:rFonts w:ascii="Times New Roman" w:cs="Times New Roman" w:eastAsia="Times New Roman" w:hAnsi="Times New Roman"/>
          <w:sz w:val="18"/>
          <w:szCs w:val="18"/>
          <w:color w:val="32406B"/>
        </w:rPr>
      </w:pPr>
    </w:p>
    <w:p>
      <w:pPr>
        <w:ind w:left="460" w:right="60" w:firstLine="428"/>
        <w:spacing w:after="0" w:line="255" w:lineRule="auto"/>
        <w:tabs>
          <w:tab w:leader="none" w:pos="104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transfers to us of ordinary shares or any security convertible into ordinary shares in connection with the “net” or “cashless” exercise of options or warrants or the vesting, exercise or settlement of any other equity-based award during the restricted period, in each case, granted pursuant to our equity incentive plans described in this prospectus, including any ordinary shares withheld by us or any of our subsidiaries to pay the applicable exercise price or tax withholding associated with such awards;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(i) the restrictions contained in this agreement shall apply to ordinary shares issued upon such exercise, conversion, vesting or settlement and (ii) for any options or other awards that expire, vest or become settled during the restricted period while we are unable to transfer shares for purposes of satisfying any tax or other governmental withholding obligations, the restrictions contained in this agreement shall not apply to shares sold or otherwise withheld for that purpose;</w:t>
      </w:r>
    </w:p>
    <w:p>
      <w:pPr>
        <w:spacing w:after="0" w:line="80" w:lineRule="exact"/>
        <w:rPr>
          <w:rFonts w:ascii="Times New Roman" w:cs="Times New Roman" w:eastAsia="Times New Roman" w:hAnsi="Times New Roman"/>
          <w:sz w:val="18"/>
          <w:szCs w:val="18"/>
          <w:color w:val="32406B"/>
        </w:rPr>
      </w:pPr>
    </w:p>
    <w:p>
      <w:pPr>
        <w:ind w:left="460" w:right="40" w:firstLine="428"/>
        <w:spacing w:after="0" w:line="266" w:lineRule="auto"/>
        <w:tabs>
          <w:tab w:leader="none" w:pos="1046" w:val="left"/>
        </w:tabs>
        <w:numPr>
          <w:ilvl w:val="0"/>
          <w:numId w:val="12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pursuant to a bona fide third-party tender offer, merger, consolidation or other similar transaction made to all holders of our securities involving a change of control of us and approved by our board of directors, </w:t>
      </w:r>
      <w:r>
        <w:rPr>
          <w:rFonts w:ascii="Times New Roman" w:cs="Times New Roman" w:eastAsia="Times New Roman" w:hAnsi="Times New Roman"/>
          <w:sz w:val="18"/>
          <w:szCs w:val="18"/>
          <w:i w:val="1"/>
          <w:iCs w:val="1"/>
          <w:color w:val="32406B"/>
        </w:rPr>
        <w:t>provided</w:t>
      </w:r>
      <w:r>
        <w:rPr>
          <w:rFonts w:ascii="Times New Roman" w:cs="Times New Roman" w:eastAsia="Times New Roman" w:hAnsi="Times New Roman"/>
          <w:sz w:val="18"/>
          <w:szCs w:val="18"/>
          <w:color w:val="32406B"/>
        </w:rPr>
        <w:t xml:space="preserve"> that in the event that such tender offer, merger, consolidation or other such transaction is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191</w:t>
      </w:r>
    </w:p>
    <w:p>
      <w:pPr>
        <w:sectPr>
          <w:pgSz w:w="11900" w:h="16838" w:orient="portrait"/>
          <w:cols w:equalWidth="0" w:num="1">
            <w:col w:w="11200"/>
          </w:cols>
          <w:pgMar w:left="320" w:top="455" w:right="3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right="280"/>
        <w:spacing w:after="0" w:line="258" w:lineRule="auto"/>
        <w:rPr>
          <w:sz w:val="20"/>
          <w:szCs w:val="20"/>
          <w:color w:val="auto"/>
        </w:rPr>
      </w:pPr>
      <w:r>
        <w:rPr>
          <w:rFonts w:ascii="Times New Roman" w:cs="Times New Roman" w:eastAsia="Times New Roman" w:hAnsi="Times New Roman"/>
          <w:sz w:val="18"/>
          <w:szCs w:val="18"/>
          <w:color w:val="32406B"/>
        </w:rPr>
        <w:t>not completed, such securities held by the undersigned shall remain subject to the provisions of this agreement (for purposes hereof “change of control” shall mean the transfer, whether by tender offer, merger, consolidation, spin-off or other such transaction, in one transaction or a series of related transactions, to a person or group of affiliated persons (other than an underwriter pursuant to this offering), of our voting securities if, after such transfer, such person or group of affiliated persons would hold more than 50% of the outstanding voting securities of us (or the surviving entity));</w:t>
      </w:r>
    </w:p>
    <w:p>
      <w:pPr>
        <w:spacing w:after="0" w:line="75" w:lineRule="exact"/>
        <w:rPr>
          <w:sz w:val="20"/>
          <w:szCs w:val="20"/>
          <w:color w:val="auto"/>
        </w:rPr>
      </w:pPr>
    </w:p>
    <w:p>
      <w:pPr>
        <w:ind w:left="460" w:right="720" w:firstLine="428"/>
        <w:spacing w:after="0" w:line="282" w:lineRule="auto"/>
        <w:tabs>
          <w:tab w:leader="none" w:pos="1086" w:val="left"/>
        </w:tabs>
        <w:numPr>
          <w:ilvl w:val="0"/>
          <w:numId w:val="1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us pursuant to arrangements under which we have the option to repurchase such party’s ordinary shares, which arrangements are described in this prospectus; and</w:t>
      </w:r>
    </w:p>
    <w:p>
      <w:pPr>
        <w:spacing w:after="0" w:line="53" w:lineRule="exact"/>
        <w:rPr>
          <w:rFonts w:ascii="Times New Roman" w:cs="Times New Roman" w:eastAsia="Times New Roman" w:hAnsi="Times New Roman"/>
          <w:sz w:val="18"/>
          <w:szCs w:val="18"/>
          <w:color w:val="32406B"/>
        </w:rPr>
      </w:pPr>
    </w:p>
    <w:p>
      <w:pPr>
        <w:ind w:left="1040" w:hanging="152"/>
        <w:spacing w:after="0"/>
        <w:tabs>
          <w:tab w:leader="none" w:pos="1040" w:val="left"/>
        </w:tabs>
        <w:numPr>
          <w:ilvl w:val="0"/>
          <w:numId w:val="12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transfers made with the prior written consent of the representatives, on behalf of the underwriters.</w:t>
      </w:r>
    </w:p>
    <w:p>
      <w:pPr>
        <w:spacing w:after="0" w:line="22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The representatives, in their sole discretion, may release the ordinary shares and other securities subject to the lock-up agreements described above in whole or in part at any time.</w:t>
      </w:r>
    </w:p>
    <w:p>
      <w:pPr>
        <w:spacing w:after="0" w:line="162"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We and the underwriters have agreed to indemnify each other against certain liabilities, including liabilities under the Securities Act.</w:t>
      </w:r>
    </w:p>
    <w:p>
      <w:pPr>
        <w:spacing w:after="0" w:line="225"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8"/>
          <w:szCs w:val="18"/>
          <w:color w:val="32406B"/>
        </w:rPr>
        <w:t>A prospectus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The address of Morgan Stanley &amp; Co. LLC is 1585 Broadway New York, New York 10036. The address of BofA Securities, Inc. is One Bryant Park, New York, New York 10036. The address of SVB Leerink LLC is 1301 Avenue of the Americas, 12th Floor, New York, New York 10019.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Other Relationships</w:t>
      </w:r>
    </w:p>
    <w:p>
      <w:pPr>
        <w:spacing w:after="0" w:line="121"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8"/>
          <w:szCs w:val="18"/>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192</w:t>
      </w:r>
    </w:p>
    <w:p>
      <w:pPr>
        <w:sectPr>
          <w:pgSz w:w="11900" w:h="16838" w:orient="portrait"/>
          <w:cols w:equalWidth="0" w:num="1">
            <w:col w:w="11240"/>
          </w:cols>
          <w:pgMar w:left="320" w:top="455" w:right="3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8"/>
          <w:szCs w:val="18"/>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Pricing of the Offering</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Prior to this offering, there has been no public market for our ordinary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Directed Share Program</w:t>
      </w:r>
    </w:p>
    <w:p>
      <w:pPr>
        <w:spacing w:after="0" w:line="121" w:lineRule="exact"/>
        <w:rPr>
          <w:sz w:val="20"/>
          <w:szCs w:val="20"/>
          <w:color w:val="auto"/>
        </w:rPr>
      </w:pPr>
    </w:p>
    <w:p>
      <w:pPr>
        <w:ind w:right="40" w:firstLine="449"/>
        <w:spacing w:after="0" w:line="272" w:lineRule="auto"/>
        <w:rPr>
          <w:sz w:val="20"/>
          <w:szCs w:val="20"/>
          <w:color w:val="auto"/>
        </w:rPr>
      </w:pPr>
      <w:r>
        <w:rPr>
          <w:rFonts w:ascii="Times New Roman" w:cs="Times New Roman" w:eastAsia="Times New Roman" w:hAnsi="Times New Roman"/>
          <w:sz w:val="17"/>
          <w:szCs w:val="17"/>
          <w:color w:val="32406B"/>
        </w:rPr>
        <w:t>At our request, the underwriters have reserved up to 5% of the ordinary shares offered by this prospectus, for sale at the initial public offering price through a directed share program to certain individuals, including our directors, officers, employees, and certain friends and family members of these persons. The sales will be made at our direction by Morgan Stanley &amp; Co. LLC and its affiliates through a directed share program. The number of ordinary shares available for sale to the general public in this offering will be reduced to the extent that these individuals purchase such reserved shares. Any reserved shares that are not so purchased will be offered by the underwriters to the general public on the same terms as the other ordinary shares offered by this prospectus. Shares purchased through the directed share program will not be subject to lockup restrictions with the underwriters, except in the case of shares purchased by any of our directors, officers or employees. We have agreed to indemnify Morgan Stanley &amp; Co. LLC and its affiliates against certain liabilities and expenses, including liabilities under the Securities Act, in connection with the sales of the shares reserved for the directed share program.</w:t>
      </w:r>
    </w:p>
    <w:p>
      <w:pPr>
        <w:spacing w:after="0" w:line="276" w:lineRule="exact"/>
        <w:rPr>
          <w:sz w:val="20"/>
          <w:szCs w:val="20"/>
          <w:color w:val="auto"/>
        </w:rPr>
      </w:pPr>
    </w:p>
    <w:p>
      <w:pPr>
        <w:jc w:val="center"/>
        <w:ind w:right="9700"/>
        <w:spacing w:after="0"/>
        <w:rPr>
          <w:sz w:val="20"/>
          <w:szCs w:val="20"/>
          <w:color w:val="auto"/>
        </w:rPr>
      </w:pPr>
      <w:r>
        <w:rPr>
          <w:rFonts w:ascii="Times New Roman" w:cs="Times New Roman" w:eastAsia="Times New Roman" w:hAnsi="Times New Roman"/>
          <w:sz w:val="18"/>
          <w:szCs w:val="18"/>
          <w:b w:val="1"/>
          <w:bCs w:val="1"/>
          <w:color w:val="32406B"/>
        </w:rPr>
        <w:t>Selling Restrictions</w:t>
      </w:r>
    </w:p>
    <w:p>
      <w:pPr>
        <w:spacing w:after="0" w:line="117" w:lineRule="exact"/>
        <w:rPr>
          <w:sz w:val="20"/>
          <w:szCs w:val="20"/>
          <w:color w:val="auto"/>
        </w:rPr>
      </w:pPr>
    </w:p>
    <w:p>
      <w:pPr>
        <w:jc w:val="center"/>
        <w:ind w:right="9720"/>
        <w:spacing w:after="0"/>
        <w:rPr>
          <w:sz w:val="20"/>
          <w:szCs w:val="20"/>
          <w:color w:val="auto"/>
        </w:rPr>
      </w:pPr>
      <w:r>
        <w:rPr>
          <w:rFonts w:ascii="Times New Roman" w:cs="Times New Roman" w:eastAsia="Times New Roman" w:hAnsi="Times New Roman"/>
          <w:sz w:val="18"/>
          <w:szCs w:val="18"/>
          <w:b w:val="1"/>
          <w:bCs w:val="1"/>
          <w:i w:val="1"/>
          <w:iCs w:val="1"/>
          <w:color w:val="32406B"/>
        </w:rPr>
        <w:t>Canada</w:t>
      </w:r>
    </w:p>
    <w:p>
      <w:pPr>
        <w:spacing w:after="0" w:line="12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The ordinary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193</w:t>
      </w:r>
    </w:p>
    <w:p>
      <w:pPr>
        <w:sectPr>
          <w:pgSz w:w="11900" w:h="16838" w:orient="portrait"/>
          <w:cols w:equalWidth="0" w:num="1">
            <w:col w:w="11200"/>
          </w:cols>
          <w:pgMar w:left="320" w:top="455" w:right="37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European Economic Area</w:t>
      </w:r>
    </w:p>
    <w:p>
      <w:pPr>
        <w:spacing w:after="0" w:line="121"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8"/>
          <w:szCs w:val="18"/>
          <w:color w:val="32406B"/>
        </w:rPr>
        <w:t>This prospectus and any other document or material in connection with the offer or sale, or invitation for subscription or purchase, of our ordinary shares is not a prospectus for the purposes of the Prospectus Regulation (as defined below). This prospectus and any other document or material in connection with the offer or sale, or invitation for subscription or purchase, of our ordinary shares and any offer if made subsequently is directed only at persons in any Member State of the European Economic Area (the “EEA” and each such member state, a “Member State”) who are “qualified investors” within the meaning of Article 2(e) of the Prospectus Regulation. This prospectus and any other document or material in connection with the offer or sale, or invitation for subscription or purchase, of our ordinary shares has been prepared on the basis that any offer of ordinary shares in that Member State will be made pursuant to an exemption under the Prospectus Regulation from the requirement to publish a prospectus for offers of ordinary shares. Accordingly any person making or intending to make an offer in that Relevant State of ordinary shares which are the subject of the offering contemplated in this prospectus and any other document or material in connection with the offer or sale, or invitation for subscription or purchase, of our ordinary shares may only do so in circumstances in which no obligation arises for us or any of the underwriters to publish a prospectus pursuant to Article 3 of the Prospectus Regulation in relation to such offer. Neither us nor the underwriters have authorized, nor do they authorize, the making of any offer of ordinary shares in circumstances in which an obligation arises for us or the underwriters to publish a prospectus for such offer.</w:t>
      </w:r>
    </w:p>
    <w:p>
      <w:pPr>
        <w:spacing w:after="0" w:line="190"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32406B"/>
        </w:rPr>
        <w:t>In relation to each Member State, no securities which are the subject of the offering contemplated by this prospectus and any other document or material in connection with the offer or sale, or invitation for subscription or purchase, of our ordinary shares to the public may be made in that Member State other than:</w:t>
      </w:r>
    </w:p>
    <w:p>
      <w:pPr>
        <w:spacing w:after="0" w:line="81" w:lineRule="exact"/>
        <w:rPr>
          <w:sz w:val="20"/>
          <w:szCs w:val="20"/>
          <w:color w:val="auto"/>
        </w:rPr>
      </w:pPr>
    </w:p>
    <w:p>
      <w:pPr>
        <w:ind w:left="1000" w:hanging="422"/>
        <w:spacing w:after="0"/>
        <w:tabs>
          <w:tab w:leader="none" w:pos="1000" w:val="left"/>
        </w:tabs>
        <w:numPr>
          <w:ilvl w:val="0"/>
          <w:numId w:val="1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any legal entity which is a qualified investor as defined in the Prospectus Regulation;</w:t>
      </w:r>
    </w:p>
    <w:p>
      <w:pPr>
        <w:spacing w:after="0" w:line="130" w:lineRule="exact"/>
        <w:rPr>
          <w:rFonts w:ascii="Times New Roman" w:cs="Times New Roman" w:eastAsia="Times New Roman" w:hAnsi="Times New Roman"/>
          <w:sz w:val="18"/>
          <w:szCs w:val="18"/>
          <w:color w:val="32406B"/>
        </w:rPr>
      </w:pPr>
    </w:p>
    <w:p>
      <w:pPr>
        <w:ind w:left="1000" w:right="300" w:hanging="432"/>
        <w:spacing w:after="0" w:line="282" w:lineRule="auto"/>
        <w:tabs>
          <w:tab w:leader="none" w:pos="1000" w:val="left"/>
        </w:tabs>
        <w:numPr>
          <w:ilvl w:val="0"/>
          <w:numId w:val="1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fewer than 150 natural or legal persons (other than qualified investors as defined in the Prospectus Regulation), subject to obtaining the prior consent of the representatives; or</w:t>
      </w:r>
    </w:p>
    <w:p>
      <w:pPr>
        <w:spacing w:after="0" w:line="67" w:lineRule="exact"/>
        <w:rPr>
          <w:rFonts w:ascii="Times New Roman" w:cs="Times New Roman" w:eastAsia="Times New Roman" w:hAnsi="Times New Roman"/>
          <w:sz w:val="18"/>
          <w:szCs w:val="18"/>
          <w:color w:val="32406B"/>
        </w:rPr>
      </w:pPr>
    </w:p>
    <w:p>
      <w:pPr>
        <w:ind w:left="1000" w:hanging="422"/>
        <w:spacing w:after="0"/>
        <w:tabs>
          <w:tab w:leader="none" w:pos="1000" w:val="left"/>
        </w:tabs>
        <w:numPr>
          <w:ilvl w:val="0"/>
          <w:numId w:val="124"/>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any other circumstances falling within Article 1(4) of the Prospectus Regulation,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2406B"/>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0" w:lineRule="exact"/>
        <w:rPr>
          <w:sz w:val="20"/>
          <w:szCs w:val="20"/>
          <w:color w:val="auto"/>
        </w:rPr>
      </w:pPr>
    </w:p>
    <w:p>
      <w:pPr>
        <w:ind w:right="60" w:firstLine="449"/>
        <w:spacing w:after="0" w:line="258" w:lineRule="auto"/>
        <w:rPr>
          <w:sz w:val="20"/>
          <w:szCs w:val="20"/>
          <w:color w:val="auto"/>
        </w:rPr>
      </w:pPr>
      <w:r>
        <w:rPr>
          <w:rFonts w:ascii="Times New Roman" w:cs="Times New Roman" w:eastAsia="Times New Roman" w:hAnsi="Times New Roman"/>
          <w:sz w:val="18"/>
          <w:szCs w:val="18"/>
          <w:color w:val="32406B"/>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in the Prospectus Regulation or in circumstances in which the prior consent of the representatives has been obtained to each such proposed offer or resale.</w:t>
      </w:r>
    </w:p>
    <w:p>
      <w:pPr>
        <w:spacing w:after="0" w:line="183" w:lineRule="exact"/>
        <w:rPr>
          <w:sz w:val="20"/>
          <w:szCs w:val="20"/>
          <w:color w:val="auto"/>
        </w:rPr>
      </w:pPr>
    </w:p>
    <w:p>
      <w:pPr>
        <w:ind w:right="420" w:firstLine="449"/>
        <w:spacing w:after="0" w:line="266" w:lineRule="auto"/>
        <w:rPr>
          <w:sz w:val="20"/>
          <w:szCs w:val="20"/>
          <w:color w:val="auto"/>
        </w:rPr>
      </w:pPr>
      <w:r>
        <w:rPr>
          <w:rFonts w:ascii="Times New Roman" w:cs="Times New Roman" w:eastAsia="Times New Roman" w:hAnsi="Times New Roman"/>
          <w:sz w:val="18"/>
          <w:szCs w:val="18"/>
          <w:color w:val="32406B"/>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and the expression “Prospectus Regulation” means Regulation (EU) 2017/1129 (as amended).</w:t>
      </w: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United Kingdom</w:t>
      </w:r>
    </w:p>
    <w:p>
      <w:pPr>
        <w:spacing w:after="0" w:line="121" w:lineRule="exact"/>
        <w:rPr>
          <w:sz w:val="20"/>
          <w:szCs w:val="20"/>
          <w:color w:val="auto"/>
        </w:rPr>
      </w:pPr>
    </w:p>
    <w:p>
      <w:pPr>
        <w:ind w:right="240" w:firstLine="449"/>
        <w:spacing w:after="0" w:line="282" w:lineRule="auto"/>
        <w:rPr>
          <w:sz w:val="20"/>
          <w:szCs w:val="20"/>
          <w:color w:val="auto"/>
        </w:rPr>
      </w:pPr>
      <w:r>
        <w:rPr>
          <w:rFonts w:ascii="Times New Roman" w:cs="Times New Roman" w:eastAsia="Times New Roman" w:hAnsi="Times New Roman"/>
          <w:sz w:val="18"/>
          <w:szCs w:val="18"/>
          <w:color w:val="32406B"/>
        </w:rPr>
        <w:t>This prospectus and any other document or material in connection with the offer or sale, or invitation for subscription or purchase, of our ordinary shares may not be distributed or circulated to any person in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194</w:t>
      </w:r>
    </w:p>
    <w:p>
      <w:pPr>
        <w:sectPr>
          <w:pgSz w:w="11900" w:h="16838" w:orient="portrait"/>
          <w:cols w:equalWidth="0" w:num="1">
            <w:col w:w="11220"/>
          </w:cols>
          <w:pgMar w:left="320" w:top="455" w:right="3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32406B"/>
        </w:rPr>
        <w:t>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and any other document or material in connection with the offer or sale, or invitation for subscription or purchase, of our ordinary shares is directed only at relevant persons. Other persons should not act on this prospectus and any other document or material in connection with the offer or sale, or invitation for subscription or purchase, of our ordinary shares. This prospectus and any other document or material in connection with the offer or sale, or invitation for subscription or purchase, of our ordinary shares is confidential and is being supplied to you solely for your information and may not be reproduced, redistributed or passed on to any other person or published, in whole or in part, for any other purpose.</w:t>
      </w:r>
    </w:p>
    <w:p>
      <w:pPr>
        <w:spacing w:after="0" w:line="165"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Any invitation or inducement to engage in investment activity (within the meaning of Section 21 of the FSMA) in connection with the issue or sale of the ordinary shares may only be communicated or caused to be communicated in circumstances in which Section 21(1) of the United Kingdom’s Financial Services and Markets Act 2000, as amended (the “FSMA”) does not apply to us.</w:t>
      </w:r>
    </w:p>
    <w:p>
      <w:pPr>
        <w:spacing w:after="0" w:line="135"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All applicable provisions of the FSMA must be complied with in respect to anything done by any person in relation to the ordinary shares in, from or otherwise involving the United Kingdom.</w:t>
      </w:r>
    </w:p>
    <w:p>
      <w:pPr>
        <w:spacing w:after="0" w:line="121" w:lineRule="exact"/>
        <w:rPr>
          <w:sz w:val="20"/>
          <w:szCs w:val="20"/>
          <w:color w:val="auto"/>
        </w:rPr>
      </w:pPr>
    </w:p>
    <w:p>
      <w:pPr>
        <w:jc w:val="both"/>
        <w:ind w:right="340" w:firstLine="449"/>
        <w:spacing w:after="0" w:line="266" w:lineRule="auto"/>
        <w:rPr>
          <w:sz w:val="20"/>
          <w:szCs w:val="20"/>
          <w:color w:val="auto"/>
        </w:rPr>
      </w:pPr>
      <w:r>
        <w:rPr>
          <w:rFonts w:ascii="Times New Roman" w:cs="Times New Roman" w:eastAsia="Times New Roman" w:hAnsi="Times New Roman"/>
          <w:sz w:val="18"/>
          <w:szCs w:val="18"/>
          <w:color w:val="32406B"/>
        </w:rPr>
        <w:t>In relation to the United Kingdom, no securities which are the subject of the offering contemplated by this prospectus and any other document or material in connection with the offer or sale, or invitation for subscription or purchase, of our ordinary shares to the public may be made in the United Kingdom other than:</w:t>
      </w:r>
    </w:p>
    <w:p>
      <w:pPr>
        <w:spacing w:after="0" w:line="81" w:lineRule="exact"/>
        <w:rPr>
          <w:sz w:val="20"/>
          <w:szCs w:val="20"/>
          <w:color w:val="auto"/>
        </w:rPr>
      </w:pPr>
    </w:p>
    <w:p>
      <w:pPr>
        <w:ind w:left="1000" w:right="300" w:hanging="422"/>
        <w:spacing w:after="0" w:line="312" w:lineRule="auto"/>
        <w:tabs>
          <w:tab w:leader="none" w:pos="1000" w:val="left"/>
        </w:tabs>
        <w:numPr>
          <w:ilvl w:val="0"/>
          <w:numId w:val="125"/>
        </w:numPr>
        <w:rPr>
          <w:rFonts w:ascii="Times New Roman" w:cs="Times New Roman" w:eastAsia="Times New Roman" w:hAnsi="Times New Roman"/>
          <w:sz w:val="17"/>
          <w:szCs w:val="17"/>
          <w:color w:val="32406B"/>
        </w:rPr>
      </w:pPr>
      <w:r>
        <w:rPr>
          <w:rFonts w:ascii="Times New Roman" w:cs="Times New Roman" w:eastAsia="Times New Roman" w:hAnsi="Times New Roman"/>
          <w:sz w:val="17"/>
          <w:szCs w:val="17"/>
          <w:color w:val="32406B"/>
        </w:rPr>
        <w:t>to any legal entity which is a qualified investor as defined in Article 2 of Regulation (EU) 2017/1129 as it forms part of domestic law by virtue of the European Union (Withdrawal) Act 2018, as amended by the European Union (Withdrawal Agreement) Act 2020 (“EUWA”);</w:t>
      </w:r>
    </w:p>
    <w:p>
      <w:pPr>
        <w:spacing w:after="0" w:line="45" w:lineRule="exact"/>
        <w:rPr>
          <w:rFonts w:ascii="Times New Roman" w:cs="Times New Roman" w:eastAsia="Times New Roman" w:hAnsi="Times New Roman"/>
          <w:sz w:val="17"/>
          <w:szCs w:val="17"/>
          <w:color w:val="32406B"/>
        </w:rPr>
      </w:pPr>
    </w:p>
    <w:p>
      <w:pPr>
        <w:ind w:left="1000" w:hanging="432"/>
        <w:spacing w:after="0" w:line="282" w:lineRule="auto"/>
        <w:tabs>
          <w:tab w:leader="none" w:pos="1000" w:val="left"/>
        </w:tabs>
        <w:numPr>
          <w:ilvl w:val="0"/>
          <w:numId w:val="12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fewer than 150 natural or legal persons (other than qualified investors as defined in Article 2 of Regulation (EU) 2017/1129 as it forms part of domestic law by virtue of the EUWA) in the United Kingdom subject to obtaining the prior consent of the representatives; or</w:t>
      </w:r>
    </w:p>
    <w:p>
      <w:pPr>
        <w:spacing w:after="0" w:line="67" w:lineRule="exact"/>
        <w:rPr>
          <w:rFonts w:ascii="Times New Roman" w:cs="Times New Roman" w:eastAsia="Times New Roman" w:hAnsi="Times New Roman"/>
          <w:sz w:val="18"/>
          <w:szCs w:val="18"/>
          <w:color w:val="32406B"/>
        </w:rPr>
      </w:pPr>
    </w:p>
    <w:p>
      <w:pPr>
        <w:ind w:left="1000" w:hanging="422"/>
        <w:spacing w:after="0"/>
        <w:tabs>
          <w:tab w:leader="none" w:pos="1000" w:val="left"/>
        </w:tabs>
        <w:numPr>
          <w:ilvl w:val="0"/>
          <w:numId w:val="125"/>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in any other circumstances falling within section 86 of the FSMA,</w:t>
      </w:r>
    </w:p>
    <w:p>
      <w:pPr>
        <w:spacing w:after="0" w:line="198"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provided that no such offer of no such offer of shares shall require us or any of the representatives to publish a prospectus pursuant to section 85 of the FSMA or supplement a prospectus pursuant to Article 23 of Regulation (EU) 2017/1129 as it forms part of domestic law by virtue of the EUWA.</w:t>
      </w:r>
    </w:p>
    <w:p>
      <w:pPr>
        <w:spacing w:after="0" w:line="121"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32406B"/>
        </w:rPr>
        <w:t>For the purposes of this provision, the expression “offer of shares to the public” in relation to any shares means the communication in any form and by any means of sufficient information on the terms of the offer and the shares to be offered so as to enable an investor to decide to purchase or subscribe for the shares.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Hong Kong</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32406B"/>
        </w:rPr>
        <w:t>Our ordinary shares have not been and will not be offered or sold in Hong Kong by means of any document other than (i) in circumstances which do not constitute an offer to the public within the meaning of the Companies (Winding Up and Miscellaneous Provisions)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(Winding Up and Miscellaneous Provisions) Ordinance (Cap.32, Laws of Hong Kong). No advertisement, invitation or document relating to our ordinary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195</w:t>
      </w:r>
    </w:p>
    <w:p>
      <w:pPr>
        <w:sectPr>
          <w:pgSz w:w="11900" w:h="16838" w:orient="portrait"/>
          <w:cols w:equalWidth="0" w:num="1">
            <w:col w:w="11220"/>
          </w:cols>
          <w:pgMar w:left="320" w:top="455" w:right="3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406B"/>
        </w:rPr>
        <w:t>than with respect to our ordinary shares which are or are intended to be disposed of only to persons outside Hong Kong or only to “professional investors” within the meaning of the Securities and Futures Ordinance (Cap.571, Laws of Hong Kong) and any rules made thereunder.</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Israel</w:t>
      </w:r>
    </w:p>
    <w:p>
      <w:pPr>
        <w:spacing w:after="0" w:line="12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32406B"/>
        </w:rPr>
        <w:t>In the State of Israel this prospectus shall not be regarded as an offer to the public to purchase ordinary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ordinary shares to any person within the State of Israel, other than to Qualified Investors and up to 35 Addressed Investors.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Japan</w:t>
      </w:r>
    </w:p>
    <w:p>
      <w:pPr>
        <w:spacing w:after="0" w:line="121"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No registration pursuant to Article 4, paragraph 1 of the Financial Instruments and Exchange Law of Japan (Law No. 25 of 1948, as amended), or the FIEL, has been made or will be made with respect to the solicitation of the application for the acquisition of the ordinary shares.</w:t>
      </w:r>
    </w:p>
    <w:p>
      <w:pPr>
        <w:spacing w:after="0" w:line="121" w:lineRule="exact"/>
        <w:rPr>
          <w:sz w:val="20"/>
          <w:szCs w:val="20"/>
          <w:color w:val="auto"/>
        </w:rPr>
      </w:pPr>
    </w:p>
    <w:p>
      <w:pPr>
        <w:ind w:right="20" w:firstLine="449"/>
        <w:spacing w:after="0" w:line="258" w:lineRule="auto"/>
        <w:rPr>
          <w:sz w:val="20"/>
          <w:szCs w:val="20"/>
          <w:color w:val="auto"/>
        </w:rPr>
      </w:pPr>
      <w:r>
        <w:rPr>
          <w:rFonts w:ascii="Times New Roman" w:cs="Times New Roman" w:eastAsia="Times New Roman" w:hAnsi="Times New Roman"/>
          <w:sz w:val="18"/>
          <w:szCs w:val="18"/>
          <w:color w:val="32406B"/>
        </w:rPr>
        <w:t>Accordingly, the ordinary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For Qualified Institutional Investors or QII</w:t>
      </w:r>
    </w:p>
    <w:p>
      <w:pPr>
        <w:spacing w:after="0" w:line="11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8"/>
          <w:szCs w:val="18"/>
          <w:color w:val="32406B"/>
        </w:rPr>
        <w:t>Please note that the solicitation for newly-issued or secondary securities (each as described in Paragraph 2, Article 4 of the FIEL) in relation to the ordinary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ordinary shares. The ordinary shares may only be transferred to QIIs.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For Non-QII Investors</w:t>
      </w:r>
    </w:p>
    <w:p>
      <w:pPr>
        <w:spacing w:after="0" w:line="11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Please note that the solicitation for newly-issued or secondary securities (each as described in Paragraph 2, Article 4 of the FIEL) in relation to the ordinary shares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ordinary shares. The ordinary shares may only be transferred en bloc without subdivision to a single investor.</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Singapore</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This prospectus has not been and will not be registered as a prospectus under the Securities and Futures Act, Chapter 289 of Singapore (the “SFA”) by the Monetary Authority of Singapore, and the offer of our ordinary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196</w:t>
      </w:r>
    </w:p>
    <w:p>
      <w:pPr>
        <w:sectPr>
          <w:pgSz w:w="11900" w:h="16838" w:orient="portrait"/>
          <w:cols w:equalWidth="0" w:num="1">
            <w:col w:w="11220"/>
          </w:cols>
          <w:pgMar w:left="320" w:top="455" w:right="3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32406B"/>
        </w:rPr>
        <w:t>shares in Singapore is made primarily pursuant to the exemptions under Section 274 and 275 of the SFA. Accordingly, this prospectus and any other document or material in connection with the offer or sale, or invitation for subscription or purchase, of our ordinary shares may not be circulated or distributed, nor may our ordinary shares be offered or sold, or be made the subject of an invitation for subscription or purchase, whether directly or indirectly, to any person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of the SFA, or to any person pursuant to an offer referred to in</w:t>
      </w:r>
    </w:p>
    <w:p>
      <w:pPr>
        <w:spacing w:after="0" w:line="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32406B"/>
        </w:rPr>
        <w:t>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It is a condition of the offer that where our ordinary shares are subscribed for or acquired pursuant to an offer made in reliance on Section 275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SFA by a Relevant Person which is:</w:t>
      </w:r>
    </w:p>
    <w:p>
      <w:pPr>
        <w:spacing w:after="0" w:line="99" w:lineRule="exact"/>
        <w:rPr>
          <w:sz w:val="20"/>
          <w:szCs w:val="20"/>
          <w:color w:val="auto"/>
        </w:rPr>
      </w:pPr>
    </w:p>
    <w:p>
      <w:pPr>
        <w:ind w:left="460" w:firstLine="428"/>
        <w:spacing w:after="0" w:line="282" w:lineRule="auto"/>
        <w:tabs>
          <w:tab w:leader="none" w:pos="1136" w:val="left"/>
        </w:tabs>
        <w:numPr>
          <w:ilvl w:val="0"/>
          <w:numId w:val="1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corporation (which is not an Accredited Investor), the sole business of which is to hold investments and the entire share capital of which is owned by one or more individuals, each of whom is an Accredited Investor; or</w:t>
      </w:r>
    </w:p>
    <w:p>
      <w:pPr>
        <w:spacing w:after="0" w:line="53" w:lineRule="exact"/>
        <w:rPr>
          <w:rFonts w:ascii="Times New Roman" w:cs="Times New Roman" w:eastAsia="Times New Roman" w:hAnsi="Times New Roman"/>
          <w:sz w:val="18"/>
          <w:szCs w:val="18"/>
          <w:color w:val="32406B"/>
        </w:rPr>
      </w:pPr>
    </w:p>
    <w:p>
      <w:pPr>
        <w:ind w:left="460" w:right="60" w:firstLine="428"/>
        <w:spacing w:after="0" w:line="282" w:lineRule="auto"/>
        <w:tabs>
          <w:tab w:leader="none" w:pos="1146" w:val="left"/>
        </w:tabs>
        <w:numPr>
          <w:ilvl w:val="0"/>
          <w:numId w:val="126"/>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32406B"/>
        </w:rPr>
        <w:t>securities or securities-based derivatives contracts (each as defined in Section 2(1) of the SFA) of that corporation and the beneficiaries’ rights and interest (howsoever described) in that trust shall not be transferred within six months after that corporation or that trust has subscribed for or acquired our ordinary shares except:</w:t>
      </w:r>
    </w:p>
    <w:p>
      <w:pPr>
        <w:spacing w:after="0" w:line="68" w:lineRule="exact"/>
        <w:rPr>
          <w:sz w:val="20"/>
          <w:szCs w:val="20"/>
          <w:color w:val="auto"/>
        </w:rPr>
      </w:pPr>
    </w:p>
    <w:p>
      <w:pPr>
        <w:ind w:left="460" w:right="300" w:firstLine="428"/>
        <w:spacing w:after="0" w:line="282" w:lineRule="auto"/>
        <w:tabs>
          <w:tab w:leader="none" w:pos="1071" w:val="left"/>
        </w:tabs>
        <w:numPr>
          <w:ilvl w:val="0"/>
          <w:numId w:val="1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an Institutional Investor, an Accredited Investor, a Relevant Person, or which arises from an offer referred to in Section 275(1A) of the SFA (in the case of that corporation) or Section 276(4)(i)(B) of the SFA (in the case of that trust);</w:t>
      </w:r>
    </w:p>
    <w:p>
      <w:pPr>
        <w:spacing w:after="0" w:line="161" w:lineRule="exact"/>
        <w:rPr>
          <w:rFonts w:ascii="Times New Roman" w:cs="Times New Roman" w:eastAsia="Times New Roman" w:hAnsi="Times New Roman"/>
          <w:sz w:val="18"/>
          <w:szCs w:val="18"/>
          <w:color w:val="32406B"/>
        </w:rPr>
      </w:pPr>
    </w:p>
    <w:p>
      <w:pPr>
        <w:ind w:left="1060" w:hanging="172"/>
        <w:spacing w:after="0"/>
        <w:tabs>
          <w:tab w:leader="none" w:pos="1060" w:val="left"/>
        </w:tabs>
        <w:numPr>
          <w:ilvl w:val="0"/>
          <w:numId w:val="1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where no consideration is or will be given for the transfer;</w:t>
      </w:r>
    </w:p>
    <w:p>
      <w:pPr>
        <w:spacing w:after="0" w:line="225" w:lineRule="exact"/>
        <w:rPr>
          <w:rFonts w:ascii="Times New Roman" w:cs="Times New Roman" w:eastAsia="Times New Roman" w:hAnsi="Times New Roman"/>
          <w:sz w:val="18"/>
          <w:szCs w:val="18"/>
          <w:color w:val="32406B"/>
        </w:rPr>
      </w:pPr>
    </w:p>
    <w:p>
      <w:pPr>
        <w:ind w:left="1060" w:hanging="172"/>
        <w:spacing w:after="0"/>
        <w:tabs>
          <w:tab w:leader="none" w:pos="1060" w:val="left"/>
        </w:tabs>
        <w:numPr>
          <w:ilvl w:val="0"/>
          <w:numId w:val="1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where the transfer is by operation of law;</w:t>
      </w:r>
    </w:p>
    <w:p>
      <w:pPr>
        <w:spacing w:after="0" w:line="225" w:lineRule="exact"/>
        <w:rPr>
          <w:rFonts w:ascii="Times New Roman" w:cs="Times New Roman" w:eastAsia="Times New Roman" w:hAnsi="Times New Roman"/>
          <w:sz w:val="18"/>
          <w:szCs w:val="18"/>
          <w:color w:val="32406B"/>
        </w:rPr>
      </w:pPr>
    </w:p>
    <w:p>
      <w:pPr>
        <w:ind w:left="1060" w:hanging="172"/>
        <w:spacing w:after="0"/>
        <w:tabs>
          <w:tab w:leader="none" w:pos="1060" w:val="left"/>
        </w:tabs>
        <w:numPr>
          <w:ilvl w:val="0"/>
          <w:numId w:val="1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as specified in Section 276(7) of the SFA; or</w:t>
      </w:r>
    </w:p>
    <w:p>
      <w:pPr>
        <w:spacing w:after="0" w:line="225" w:lineRule="exact"/>
        <w:rPr>
          <w:rFonts w:ascii="Times New Roman" w:cs="Times New Roman" w:eastAsia="Times New Roman" w:hAnsi="Times New Roman"/>
          <w:sz w:val="18"/>
          <w:szCs w:val="18"/>
          <w:color w:val="32406B"/>
        </w:rPr>
      </w:pPr>
    </w:p>
    <w:p>
      <w:pPr>
        <w:ind w:left="460" w:right="100" w:firstLine="428"/>
        <w:spacing w:after="0" w:line="282" w:lineRule="auto"/>
        <w:tabs>
          <w:tab w:leader="none" w:pos="1071" w:val="left"/>
        </w:tabs>
        <w:numPr>
          <w:ilvl w:val="0"/>
          <w:numId w:val="127"/>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as specified in Regulation 37A of the Securities and Futures (Offers of Investments) (Securities and Securities-based Derivatives Contracts) Regulations 2018.</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Switzerland</w:t>
      </w:r>
    </w:p>
    <w:p>
      <w:pPr>
        <w:spacing w:after="0" w:line="121" w:lineRule="exact"/>
        <w:rPr>
          <w:sz w:val="20"/>
          <w:szCs w:val="20"/>
          <w:color w:val="auto"/>
        </w:rPr>
      </w:pPr>
    </w:p>
    <w:p>
      <w:pPr>
        <w:ind w:right="100" w:firstLine="449"/>
        <w:spacing w:after="0" w:line="258" w:lineRule="auto"/>
        <w:rPr>
          <w:sz w:val="20"/>
          <w:szCs w:val="20"/>
          <w:color w:val="auto"/>
        </w:rPr>
      </w:pPr>
      <w:r>
        <w:rPr>
          <w:rFonts w:ascii="Times New Roman" w:cs="Times New Roman" w:eastAsia="Times New Roman" w:hAnsi="Times New Roman"/>
          <w:sz w:val="18"/>
          <w:szCs w:val="18"/>
          <w:color w:val="32406B"/>
        </w:rPr>
        <w:t>The ordinary shares may not be publicly offered, directly or indirectly, in Switzerland within the meaning of the Swiss Financial Services Act (“FinSA”) and no application has or will be made to admit the ordinary shares to trading on any trading venue (exchange or multilateral trading facility) in Switzerland. Neither this prospectus nor any other offering or marketing material relating to the ordinary shares constitute a prospectus pursuant to the FinSA, and neither this prospectus nor any other offering or marketing material relating to the ordinary shares may be publicly distributed or otherwise made publicly available in Switzerland.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197</w:t>
      </w:r>
    </w:p>
    <w:p>
      <w:pPr>
        <w:sectPr>
          <w:pgSz w:w="11900" w:h="16838" w:orient="portrait"/>
          <w:cols w:equalWidth="0" w:num="1">
            <w:col w:w="11240"/>
          </w:cols>
          <w:pgMar w:left="320" w:top="455" w:right="33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EXPENSES OF THE OFFERING</w:t>
      </w:r>
    </w:p>
    <w:p>
      <w:pPr>
        <w:spacing w:after="0" w:line="229"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32406B"/>
        </w:rPr>
        <w:t>Set forth below is an itemization of the total expenses, excluding underwriting discounts and commissions, which are expected to be incurred in connection with our sale of ordinary shares in the offering. With the exception of the registration fee payable to the SEC, the filing fee payable to Nasdaq and the filing fee payable to FINRA, all amounts are estimates.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tcPr>
          <w:p>
            <w:pPr>
              <w:spacing w:after="0"/>
              <w:rPr>
                <w:sz w:val="13"/>
                <w:szCs w:val="13"/>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32406B"/>
              </w:rPr>
              <w:t>Amount to Be</w:t>
            </w:r>
          </w:p>
        </w:tc>
      </w:tr>
      <w:tr>
        <w:trPr>
          <w:trHeight w:val="173"/>
        </w:trPr>
        <w:tc>
          <w:tcPr>
            <w:tcW w:w="10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32406B"/>
              </w:rPr>
              <w:t>Paid</w:t>
            </w:r>
          </w:p>
        </w:tc>
      </w:tr>
      <w:tr>
        <w:trPr>
          <w:trHeight w:val="209"/>
        </w:trPr>
        <w:tc>
          <w:tcPr>
            <w:tcW w:w="10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SEC registration fee</w:t>
            </w: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32406B"/>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19,882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32406B"/>
              </w:rPr>
              <w:t>Nasdaq listing fee</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150,000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FINRA filing fee</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29,034</w:t>
            </w: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32406B"/>
              </w:rPr>
              <w:t>Printing and engraving expenses</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310,000</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Legal fees and expenses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1,641,943</w:t>
            </w:r>
          </w:p>
        </w:tc>
        <w:tc>
          <w:tcPr>
            <w:tcW w:w="80" w:type="dxa"/>
            <w:vAlign w:val="bottom"/>
            <w:shd w:val="clear" w:color="auto" w:fill="CCEEFF"/>
          </w:tcPr>
          <w:p>
            <w:pPr>
              <w:spacing w:after="0"/>
              <w:rPr>
                <w:sz w:val="18"/>
                <w:szCs w:val="18"/>
                <w:color w:val="auto"/>
              </w:rPr>
            </w:pPr>
          </w:p>
        </w:tc>
      </w:tr>
      <w:tr>
        <w:trPr>
          <w:trHeight w:val="216"/>
        </w:trPr>
        <w:tc>
          <w:tcPr>
            <w:tcW w:w="10100" w:type="dxa"/>
            <w:vAlign w:val="bottom"/>
          </w:tcPr>
          <w:p>
            <w:pPr>
              <w:spacing w:after="0"/>
              <w:rPr>
                <w:sz w:val="20"/>
                <w:szCs w:val="20"/>
                <w:color w:val="auto"/>
              </w:rPr>
            </w:pPr>
            <w:r>
              <w:rPr>
                <w:rFonts w:ascii="Times New Roman" w:cs="Times New Roman" w:eastAsia="Times New Roman" w:hAnsi="Times New Roman"/>
                <w:sz w:val="18"/>
                <w:szCs w:val="18"/>
                <w:color w:val="32406B"/>
              </w:rPr>
              <w:t>Accounting fees and expenses</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325,399</w:t>
            </w:r>
          </w:p>
        </w:tc>
        <w:tc>
          <w:tcPr>
            <w:tcW w:w="80" w:type="dxa"/>
            <w:vAlign w:val="bottom"/>
          </w:tcPr>
          <w:p>
            <w:pPr>
              <w:spacing w:after="0"/>
              <w:rPr>
                <w:sz w:val="18"/>
                <w:szCs w:val="18"/>
                <w:color w:val="auto"/>
              </w:rPr>
            </w:pPr>
          </w:p>
        </w:tc>
      </w:tr>
      <w:tr>
        <w:trPr>
          <w:trHeight w:val="216"/>
        </w:trPr>
        <w:tc>
          <w:tcPr>
            <w:tcW w:w="10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Miscellaneous</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23,742</w:t>
            </w:r>
          </w:p>
        </w:tc>
      </w:tr>
      <w:tr>
        <w:trPr>
          <w:trHeight w:val="223"/>
        </w:trPr>
        <w:tc>
          <w:tcPr>
            <w:tcW w:w="10100" w:type="dxa"/>
            <w:vAlign w:val="bottom"/>
          </w:tcPr>
          <w:p>
            <w:pPr>
              <w:ind w:left="720"/>
              <w:spacing w:after="0"/>
              <w:rPr>
                <w:sz w:val="20"/>
                <w:szCs w:val="20"/>
                <w:color w:val="auto"/>
              </w:rPr>
            </w:pPr>
            <w:r>
              <w:rPr>
                <w:rFonts w:ascii="Times New Roman" w:cs="Times New Roman" w:eastAsia="Times New Roman" w:hAnsi="Times New Roman"/>
                <w:sz w:val="18"/>
                <w:szCs w:val="18"/>
                <w:color w:val="32406B"/>
              </w:rPr>
              <w:t>Total</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32406B"/>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2,500,000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8"/>
          <w:szCs w:val="18"/>
          <w:color w:val="32406B"/>
        </w:rPr>
        <w:t>All amounts in the table are estimates except the SEC registration fee, the Nasdaq listing fee and the FINRA filing fee. We will pay all of the expenses of this offering.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198</w:t>
      </w:r>
    </w:p>
    <w:p>
      <w:pPr>
        <w:sectPr>
          <w:pgSz w:w="11900" w:h="16838" w:orient="portrait"/>
          <w:cols w:equalWidth="0" w:num="1">
            <w:col w:w="11240"/>
          </w:cols>
          <w:pgMar w:left="320" w:top="455" w:right="3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2406B"/>
        </w:rPr>
        <w:t>LEGAL MATTERS</w:t>
      </w:r>
    </w:p>
    <w:p>
      <w:pPr>
        <w:spacing w:after="0" w:line="229" w:lineRule="exact"/>
        <w:rPr>
          <w:sz w:val="20"/>
          <w:szCs w:val="20"/>
          <w:color w:val="auto"/>
        </w:rPr>
      </w:pPr>
    </w:p>
    <w:p>
      <w:pPr>
        <w:ind w:right="160" w:firstLine="449"/>
        <w:spacing w:after="0" w:line="266" w:lineRule="auto"/>
        <w:rPr>
          <w:sz w:val="20"/>
          <w:szCs w:val="20"/>
          <w:color w:val="auto"/>
        </w:rPr>
      </w:pPr>
      <w:r>
        <w:rPr>
          <w:rFonts w:ascii="Times New Roman" w:cs="Times New Roman" w:eastAsia="Times New Roman" w:hAnsi="Times New Roman"/>
          <w:sz w:val="18"/>
          <w:szCs w:val="18"/>
          <w:color w:val="32406B"/>
        </w:rPr>
        <w:t>Kirkland &amp; Ellis LLP, New York, New York is representing us in connection with this offering. NautaDutilh N.V. will pass upon the validity of our ordinary shares offered hereby and other legal matters concerning this offering relating to Dutch law. Sidley Austin LLP, San Francisco, California, is counsel to the underwriters in connection with this offering.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2406B"/>
        </w:rPr>
        <w:t>EXPERTS</w:t>
      </w:r>
    </w:p>
    <w:p>
      <w:pPr>
        <w:spacing w:after="0" w:line="22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 financial statements as of December 31, 2019 and 2018 and for each of the two years in the period ended December 31, 2019 included in this Prospectus have been so included in reliance on the report of PricewaterhouseCoopers Accountants N.V., an independent registered public accounting firm, given on the authority of said firm as experts in auditing and accounting. The current address of PricewaterhouseCoopers Accountants N.V. is Boschdijktunnel 10, 5611 AG Eindhoven, The Netherlands.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199</w:t>
      </w:r>
    </w:p>
    <w:p>
      <w:pPr>
        <w:sectPr>
          <w:pgSz w:w="11900" w:h="16838" w:orient="portrait"/>
          <w:cols w:equalWidth="0" w:num="1">
            <w:col w:w="11200"/>
          </w:cols>
          <w:pgMar w:left="320" w:top="455" w:right="37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2406B"/>
        </w:rPr>
        <w:t>WHERE YOU CAN FIND MORE INFORMATION</w:t>
      </w:r>
    </w:p>
    <w:p>
      <w:pPr>
        <w:spacing w:after="0" w:line="229" w:lineRule="exact"/>
        <w:rPr>
          <w:sz w:val="20"/>
          <w:szCs w:val="20"/>
          <w:color w:val="auto"/>
        </w:rPr>
      </w:pPr>
    </w:p>
    <w:p>
      <w:pPr>
        <w:ind w:firstLine="449"/>
        <w:spacing w:after="0" w:line="255" w:lineRule="auto"/>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 xml:space="preserve">We have filed with the SEC a registration statement (including any amendments and exhibits to the registration statement) on </w:t>
      </w:r>
      <w:hyperlink r:id="rId247">
        <w:r>
          <w:rPr>
            <w:rFonts w:ascii="Times New Roman" w:cs="Times New Roman" w:eastAsia="Times New Roman" w:hAnsi="Times New Roman"/>
            <w:sz w:val="18"/>
            <w:szCs w:val="18"/>
            <w:u w:val="single" w:color="auto"/>
            <w:color w:val="0000EE"/>
          </w:rPr>
          <w:t>Form F-1</w:t>
        </w:r>
        <w:r>
          <w:rPr>
            <w:rFonts w:ascii="Times New Roman" w:cs="Times New Roman" w:eastAsia="Times New Roman" w:hAnsi="Times New Roman"/>
            <w:sz w:val="18"/>
            <w:szCs w:val="18"/>
            <w:u w:val="single" w:color="auto"/>
            <w:color w:val="32406B"/>
          </w:rPr>
          <w:t xml:space="preserve"> </w:t>
        </w:r>
      </w:hyperlink>
      <w:r>
        <w:rPr>
          <w:rFonts w:ascii="Times New Roman" w:cs="Times New Roman" w:eastAsia="Times New Roman" w:hAnsi="Times New Roman"/>
          <w:sz w:val="18"/>
          <w:szCs w:val="18"/>
          <w:color w:val="32406B"/>
        </w:rPr>
        <w:t>under the Securities Act with respect to our ordinary shares offered in this prospectus.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Pharvaris B.V., such references are not necessarily complete and you should refer to the exhibits attached to the registration statement for copies of the actual contract or document. Each statement in this prospectus relating to a document filed as an exhibit is qualified in all respects by the filed exhibit. You should read this prospectus and the documents that we reference in this prospectus and have filed as exhibits to the registration statement, of which this prospectus is a part, completely.</w:t>
      </w:r>
    </w:p>
    <w:p>
      <w:pPr>
        <w:spacing w:after="0" w:line="189"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Upon completion of this offering, we will be subject to the information reporting requirements of the Exchange Act applicable to foreign private issuers.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United States companies whose securities are registered under the Exchange Act.</w:t>
      </w:r>
    </w:p>
    <w:p>
      <w:pPr>
        <w:spacing w:after="0" w:line="187" w:lineRule="exact"/>
        <w:rPr>
          <w:sz w:val="20"/>
          <w:szCs w:val="20"/>
          <w:color w:val="auto"/>
        </w:rPr>
      </w:pPr>
    </w:p>
    <w:p>
      <w:pPr>
        <w:ind w:right="40" w:firstLine="449"/>
        <w:spacing w:after="0" w:line="267" w:lineRule="auto"/>
        <w:rPr>
          <w:sz w:val="20"/>
          <w:szCs w:val="20"/>
          <w:color w:val="auto"/>
        </w:rPr>
      </w:pPr>
      <w:r>
        <w:rPr>
          <w:rFonts w:ascii="Times New Roman" w:cs="Times New Roman" w:eastAsia="Times New Roman" w:hAnsi="Times New Roman"/>
          <w:sz w:val="18"/>
          <w:szCs w:val="18"/>
          <w:color w:val="32406B"/>
        </w:rPr>
        <w:t xml:space="preserve">We maintain a corporate website at </w:t>
      </w:r>
      <w:r>
        <w:rPr>
          <w:rFonts w:ascii="Times New Roman" w:cs="Times New Roman" w:eastAsia="Times New Roman" w:hAnsi="Times New Roman"/>
          <w:sz w:val="18"/>
          <w:szCs w:val="18"/>
          <w:i w:val="1"/>
          <w:iCs w:val="1"/>
          <w:color w:val="32406B"/>
        </w:rPr>
        <w:t>www.pharvaris.com</w:t>
      </w:r>
      <w:r>
        <w:rPr>
          <w:rFonts w:ascii="Times New Roman" w:cs="Times New Roman" w:eastAsia="Times New Roman" w:hAnsi="Times New Roman"/>
          <w:sz w:val="18"/>
          <w:szCs w:val="18"/>
          <w:color w:val="32406B"/>
        </w:rPr>
        <w:t>. The information contained on, or accessible from, or hyperlinked to our website is not a part of this prospectus and you should not consider information on our website to be part of this prospectus. We have included our website address in this prospectus solely as an inactive textual reference.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200</w:t>
      </w:r>
    </w:p>
    <w:p>
      <w:pPr>
        <w:sectPr>
          <w:pgSz w:w="11900" w:h="16838" w:orient="portrait"/>
          <w:cols w:equalWidth="0" w:num="1">
            <w:col w:w="11240"/>
          </w:cols>
          <w:pgMar w:left="320" w:top="455" w:right="33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8"/>
        </w:trPr>
        <w:tc>
          <w:tcPr>
            <w:tcW w:w="1058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600" w:type="dxa"/>
            <w:vAlign w:val="bottom"/>
          </w:tcPr>
          <w:p>
            <w:pPr>
              <w:spacing w:after="0"/>
              <w:rPr>
                <w:sz w:val="20"/>
                <w:szCs w:val="20"/>
                <w:color w:val="auto"/>
              </w:rPr>
            </w:pPr>
          </w:p>
        </w:tc>
      </w:tr>
      <w:tr>
        <w:trPr>
          <w:trHeight w:val="513"/>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32406B"/>
                <w:w w:val="99"/>
              </w:rPr>
              <w:t>INDEX TO FINANCIAL STATEMENTS</w:t>
            </w:r>
          </w:p>
        </w:tc>
        <w:tc>
          <w:tcPr>
            <w:tcW w:w="600" w:type="dxa"/>
            <w:vAlign w:val="bottom"/>
          </w:tcPr>
          <w:p>
            <w:pPr>
              <w:spacing w:after="0"/>
              <w:rPr>
                <w:sz w:val="24"/>
                <w:szCs w:val="24"/>
                <w:color w:val="auto"/>
              </w:rPr>
            </w:pPr>
          </w:p>
        </w:tc>
      </w:tr>
      <w:tr>
        <w:trPr>
          <w:trHeight w:val="441"/>
        </w:trPr>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32406B"/>
              </w:rPr>
              <w:t>Audited Consolidated Financial Statements</w:t>
            </w:r>
          </w:p>
        </w:tc>
        <w:tc>
          <w:tcPr>
            <w:tcW w:w="600" w:type="dxa"/>
            <w:vAlign w:val="bottom"/>
          </w:tcPr>
          <w:p>
            <w:pPr>
              <w:spacing w:after="0"/>
              <w:rPr>
                <w:sz w:val="24"/>
                <w:szCs w:val="24"/>
                <w:color w:val="auto"/>
              </w:rPr>
            </w:pP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Report of Independent Registered Public Accounting Firm</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F-2</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Consolidated statements of profit or loss and other comprehensive income (loss) for the year ended December 31, 2019 and 2018</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F-3</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08">
              <w:r>
                <w:rPr>
                  <w:rFonts w:ascii="Times New Roman" w:cs="Times New Roman" w:eastAsia="Times New Roman" w:hAnsi="Times New Roman"/>
                  <w:sz w:val="18"/>
                  <w:szCs w:val="18"/>
                  <w:u w:val="single" w:color="auto"/>
                  <w:color w:val="0000EE"/>
                </w:rPr>
                <w:t>Consolidated statements of financial position as of December 31, 2019 and December 31, 2018</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F-4</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09">
              <w:r>
                <w:rPr>
                  <w:rFonts w:ascii="Times New Roman" w:cs="Times New Roman" w:eastAsia="Times New Roman" w:hAnsi="Times New Roman"/>
                  <w:sz w:val="18"/>
                  <w:szCs w:val="18"/>
                  <w:u w:val="single" w:color="auto"/>
                  <w:color w:val="0000EE"/>
                </w:rPr>
                <w:t>Consolidated statements of changes in equity for the year ended December 31, 2019 and December 31, 2018</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F-5</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Consolidated statements of cash flows for the year ended December 31, 2019 and December 31, 2018</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F-6</w:t>
            </w:r>
          </w:p>
        </w:tc>
      </w:tr>
      <w:tr>
        <w:trPr>
          <w:trHeight w:val="234"/>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Notes to the audited consolidated financial statements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F-7</w:t>
            </w:r>
          </w:p>
        </w:tc>
      </w:tr>
      <w:tr>
        <w:trPr>
          <w:trHeight w:val="414"/>
        </w:trPr>
        <w:tc>
          <w:tcPr>
            <w:tcW w:w="10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32406B"/>
              </w:rPr>
              <w:t>Unaudited Condensed Consolidated Financial Statements</w:t>
            </w:r>
          </w:p>
        </w:tc>
        <w:tc>
          <w:tcPr>
            <w:tcW w:w="600" w:type="dxa"/>
            <w:vAlign w:val="bottom"/>
          </w:tcPr>
          <w:p>
            <w:pPr>
              <w:spacing w:after="0"/>
              <w:rPr>
                <w:sz w:val="24"/>
                <w:szCs w:val="24"/>
                <w:color w:val="auto"/>
              </w:rPr>
            </w:pPr>
          </w:p>
        </w:tc>
      </w:tr>
      <w:tr>
        <w:trPr>
          <w:trHeight w:val="194"/>
        </w:trPr>
        <w:tc>
          <w:tcPr>
            <w:tcW w:w="10580" w:type="dxa"/>
            <w:vAlign w:val="bottom"/>
            <w:gridSpan w:val="4"/>
          </w:tcPr>
          <w:p>
            <w:pPr>
              <w:spacing w:after="0" w:line="194" w:lineRule="exact"/>
              <w:rPr>
                <w:rFonts w:ascii="Times New Roman" w:cs="Times New Roman" w:eastAsia="Times New Roman" w:hAnsi="Times New Roman"/>
                <w:sz w:val="18"/>
                <w:szCs w:val="18"/>
                <w:color w:val="0000EE"/>
              </w:rPr>
            </w:pPr>
            <w:hyperlink w:anchor="page232">
              <w:r>
                <w:rPr>
                  <w:rFonts w:ascii="Times New Roman" w:cs="Times New Roman" w:eastAsia="Times New Roman" w:hAnsi="Times New Roman"/>
                  <w:sz w:val="18"/>
                  <w:szCs w:val="18"/>
                  <w:color w:val="0000EE"/>
                </w:rPr>
                <w:t>Condensed consolidated statements of profit or loss and other comprehensive income (loss) for the nine months ended September 30, 2020 and</w:t>
              </w:r>
            </w:hyperlink>
          </w:p>
        </w:tc>
        <w:tc>
          <w:tcPr>
            <w:tcW w:w="60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232">
              <w:r>
                <w:rPr>
                  <w:rFonts w:ascii="Times New Roman" w:cs="Times New Roman" w:eastAsia="Times New Roman" w:hAnsi="Times New Roman"/>
                  <w:sz w:val="18"/>
                  <w:szCs w:val="18"/>
                  <w:color w:val="0000EE"/>
                  <w:w w:val="94"/>
                </w:rPr>
                <w:t>2019</w:t>
              </w:r>
            </w:hyperlink>
          </w:p>
        </w:tc>
        <w:tc>
          <w:tcPr>
            <w:tcW w:w="97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32406B"/>
              </w:rPr>
              <w:t>F-28</w:t>
            </w:r>
          </w:p>
        </w:tc>
      </w:tr>
      <w:tr>
        <w:trPr>
          <w:trHeight w:val="218"/>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Condensed consolidated statements of financial position as of September 30, 2020 and December 31,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F-29</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34">
              <w:r>
                <w:rPr>
                  <w:rFonts w:ascii="Times New Roman" w:cs="Times New Roman" w:eastAsia="Times New Roman" w:hAnsi="Times New Roman"/>
                  <w:sz w:val="18"/>
                  <w:szCs w:val="18"/>
                  <w:u w:val="single" w:color="auto"/>
                  <w:color w:val="0000EE"/>
                </w:rPr>
                <w:t>Condensed consolidated statements of changes in equity for the nine months ended September 30,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F-30</w:t>
            </w:r>
          </w:p>
        </w:tc>
      </w:tr>
      <w:tr>
        <w:trPr>
          <w:trHeight w:val="216"/>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Condensed consolidated statements of cash flows for the nine months ended September 30, 2020 and 2019</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F-31</w:t>
            </w:r>
          </w:p>
        </w:tc>
      </w:tr>
      <w:tr>
        <w:trPr>
          <w:trHeight w:val="234"/>
        </w:trPr>
        <w:tc>
          <w:tcPr>
            <w:tcW w:w="10580" w:type="dxa"/>
            <w:vAlign w:val="bottom"/>
            <w:gridSpan w:val="4"/>
          </w:tcPr>
          <w:p>
            <w:pPr>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Notes to the unaudited condensed consolidated interim financial statements</w:t>
              </w:r>
            </w:hyperlink>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F-32</w:t>
            </w:r>
          </w:p>
        </w:tc>
      </w:tr>
      <w:tr>
        <w:trPr>
          <w:trHeight w:val="36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32406B"/>
                <w:w w:val="95"/>
              </w:rPr>
              <w:t>F-1</w:t>
            </w:r>
          </w:p>
        </w:tc>
        <w:tc>
          <w:tcPr>
            <w:tcW w:w="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455"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32406B"/>
        </w:rPr>
        <w:t>REPORT OF INDEPENDENT REGISTERED PUBLIC ACCOUNTING FIRM</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To the board of directors and shareholders of Pharvaris B.V.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Opinion on the Financial Statements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We have audited the accompanying consolidated statements of financial position of Pharvaris B.V. and its subsidiaries (the “Company”) as of December 31, 2019, 2018 and January 1, 2018, and the related consolidated statements of profit or loss and other comprehensive income (loss), changes in equity and cash flows for the two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2018 and January 1, 2018, and the results of its operations and its cash flows for the two years in the period ended December 31, 2019 in conformity with International Financial Reporting Standards as issued by the International Accounting Standards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Basis for Opinion</w:t>
      </w:r>
    </w:p>
    <w:p>
      <w:pPr>
        <w:spacing w:after="0" w:line="121"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6"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R.M.N. Admiraal 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PricewaterhouseCoopers Accountants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Eindhoven, the Netherlands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November 10, 2020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We have served as the Company’s auditor since 2020.</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32406B"/>
        </w:rPr>
        <w:t>F-2</w:t>
      </w:r>
    </w:p>
    <w:p>
      <w:pPr>
        <w:sectPr>
          <w:pgSz w:w="11900" w:h="16838" w:orient="portrait"/>
          <w:cols w:equalWidth="0" w:num="1">
            <w:col w:w="11160"/>
          </w:cols>
          <w:pgMar w:left="320" w:top="455" w:right="41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CONSOLIDATED STATEMENTS OF PROFIT OR LOSS AND OTHER COMPREHENSIVE INCOME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1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32406B"/>
              </w:rPr>
              <w:t>Years ended December 31,</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9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32406B"/>
              </w:rPr>
              <w:t>Notes</w:t>
            </w: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0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1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32406B"/>
              </w:rPr>
              <w:t>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(5,684,562)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(3,645,413)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1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32406B"/>
              </w:rPr>
              <w:t>5</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(2,325,719)</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(668,121)</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(8,010,281)</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(4,313,534)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19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(16,881)</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(8,027,162)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32406B"/>
              </w:rPr>
              <w:t>Income taxes</w:t>
            </w:r>
          </w:p>
        </w:tc>
        <w:tc>
          <w:tcPr>
            <w:tcW w:w="1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32406B"/>
              </w:rPr>
              <w:t>11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for the year</w:t>
            </w:r>
          </w:p>
        </w:tc>
        <w:tc>
          <w:tcPr>
            <w:tcW w:w="19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(8,027,162)</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for the year, net of tax</w:t>
            </w: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(8,027,162)</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(4,313,914)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attributable to:</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9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(8,027,162)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attributable to:</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19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(8,027,162)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Loss per share attributable to the equity holders of the Company during the year</w:t>
            </w:r>
          </w:p>
        </w:tc>
        <w:tc>
          <w:tcPr>
            <w:tcW w:w="1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Basic and diluted loss per share:</w:t>
            </w:r>
          </w:p>
        </w:tc>
        <w:tc>
          <w:tcPr>
            <w:tcW w:w="1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32406B"/>
              </w:rPr>
              <w:t>17</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(1.66)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(0.89)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F-3</w:t>
      </w:r>
    </w:p>
    <w:p>
      <w:pPr>
        <w:sectPr>
          <w:pgSz w:w="11900" w:h="16838" w:orient="portrait"/>
          <w:cols w:equalWidth="0" w:num="1">
            <w:col w:w="11240"/>
          </w:cols>
          <w:pgMar w:left="320" w:top="455" w:right="3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CONSOLIDATED STATEMENTS OF FINANCIAL POSITION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32406B"/>
              </w:rPr>
              <w:t>December 31,</w:t>
            </w:r>
          </w:p>
        </w:tc>
        <w:tc>
          <w:tcPr>
            <w:tcW w:w="12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32406B"/>
              </w:rPr>
              <w:t>December 31,</w:t>
            </w:r>
          </w:p>
        </w:tc>
        <w:tc>
          <w:tcPr>
            <w:tcW w:w="11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32406B"/>
              </w:rPr>
              <w:t>January 1,</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29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32406B"/>
              </w:rPr>
              <w:t>Notes</w:t>
            </w: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240" w:type="dxa"/>
            <w:vAlign w:val="bottom"/>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96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Assets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Non-current assets</w:t>
            </w: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Property, plant and equipment</w:t>
            </w:r>
          </w:p>
        </w:tc>
        <w:tc>
          <w:tcPr>
            <w:tcW w:w="2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7</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12,927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Current assets</w:t>
            </w: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Receivables</w:t>
            </w:r>
          </w:p>
        </w:tc>
        <w:tc>
          <w:tcPr>
            <w:tcW w:w="2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8</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258,379</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49,044</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1,056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32406B"/>
              </w:rPr>
              <w:t>Cash and cash equivalents</w:t>
            </w:r>
          </w:p>
        </w:tc>
        <w:tc>
          <w:tcPr>
            <w:tcW w:w="2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20,326,372</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5,385,333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4,795,135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assets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20,597,678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5,434,377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4,796,191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Equity and liabilities</w:t>
            </w:r>
          </w:p>
        </w:tc>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Equity</w:t>
            </w:r>
          </w:p>
        </w:tc>
        <w:tc>
          <w:tcPr>
            <w:tcW w:w="2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15</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32406B"/>
              </w:rPr>
              <w:t>Share capital</w:t>
            </w:r>
          </w:p>
        </w:tc>
        <w:tc>
          <w:tcPr>
            <w:tcW w:w="29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130,962</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100,928</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100,928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 premium</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36,624,697</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15,023,205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10,514,354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32406B"/>
              </w:rPr>
              <w:t>Other reserves</w:t>
            </w:r>
          </w:p>
        </w:tc>
        <w:tc>
          <w:tcPr>
            <w:tcW w:w="29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392,139</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275,992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175,247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Accumulated loss</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(18,474,250)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(10,447,088)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(6,133,174)</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 equity</w:t>
            </w:r>
          </w:p>
        </w:tc>
        <w:tc>
          <w:tcPr>
            <w:tcW w:w="29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18,673,548</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4,953,037</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4,657,355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Current liabilities</w:t>
            </w:r>
          </w:p>
        </w:tc>
        <w:tc>
          <w:tcPr>
            <w:tcW w:w="2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29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9</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517,771</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246,983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61,408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2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12</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1,406,359</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234,357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77,428</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 liabilities</w:t>
            </w:r>
          </w:p>
        </w:tc>
        <w:tc>
          <w:tcPr>
            <w:tcW w:w="29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1,924,130</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481,340</w:t>
            </w:r>
          </w:p>
        </w:tc>
        <w:tc>
          <w:tcPr>
            <w:tcW w:w="2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138,836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equity and liabilities</w:t>
            </w:r>
          </w:p>
        </w:tc>
        <w:tc>
          <w:tcPr>
            <w:tcW w:w="29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20,597,678</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5,434,377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4,796,191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F-4</w:t>
      </w:r>
    </w:p>
    <w:p>
      <w:pPr>
        <w:sectPr>
          <w:pgSz w:w="11900" w:h="16838" w:orient="portrait"/>
          <w:cols w:equalWidth="0" w:num="1">
            <w:col w:w="11240"/>
          </w:cols>
          <w:pgMar w:left="320" w:top="455" w:right="3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CONSOLIDATED STATEMENTS OF CHANGES IN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35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32406B"/>
              </w:rPr>
              <w:t>Notes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32406B"/>
              </w:rPr>
              <w:t>Share</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Share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32406B"/>
              </w:rPr>
              <w:t>Other</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32406B"/>
              </w:rPr>
              <w:t>Accumulated</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32406B"/>
                <w:w w:val="93"/>
              </w:rPr>
              <w:t>Total</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32406B"/>
              </w:rPr>
              <w:t>capital</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32406B"/>
              </w:rPr>
              <w:t>premium</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32406B"/>
              </w:rPr>
              <w:t>reserves</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32406B"/>
              </w:rPr>
              <w:t>losses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32406B"/>
              </w:rPr>
              <w:t>equity</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2018</w:t>
            </w:r>
          </w:p>
        </w:tc>
        <w:tc>
          <w:tcPr>
            <w:tcW w:w="3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100,928</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10,514,354</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175,247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(6,133,174)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4,657,355</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32406B"/>
              </w:rPr>
              <w:t>Total comprehensive loss</w:t>
            </w:r>
          </w:p>
        </w:tc>
        <w:tc>
          <w:tcPr>
            <w:tcW w:w="35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(4,313,914)</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Issue of share capital</w:t>
            </w:r>
          </w:p>
        </w:tc>
        <w:tc>
          <w:tcPr>
            <w:tcW w:w="35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15</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4,508,851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4,508,851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35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100,745</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100,745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December 31, 2018</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100,928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15,023,205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275,992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(10,447,088)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4,953,037</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2019</w:t>
            </w:r>
          </w:p>
        </w:tc>
        <w:tc>
          <w:tcPr>
            <w:tcW w:w="35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100,928</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15,023,205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275,992</w:t>
            </w:r>
          </w:p>
        </w:tc>
        <w:tc>
          <w:tcPr>
            <w:tcW w:w="1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(10,447,088)</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4,953,037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Total comprehensive loss</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(8,027,162)</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32406B"/>
              </w:rPr>
              <w:t>Issue of share capital</w:t>
            </w:r>
          </w:p>
        </w:tc>
        <w:tc>
          <w:tcPr>
            <w:tcW w:w="35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15</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30,034</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22,437,673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22,467,707</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Transaction costs on issue of shares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(836,181)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(836,181)</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35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116,147</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116,147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December 31, 2019</w:t>
            </w:r>
          </w:p>
        </w:tc>
        <w:tc>
          <w:tcPr>
            <w:tcW w:w="3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130,962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36,624,697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392,139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(18,474,250)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18,673,548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0" w:type="dxa"/>
            <w:vAlign w:val="bottom"/>
          </w:tcPr>
          <w:p>
            <w:pPr>
              <w:spacing w:after="0"/>
              <w:rPr>
                <w:sz w:val="18"/>
                <w:szCs w:val="18"/>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The accompanying notes are an integral part of</w:t>
            </w:r>
          </w:p>
        </w:tc>
        <w:tc>
          <w:tcPr>
            <w:tcW w:w="29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32406B"/>
                <w:w w:val="98"/>
              </w:rPr>
              <w:t>these consolidated financial statements.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400" w:type="dxa"/>
            <w:vAlign w:val="bottom"/>
          </w:tcPr>
          <w:p>
            <w:pPr>
              <w:spacing w:after="0"/>
              <w:rPr>
                <w:sz w:val="24"/>
                <w:szCs w:val="24"/>
                <w:color w:val="auto"/>
              </w:rPr>
            </w:pPr>
          </w:p>
        </w:tc>
        <w:tc>
          <w:tcPr>
            <w:tcW w:w="35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32406B"/>
              </w:rPr>
              <w:t>F-5</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CONSOLIDATED 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1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32406B"/>
              </w:rPr>
              <w:t>Years ended December 31,</w:t>
            </w:r>
          </w:p>
        </w:tc>
        <w:tc>
          <w:tcPr>
            <w:tcW w:w="0" w:type="dxa"/>
            <w:vAlign w:val="bottom"/>
          </w:tcPr>
          <w:p>
            <w:pPr>
              <w:spacing w:after="0"/>
              <w:rPr>
                <w:sz w:val="1"/>
                <w:szCs w:val="1"/>
                <w:color w:val="auto"/>
              </w:rPr>
            </w:pPr>
          </w:p>
        </w:tc>
      </w:tr>
      <w:tr>
        <w:trPr>
          <w:trHeight w:val="173"/>
        </w:trPr>
        <w:tc>
          <w:tcPr>
            <w:tcW w:w="7320" w:type="dxa"/>
            <w:vAlign w:val="bottom"/>
          </w:tcPr>
          <w:p>
            <w:pPr>
              <w:spacing w:after="0"/>
              <w:rPr>
                <w:sz w:val="15"/>
                <w:szCs w:val="15"/>
                <w:color w:val="auto"/>
              </w:rPr>
            </w:pPr>
          </w:p>
        </w:tc>
        <w:tc>
          <w:tcPr>
            <w:tcW w:w="17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32406B"/>
              </w:rPr>
              <w:t>Notes</w:t>
            </w: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Operating activities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Loss before tax</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(8,027,162)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(4,313,914)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32406B"/>
              </w:rPr>
              <w:t>Non-cash adjustments to reconcile loss before tax to net cash flows from operations: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 expense</w:t>
            </w:r>
          </w:p>
        </w:tc>
        <w:tc>
          <w:tcPr>
            <w:tcW w:w="1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16</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116,147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100,745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Depreciation expenses</w:t>
            </w:r>
          </w:p>
        </w:tc>
        <w:tc>
          <w:tcPr>
            <w:tcW w:w="1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7</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549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(gain) / loss</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(3,693)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2,969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32406B"/>
              </w:rPr>
              <w:t>Changes in working capital:</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Increase in receivables</w:t>
            </w:r>
          </w:p>
        </w:tc>
        <w:tc>
          <w:tcPr>
            <w:tcW w:w="17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(209,335)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(47,988)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Increase in trade and other payables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274,481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182,606</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Increase in accrued liabilities</w:t>
            </w:r>
          </w:p>
        </w:tc>
        <w:tc>
          <w:tcPr>
            <w:tcW w:w="17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1,172,002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156,929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Net cash flows used in operating activities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(6,677,011)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(3,918,653)</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Investing activities</w:t>
            </w:r>
          </w:p>
        </w:tc>
        <w:tc>
          <w:tcPr>
            <w:tcW w:w="17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Purchase of property, plant and equipment</w:t>
            </w:r>
          </w:p>
        </w:tc>
        <w:tc>
          <w:tcPr>
            <w:tcW w:w="1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7</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(13,476)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2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cash flows used in investing activities</w:t>
            </w:r>
          </w:p>
        </w:tc>
        <w:tc>
          <w:tcPr>
            <w:tcW w:w="17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(13,476)</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73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Financing activities</w:t>
            </w:r>
          </w:p>
        </w:tc>
        <w:tc>
          <w:tcPr>
            <w:tcW w:w="17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Proceeds from issue of shares</w:t>
            </w:r>
          </w:p>
        </w:tc>
        <w:tc>
          <w:tcPr>
            <w:tcW w:w="17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15</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22,467,707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4,508,851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Transaction costs on issue of shares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(836,181)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cash flows provided by financing activities</w:t>
            </w:r>
          </w:p>
        </w:tc>
        <w:tc>
          <w:tcPr>
            <w:tcW w:w="17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21,631,526</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4,508,851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increase in cash and cash equivalents</w:t>
            </w:r>
          </w:p>
        </w:tc>
        <w:tc>
          <w:tcPr>
            <w:tcW w:w="1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14,941,039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590,198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32406B"/>
              </w:rPr>
              <w:t>Cash and cash equivalents at the beginning of the year</w:t>
            </w:r>
          </w:p>
        </w:tc>
        <w:tc>
          <w:tcPr>
            <w:tcW w:w="17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5,385,333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4,795,135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the end of the year</w:t>
            </w:r>
          </w:p>
        </w:tc>
        <w:tc>
          <w:tcPr>
            <w:tcW w:w="17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20,326,372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5,385,333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F-6</w:t>
      </w:r>
    </w:p>
    <w:p>
      <w:pPr>
        <w:sectPr>
          <w:pgSz w:w="11900" w:h="16838" w:orient="portrait"/>
          <w:cols w:equalWidth="0" w:num="1">
            <w:col w:w="11240"/>
          </w:cols>
          <w:pgMar w:left="320" w:top="455" w:right="3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NOTES TO THE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 Corporate and Group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This section provides general corporate and group information about Pharvaris B.V. and its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1.1 Corporate information</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The consolidated financial statements of Pharvaris B.V. (the “Company” or “Pharvaris”) and its subsidiaries (collectively, “The Group”) for the year ended December 31, 2019 were authorised for issue in accordance with a resolution of the directors on November 10, 2020.</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Pharvaris B.V. was incorporated on September 30, 2015 and is based in Leiden, the Netherlands. The address of its registered office is J.H. Oortweg 21, Leiden. It has been registered at the Chamber of Commerce under file number 64239411.</w:t>
      </w:r>
    </w:p>
    <w:p>
      <w:pPr>
        <w:spacing w:after="0" w:line="162"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8"/>
          <w:szCs w:val="18"/>
          <w:color w:val="32406B"/>
        </w:rPr>
        <w:t>Pharvaris is a clinical-stage biopharmaceutical company focused on the development and commercialization of innovative therapies for orphan diseases with significant unmet need, initially focused on angioedema.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1.2 Group information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Subsidiaries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consolidated financial statements of the Group include: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32406B"/>
              </w:rPr>
              <w:t>% of equity</w:t>
            </w:r>
          </w:p>
        </w:tc>
        <w:tc>
          <w:tcPr>
            <w:tcW w:w="0" w:type="dxa"/>
            <w:vAlign w:val="bottom"/>
          </w:tcPr>
          <w:p>
            <w:pPr>
              <w:spacing w:after="0"/>
              <w:rPr>
                <w:sz w:val="1"/>
                <w:szCs w:val="1"/>
                <w:color w:val="auto"/>
              </w:rPr>
            </w:pPr>
          </w:p>
        </w:tc>
      </w:tr>
      <w:tr>
        <w:trPr>
          <w:trHeight w:val="173"/>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32406B"/>
              </w:rPr>
              <w:t>Name</w:t>
            </w:r>
          </w:p>
        </w:tc>
        <w:tc>
          <w:tcPr>
            <w:tcW w:w="734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rPr>
              <w:t>Country of</w:t>
            </w:r>
          </w:p>
        </w:tc>
        <w:tc>
          <w:tcPr>
            <w:tcW w:w="110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32406B"/>
              </w:rPr>
              <w:t>interest</w:t>
            </w:r>
          </w:p>
        </w:tc>
        <w:tc>
          <w:tcPr>
            <w:tcW w:w="0" w:type="dxa"/>
            <w:vAlign w:val="bottom"/>
          </w:tcPr>
          <w:p>
            <w:pPr>
              <w:spacing w:after="0"/>
              <w:rPr>
                <w:sz w:val="1"/>
                <w:szCs w:val="1"/>
                <w:color w:val="auto"/>
              </w:rPr>
            </w:pPr>
          </w:p>
        </w:tc>
      </w:tr>
      <w:tr>
        <w:trPr>
          <w:trHeight w:val="133"/>
        </w:trPr>
        <w:tc>
          <w:tcPr>
            <w:tcW w:w="380" w:type="dxa"/>
            <w:vAlign w:val="bottom"/>
            <w:tcBorders>
              <w:bottom w:val="single" w:sz="8" w:color="auto"/>
            </w:tcBorders>
            <w:vMerge w:val="continue"/>
          </w:tcPr>
          <w:p>
            <w:pPr>
              <w:spacing w:after="0"/>
              <w:rPr>
                <w:sz w:val="11"/>
                <w:szCs w:val="11"/>
                <w:color w:val="auto"/>
              </w:rPr>
            </w:pPr>
          </w:p>
        </w:tc>
        <w:tc>
          <w:tcPr>
            <w:tcW w:w="7340" w:type="dxa"/>
            <w:vAlign w:val="bottom"/>
            <w:vMerge w:val="continue"/>
          </w:tcPr>
          <w:p>
            <w:pPr>
              <w:spacing w:after="0"/>
              <w:rPr>
                <w:sz w:val="11"/>
                <w:szCs w:val="11"/>
                <w:color w:val="auto"/>
              </w:rPr>
            </w:pPr>
          </w:p>
        </w:tc>
        <w:tc>
          <w:tcPr>
            <w:tcW w:w="90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32406B"/>
              </w:rPr>
              <w:t>Legal seat</w:t>
            </w: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32406B"/>
              </w:rPr>
              <w:t>incorporation</w:t>
            </w:r>
          </w:p>
        </w:tc>
        <w:tc>
          <w:tcPr>
            <w:tcW w:w="3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32406B"/>
              </w:rPr>
              <w:t>2019</w:t>
            </w:r>
          </w:p>
        </w:tc>
        <w:tc>
          <w:tcPr>
            <w:tcW w:w="4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32406B"/>
                <w:w w:val="99"/>
              </w:rPr>
              <w:t>2018</w:t>
            </w:r>
          </w:p>
        </w:tc>
        <w:tc>
          <w:tcPr>
            <w:tcW w:w="0" w:type="dxa"/>
            <w:vAlign w:val="bottom"/>
          </w:tcPr>
          <w:p>
            <w:pPr>
              <w:spacing w:after="0"/>
              <w:rPr>
                <w:sz w:val="1"/>
                <w:szCs w:val="1"/>
                <w:color w:val="auto"/>
              </w:rPr>
            </w:pPr>
          </w:p>
        </w:tc>
      </w:tr>
      <w:tr>
        <w:trPr>
          <w:trHeight w:val="20"/>
        </w:trPr>
        <w:tc>
          <w:tcPr>
            <w:tcW w:w="7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32406B"/>
              </w:rPr>
              <w:t>Pharvaris Holdings B.V.</w:t>
            </w: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32406B"/>
              </w:rPr>
              <w:t>Leiden</w:t>
            </w:r>
          </w:p>
        </w:tc>
        <w:tc>
          <w:tcPr>
            <w:tcW w:w="260" w:type="dxa"/>
            <w:vAlign w:val="bottom"/>
            <w:vMerge w:val="continue"/>
            <w:shd w:val="clear" w:color="auto" w:fill="CCEEFF"/>
          </w:tcPr>
          <w:p>
            <w:pPr>
              <w:spacing w:after="0"/>
              <w:rPr>
                <w:sz w:val="17"/>
                <w:szCs w:val="17"/>
                <w:color w:val="auto"/>
              </w:rPr>
            </w:pPr>
          </w:p>
        </w:tc>
        <w:tc>
          <w:tcPr>
            <w:tcW w:w="1260" w:type="dxa"/>
            <w:vAlign w:val="bottom"/>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32406B"/>
                <w:w w:val="98"/>
              </w:rPr>
              <w:t>The Netherlands</w:t>
            </w:r>
          </w:p>
        </w:tc>
        <w:tc>
          <w:tcPr>
            <w:tcW w:w="26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color w:val="32406B"/>
              </w:rPr>
              <w:t>100%</w:t>
            </w:r>
          </w:p>
        </w:tc>
        <w:tc>
          <w:tcPr>
            <w:tcW w:w="3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Pharvaris Netherlands B.V.</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Leiden</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32406B"/>
              </w:rPr>
              <w:t>The Netherlands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100%</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Pharvaris Holdings B.V. and Pharvaris Netherlands B.V. were incorporated on September 24, 2019.</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The ultimate parent company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ultimate parent company of the Group is Pharvaris B.V., which is based in the Netherlands.</w:t>
      </w:r>
    </w:p>
    <w:p>
      <w:pPr>
        <w:spacing w:after="0" w:line="329" w:lineRule="exact"/>
        <w:rPr>
          <w:sz w:val="20"/>
          <w:szCs w:val="20"/>
          <w:color w:val="auto"/>
        </w:rPr>
      </w:pPr>
    </w:p>
    <w:p>
      <w:pPr>
        <w:ind w:left="180" w:hanging="172"/>
        <w:spacing w:after="0"/>
        <w:tabs>
          <w:tab w:leader="none" w:pos="180" w:val="left"/>
        </w:tabs>
        <w:numPr>
          <w:ilvl w:val="0"/>
          <w:numId w:val="128"/>
        </w:numPr>
        <w:rPr>
          <w:rFonts w:ascii="Times New Roman" w:cs="Times New Roman" w:eastAsia="Times New Roman" w:hAnsi="Times New Roman"/>
          <w:sz w:val="18"/>
          <w:szCs w:val="18"/>
          <w:b w:val="1"/>
          <w:bCs w:val="1"/>
          <w:color w:val="32406B"/>
        </w:rPr>
      </w:pPr>
      <w:r>
        <w:rPr>
          <w:rFonts w:ascii="Times New Roman" w:cs="Times New Roman" w:eastAsia="Times New Roman" w:hAnsi="Times New Roman"/>
          <w:sz w:val="18"/>
          <w:szCs w:val="18"/>
          <w:b w:val="1"/>
          <w:bCs w:val="1"/>
          <w:color w:val="32406B"/>
        </w:rPr>
        <w:t>Summary of significant accounting policies</w:t>
      </w:r>
    </w:p>
    <w:p>
      <w:pPr>
        <w:spacing w:after="0" w:line="117" w:lineRule="exact"/>
        <w:rPr>
          <w:rFonts w:ascii="Times New Roman" w:cs="Times New Roman" w:eastAsia="Times New Roman" w:hAnsi="Times New Roman"/>
          <w:sz w:val="18"/>
          <w:szCs w:val="18"/>
          <w:b w:val="1"/>
          <w:bCs w:val="1"/>
          <w:color w:val="32406B"/>
        </w:rPr>
      </w:pPr>
    </w:p>
    <w:p>
      <w:pPr>
        <w:spacing w:after="0"/>
        <w:rPr>
          <w:rFonts w:ascii="Times New Roman" w:cs="Times New Roman" w:eastAsia="Times New Roman" w:hAnsi="Times New Roman"/>
          <w:sz w:val="18"/>
          <w:szCs w:val="18"/>
          <w:b w:val="1"/>
          <w:bCs w:val="1"/>
          <w:color w:val="32406B"/>
        </w:rPr>
      </w:pPr>
      <w:r>
        <w:rPr>
          <w:rFonts w:ascii="Times New Roman" w:cs="Times New Roman" w:eastAsia="Times New Roman" w:hAnsi="Times New Roman"/>
          <w:sz w:val="18"/>
          <w:szCs w:val="18"/>
          <w:b w:val="1"/>
          <w:bCs w:val="1"/>
          <w:color w:val="32406B"/>
        </w:rPr>
        <w:t>2.1 Basis of preparation</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The consolidated financial statements of the Group have been prepared in accordance with International Financial Reporting Standards (IFRS) as issued by the International Accounting Standards Board (IASB).</w:t>
      </w:r>
    </w:p>
    <w:p>
      <w:pPr>
        <w:spacing w:after="0" w:line="162"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32406B"/>
        </w:rPr>
        <w:t>These consolidated financial statements for the years ended December 31, 2018 and 2019 are the first the Group has prepared in accordance with IFRS. Refer to note 3 for information on how the Group adopted IFRS for the first time.</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The consolidated financial statements have been prepared on a historical cost basis. Unless otherwise stated, the consolidated financial statements are presented in euros and all values are rounded to the nearest EUR (€), except per share amounts.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F-7</w:t>
      </w:r>
    </w:p>
    <w:p>
      <w:pPr>
        <w:sectPr>
          <w:pgSz w:w="11900" w:h="16838" w:orient="portrait"/>
          <w:cols w:equalWidth="0" w:num="1">
            <w:col w:w="11240"/>
          </w:cols>
          <w:pgMar w:left="320" w:top="455"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2.2 Going concern</w:t>
      </w:r>
    </w:p>
    <w:p>
      <w:pPr>
        <w:spacing w:after="0" w:line="121"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8"/>
          <w:szCs w:val="18"/>
          <w:color w:val="32406B"/>
        </w:rPr>
        <w:t>Pharvaris is a clinical-stage biopharmaceutical company focused on the development and commercialization of innovative therapies for orphan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ever. This makes the Group dependent on external capital sources, being subsidies, debt capital and equity capital. The Group is currently fully financed by equity capital.</w:t>
      </w:r>
    </w:p>
    <w:p>
      <w:pPr>
        <w:spacing w:after="0" w:line="187" w:lineRule="exact"/>
        <w:rPr>
          <w:sz w:val="20"/>
          <w:szCs w:val="20"/>
          <w:color w:val="auto"/>
        </w:rPr>
      </w:pPr>
    </w:p>
    <w:p>
      <w:pPr>
        <w:ind w:right="860" w:firstLine="449"/>
        <w:spacing w:after="0" w:line="282" w:lineRule="auto"/>
        <w:rPr>
          <w:sz w:val="20"/>
          <w:szCs w:val="20"/>
          <w:color w:val="auto"/>
        </w:rPr>
      </w:pPr>
      <w:r>
        <w:rPr>
          <w:rFonts w:ascii="Times New Roman" w:cs="Times New Roman" w:eastAsia="Times New Roman" w:hAnsi="Times New Roman"/>
          <w:sz w:val="18"/>
          <w:szCs w:val="18"/>
          <w:color w:val="32406B"/>
        </w:rPr>
        <w:t>As of December 31, 2019 and 2018, the Group had cash of €20.3 million and €5.4 million, respectively. The Group incurred net losses of €8.0 million in 2019 and €4.3 million in 2018, and negative operating cash flows of €6.7 million in 2019 and €3.9 million in 2018.</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On August 1, 2019, the Group completed a $66 million Series B equity financing of which $41 million was received in July 2020.</w:t>
      </w:r>
    </w:p>
    <w:p>
      <w:pPr>
        <w:spacing w:after="0" w:line="225"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8"/>
          <w:szCs w:val="18"/>
          <w:color w:val="32406B"/>
        </w:rPr>
        <w:t>On November 3, 2020, the Group signed a $80 million Series C equity financing against issuance of 5,826,279 preferred shares C, which financing was completed on November 5, 2020. The preferred shares C automatically convert into ordinary shares upon the consummation of a qualified Initial Public Offering, combination transaction or request of the investor majority. The holders of the outstanding preferred shares C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 No obligations were agreed upon in the shareholders’ agreements to make any redemption on a certain fixed date and to transfer an amount (dividend) independent of the entity’s available economic resources.</w:t>
      </w:r>
    </w:p>
    <w:p>
      <w:pPr>
        <w:spacing w:after="0" w:line="18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and the completed Series B and Series C financing, are sufficient to execute the Group’s operating plan and strategies and to meet the anticipated working capital requirements and settle all expected liabilities for a period of at least twelve months after the signing date of these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Accordingly, the consolidated financial statements have been prepared on a going concern basis.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Impact of COVID-19</w:t>
      </w:r>
    </w:p>
    <w:p>
      <w:pPr>
        <w:spacing w:after="0" w:line="121" w:lineRule="exact"/>
        <w:rPr>
          <w:sz w:val="20"/>
          <w:szCs w:val="20"/>
          <w:color w:val="auto"/>
        </w:rPr>
      </w:pPr>
    </w:p>
    <w:p>
      <w:pPr>
        <w:ind w:right="260" w:firstLine="449"/>
        <w:spacing w:after="0" w:line="266" w:lineRule="auto"/>
        <w:rPr>
          <w:sz w:val="20"/>
          <w:szCs w:val="20"/>
          <w:color w:val="auto"/>
        </w:rPr>
      </w:pPr>
      <w:r>
        <w:rPr>
          <w:rFonts w:ascii="Times New Roman" w:cs="Times New Roman" w:eastAsia="Times New Roman" w:hAnsi="Times New Roman"/>
          <w:sz w:val="18"/>
          <w:szCs w:val="18"/>
          <w:color w:val="32406B"/>
        </w:rPr>
        <w:t>The outbreak of a novel strain of the coronavirus, specifically identified as “COVID-19”, has spread globally. Originating in China and spreading globally, COVID-19 is a virus causing potentially deadly respiratory tract infections and has impacted the global economy. In March 2020, the World Health Organization declared COVID-19 a pandemic.</w:t>
      </w:r>
    </w:p>
    <w:p>
      <w:pPr>
        <w:spacing w:after="0" w:line="176"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8"/>
          <w:szCs w:val="18"/>
          <w:color w:val="32406B"/>
        </w:rPr>
        <w:t>The Group has taken appropriate measures to protect the safety of the employees and continuously monitors and evaluates the situation regarding COVID-19. The impact of COVID-19 to date is limited. COVID-19 ultimately may impact the clinical trials, including potential delays and restrictions on the ability to recruit and retain patients, principal investigators and healthcare employees. COVID-19 could also affect the operations of contract research organizations (CRO), or other contracted suppliers which may result in delays or disruptions in the supply of product candidates. The Group continuously monitors the situation regarding COVID-19, and the possible impact on the CROs, contract manufacturing organizations and clinical sites performing research and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F-8</w:t>
      </w:r>
    </w:p>
    <w:p>
      <w:pPr>
        <w:sectPr>
          <w:pgSz w:w="11900" w:h="16838" w:orient="portrait"/>
          <w:cols w:equalWidth="0" w:num="1">
            <w:col w:w="11200"/>
          </w:cols>
          <w:pgMar w:left="320" w:top="455" w:right="3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development activities for the Group. All efforts are made to develop alternatives to limit the impact of COVID-19 going forward.</w:t>
      </w:r>
    </w:p>
    <w:p>
      <w:pPr>
        <w:spacing w:after="0" w:line="225"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8"/>
          <w:szCs w:val="18"/>
          <w:color w:val="32406B"/>
        </w:rPr>
        <w:t>Management concluded that the COVID-19 is expected to have some impact but would not have material adverse effect on the financial condition or liquidity of the Group.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2.3 Basis of consolidation</w:t>
      </w:r>
    </w:p>
    <w:p>
      <w:pPr>
        <w:spacing w:after="0" w:line="121"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Subsidiaries are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2.4 Segment reporting</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Operating segments are identified based on whether the allocation of resources and/ or the assessment of performance of a particular component of Group’s activities are regularly reviewed as a separate operating segment by Group’s Chief Operating Decision Maker (“CODM”). By these criteria, the activities of Pharvaris are considered to be one segment which comprises the discovery, development and commercialization of oral bradykinin B2 receptor antagonists and the segmental analysis is the same as the analysis for Pharvaris as a whole. The Board of directors is identified as the CODM and reviews the consolidated operating results regularly to make decisions about the resources and to assess overall performance.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2.5 Foreign currencies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Group’s consolidated financial statements are presented in euros, which is also the Group’s functional currency.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Transactions and balances</w:t>
      </w:r>
    </w:p>
    <w:p>
      <w:pPr>
        <w:spacing w:after="0" w:line="121"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8"/>
          <w:szCs w:val="18"/>
          <w:color w:val="32406B"/>
        </w:rPr>
        <w:t>Transactions in foreign currencies are initially recorded by the Group’s entities at their respective functional currency spot rates at the date the transaction first qualifies for recognition.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32406B"/>
        </w:rPr>
        <w:t>Monetary assets and liabilities denominated in foreign currencies are translated at the functional currency spot rates of exchange at the reporting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Differences arising on settlement or translation of monetary items are recognized in profit or loss.</w:t>
      </w:r>
    </w:p>
    <w:p>
      <w:pPr>
        <w:spacing w:after="0" w:line="207"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8"/>
          <w:szCs w:val="18"/>
          <w:color w:val="32406B"/>
        </w:rPr>
        <w:t>Non-monetary items that are measured in terms of historical cost in a foreign currency are translated using the exchange rates at the dates of the initial transactions.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2.6 Notes to the cash flow statement</w:t>
      </w:r>
    </w:p>
    <w:p>
      <w:pPr>
        <w:spacing w:after="0" w:line="121"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The cash flow statement has been prepared using the indirect method. The cash and cash equivalents disclosed in the cash flow statement comprises of cash at bank.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2.7 Property, Plant and Equipment</w:t>
      </w:r>
    </w:p>
    <w:p>
      <w:pPr>
        <w:spacing w:after="0" w:line="121" w:lineRule="exact"/>
        <w:rPr>
          <w:sz w:val="20"/>
          <w:szCs w:val="20"/>
          <w:color w:val="auto"/>
        </w:rPr>
      </w:pPr>
    </w:p>
    <w:p>
      <w:pPr>
        <w:jc w:val="both"/>
        <w:ind w:right="60" w:firstLine="449"/>
        <w:spacing w:after="0" w:line="261" w:lineRule="auto"/>
        <w:rPr>
          <w:sz w:val="20"/>
          <w:szCs w:val="20"/>
          <w:color w:val="auto"/>
        </w:rPr>
      </w:pPr>
      <w:r>
        <w:rPr>
          <w:rFonts w:ascii="Times New Roman" w:cs="Times New Roman" w:eastAsia="Times New Roman" w:hAnsi="Times New Roman"/>
          <w:sz w:val="18"/>
          <w:szCs w:val="18"/>
          <w:color w:val="32406B"/>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F-9</w:t>
      </w:r>
    </w:p>
    <w:p>
      <w:pPr>
        <w:sectPr>
          <w:pgSz w:w="11900" w:h="16838" w:orient="portrait"/>
          <w:cols w:equalWidth="0" w:num="1">
            <w:col w:w="11220"/>
          </w:cols>
          <w:pgMar w:left="320" w:top="455" w:right="35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Depreciation on property, plant and equipment is calculated using the straight-line method to allocate their cost over their estimated useful lives, as follows:</w:t>
      </w:r>
    </w:p>
    <w:p>
      <w:pPr>
        <w:spacing w:after="0" w:line="67" w:lineRule="exact"/>
        <w:rPr>
          <w:sz w:val="20"/>
          <w:szCs w:val="20"/>
          <w:color w:val="auto"/>
        </w:rPr>
      </w:pPr>
    </w:p>
    <w:p>
      <w:pPr>
        <w:ind w:left="1000" w:hanging="547"/>
        <w:spacing w:after="0"/>
        <w:tabs>
          <w:tab w:leader="none" w:pos="1000" w:val="left"/>
        </w:tabs>
        <w:numPr>
          <w:ilvl w:val="0"/>
          <w:numId w:val="129"/>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Office equipment 3-5 years</w:t>
      </w:r>
    </w:p>
    <w:p>
      <w:pPr>
        <w:spacing w:after="0" w:line="225" w:lineRule="exact"/>
        <w:rPr>
          <w:sz w:val="20"/>
          <w:szCs w:val="20"/>
          <w:color w:val="auto"/>
        </w:rPr>
      </w:pPr>
    </w:p>
    <w:p>
      <w:pPr>
        <w:ind w:right="520" w:firstLine="449"/>
        <w:spacing w:after="0" w:line="282" w:lineRule="auto"/>
        <w:rPr>
          <w:sz w:val="20"/>
          <w:szCs w:val="20"/>
          <w:color w:val="auto"/>
        </w:rPr>
      </w:pPr>
      <w:r>
        <w:rPr>
          <w:rFonts w:ascii="Times New Roman" w:cs="Times New Roman" w:eastAsia="Times New Roman" w:hAnsi="Times New Roman"/>
          <w:sz w:val="18"/>
          <w:szCs w:val="18"/>
          <w:color w:val="32406B"/>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6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Gains and losses on disposals are determined by comparing proceeds with the carrying amount and are recognized in the consolidated statements of profit or loss and comprehensive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2.8 Financial instruments—Recognition and measurement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Financial assets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Initial recognition and measurement</w:t>
      </w:r>
    </w:p>
    <w:p>
      <w:pPr>
        <w:spacing w:after="0" w:line="99"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Financial assets are initially measured at fair value. After the initial measurement, the financial assets are subsequently classified as either measured at amortized cost, fair value through the consolidated statements of profit or loss and comprehensive income (loss).</w:t>
      </w:r>
    </w:p>
    <w:p>
      <w:pPr>
        <w:spacing w:after="0" w:line="162"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The classification of financial assets at initial recognition depends on the financial asset’s contractual cash flow characteristics and the Group’s business model for managing them. The Group initially measures a financial asset at its fair value. Financial assets are included in Group’s statements of financial position when Pharvaris becomes a party to the contractual provisions of the instrument.</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Subsequent measurement</w:t>
      </w:r>
    </w:p>
    <w:p>
      <w:pPr>
        <w:spacing w:after="0" w:line="121" w:lineRule="exact"/>
        <w:rPr>
          <w:sz w:val="20"/>
          <w:szCs w:val="20"/>
          <w:color w:val="auto"/>
        </w:rPr>
      </w:pPr>
    </w:p>
    <w:p>
      <w:pPr>
        <w:ind w:right="300" w:firstLine="449"/>
        <w:spacing w:after="0" w:line="266" w:lineRule="auto"/>
        <w:rPr>
          <w:sz w:val="20"/>
          <w:szCs w:val="20"/>
          <w:color w:val="auto"/>
        </w:rPr>
      </w:pPr>
      <w:r>
        <w:rPr>
          <w:rFonts w:ascii="Times New Roman" w:cs="Times New Roman" w:eastAsia="Times New Roman" w:hAnsi="Times New Roman"/>
          <w:sz w:val="18"/>
          <w:szCs w:val="18"/>
          <w:color w:val="32406B"/>
        </w:rPr>
        <w:t>Financial assets are subsequently measured at amortized cost. Financial assets at amortized cost are subsequently measured using the effective interest method and are subject to impairment. Gains and losses are recognized in the consolidated statements of profit or loss and other comprehensive income (loss) when the asset is derecognized, modified or impaired.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For the years ended December 31, 2019 and 2018, the Group had the following financial assets to be measured at amortized cost:</w:t>
      </w:r>
    </w:p>
    <w:p>
      <w:pPr>
        <w:spacing w:after="0" w:line="131" w:lineRule="exact"/>
        <w:rPr>
          <w:sz w:val="20"/>
          <w:szCs w:val="20"/>
          <w:color w:val="auto"/>
        </w:rPr>
      </w:pPr>
    </w:p>
    <w:p>
      <w:pPr>
        <w:ind w:left="1000" w:hanging="547"/>
        <w:spacing w:after="0"/>
        <w:tabs>
          <w:tab w:leader="none" w:pos="1000" w:val="left"/>
        </w:tabs>
        <w:numPr>
          <w:ilvl w:val="0"/>
          <w:numId w:val="1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Cash and cash equivalents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30"/>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Receivables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Derecognition</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Financial assets are derecognized when the rights to receive cash flows from the investments have expired or have been transferred and where the Group has transferred substantially all risks and rewards of ownership.</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Financial liabilities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Initial recognition and measurement</w:t>
      </w:r>
    </w:p>
    <w:p>
      <w:pPr>
        <w:spacing w:after="0" w:line="99"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Financial liabilities are classified, at initial recognition, as financial liabilities at fair value through other comprehensive income, or fair value through the consolidated statements of profit or loss and other comprehensive income (loss), as payables.</w:t>
      </w:r>
    </w:p>
    <w:p>
      <w:pPr>
        <w:spacing w:after="0" w:line="162"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8"/>
          <w:szCs w:val="18"/>
          <w:color w:val="32406B"/>
        </w:rPr>
        <w:t>All financial liabilities are recognized initially at fair value and, in the case of loans and borrowings and payables, net of directly attributable transaction costs. The Group’s financial liabilities include trade payables and accrued liabilities.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F-10</w:t>
      </w:r>
    </w:p>
    <w:p>
      <w:pPr>
        <w:sectPr>
          <w:pgSz w:w="11900" w:h="16838" w:orient="portrait"/>
          <w:cols w:equalWidth="0" w:num="1">
            <w:col w:w="11220"/>
          </w:cols>
          <w:pgMar w:left="320" w:top="455" w:right="35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Subsequent measurement</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After initial recognition, trade payables and accrued liabilities are subsequently measured at amortized cost. Gains and losses are recognized in the consolidated statements of profit or loss and other comprehensive income (loss).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Derecognition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 financial liability is derecognized when the obligation under the liability is discharged or cancelled or is expired.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2.9 Receivables</w:t>
      </w:r>
    </w:p>
    <w:p>
      <w:pPr>
        <w:spacing w:after="0" w:line="121" w:lineRule="exact"/>
        <w:rPr>
          <w:sz w:val="20"/>
          <w:szCs w:val="20"/>
          <w:color w:val="auto"/>
        </w:rPr>
      </w:pPr>
    </w:p>
    <w:p>
      <w:pPr>
        <w:ind w:right="60" w:firstLine="449"/>
        <w:spacing w:after="0" w:line="266" w:lineRule="auto"/>
        <w:rPr>
          <w:sz w:val="20"/>
          <w:szCs w:val="20"/>
          <w:color w:val="auto"/>
        </w:rPr>
      </w:pPr>
      <w:r>
        <w:rPr>
          <w:rFonts w:ascii="Times New Roman" w:cs="Times New Roman" w:eastAsia="Times New Roman" w:hAnsi="Times New Roman"/>
          <w:sz w:val="18"/>
          <w:szCs w:val="18"/>
          <w:color w:val="32406B"/>
        </w:rPr>
        <w:t>Receivables are recognized initially at fair value and subsequently measured at amortised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2.10 Cash and cash equivalents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Cash and cash equivalents comprise bank balances.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2.11 Equity</w:t>
      </w:r>
    </w:p>
    <w:p>
      <w:pPr>
        <w:spacing w:after="0" w:line="12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6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8"/>
          <w:szCs w:val="18"/>
          <w:color w:val="32406B"/>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unfavourable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Ordinary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Ordinary shares are classified as equity.</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Preferred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Preferred shares are equity classified as result of:</w:t>
      </w:r>
    </w:p>
    <w:p>
      <w:pPr>
        <w:spacing w:after="0" w:line="131" w:lineRule="exact"/>
        <w:rPr>
          <w:sz w:val="20"/>
          <w:szCs w:val="20"/>
          <w:color w:val="auto"/>
        </w:rPr>
      </w:pPr>
    </w:p>
    <w:p>
      <w:pPr>
        <w:ind w:left="1000" w:right="360" w:hanging="547"/>
        <w:spacing w:after="0" w:line="282" w:lineRule="auto"/>
        <w:tabs>
          <w:tab w:leader="none" w:pos="1000" w:val="left"/>
        </w:tabs>
        <w:numPr>
          <w:ilvl w:val="0"/>
          <w:numId w:val="1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lack of contractual obligation to deliver cash or another financial asset to another entity, or to exchange financial assets or financial liabilities with another entity under conditions that are potentially unfavourable to the Group.</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31"/>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No contractual obligation to transfer an amount (dividend) independent of the entity’s available economic resources.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32406B"/>
        </w:rPr>
        <w:t>F-11</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32406B"/>
        </w:rPr>
        <w:t>Pursuant to the shareholders’ agreement, all of the outstanding preferred shares will automatically convert into ordinary shares upon the consummation of a qualified Initial Public Offering (IPO) or on request of the majority of the issued and outstanding preferred shares. The conversion rate for the preferred shares is calculated by reference to the original issue price of relevant preferred shares, adjusted for certain anti-dilution protections.</w:t>
      </w:r>
    </w:p>
    <w:p>
      <w:pPr>
        <w:spacing w:after="0" w:line="176" w:lineRule="exact"/>
        <w:rPr>
          <w:sz w:val="20"/>
          <w:szCs w:val="20"/>
          <w:color w:val="auto"/>
        </w:rPr>
      </w:pPr>
    </w:p>
    <w:p>
      <w:pPr>
        <w:jc w:val="both"/>
        <w:ind w:right="140" w:firstLine="449"/>
        <w:spacing w:after="0" w:line="266" w:lineRule="auto"/>
        <w:rPr>
          <w:sz w:val="20"/>
          <w:szCs w:val="20"/>
          <w:color w:val="auto"/>
        </w:rPr>
      </w:pPr>
      <w:r>
        <w:rPr>
          <w:rFonts w:ascii="Times New Roman" w:cs="Times New Roman" w:eastAsia="Times New Roman" w:hAnsi="Times New Roman"/>
          <w:sz w:val="18"/>
          <w:szCs w:val="18"/>
          <w:color w:val="32406B"/>
        </w:rPr>
        <w:t>The holders of the outstanding preferred shares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w:t>
      </w:r>
    </w:p>
    <w:p>
      <w:pPr>
        <w:spacing w:after="0" w:line="176"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8"/>
          <w:szCs w:val="18"/>
          <w:color w:val="32406B"/>
        </w:rPr>
        <w:t>The Group issued two classes of preferred shares, convertible preferred shares A and convertible preferred shares B. The dividend preference is noncumulative and is only applicable when the general meeting of shareholder’s decides to make a profit distribution (Note 15).</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Convertible Preferred shares A and convertible preferred shares B</w:t>
      </w:r>
    </w:p>
    <w:p>
      <w:pPr>
        <w:spacing w:after="0" w:line="121" w:lineRule="exact"/>
        <w:rPr>
          <w:sz w:val="20"/>
          <w:szCs w:val="20"/>
          <w:color w:val="auto"/>
        </w:rPr>
      </w:pPr>
    </w:p>
    <w:p>
      <w:pPr>
        <w:jc w:val="both"/>
        <w:ind w:right="300" w:firstLine="449"/>
        <w:spacing w:after="0" w:line="266" w:lineRule="auto"/>
        <w:rPr>
          <w:sz w:val="20"/>
          <w:szCs w:val="20"/>
          <w:color w:val="auto"/>
        </w:rPr>
      </w:pPr>
      <w:r>
        <w:rPr>
          <w:rFonts w:ascii="Times New Roman" w:cs="Times New Roman" w:eastAsia="Times New Roman" w:hAnsi="Times New Roman"/>
          <w:sz w:val="18"/>
          <w:szCs w:val="18"/>
          <w:color w:val="32406B"/>
        </w:rPr>
        <w:t>Preferred shares A and preferred shares B have a dividend preference over ordinary shares. In addition, preferred shares A and preferred shares B have an anti-dilution protection that is not applicable for ordinary shares. The anti-dilution protection is under the full control of the Group and does not affect the equity classification of the preferred shares A and preferred shares B.</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Preferred shares A and preferred shares B both qualify as equity. Dividends paid on the preference shares are treated as profit appropriation.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2.12 Trade and other payables</w:t>
      </w:r>
    </w:p>
    <w:p>
      <w:pPr>
        <w:spacing w:after="0" w:line="12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Trade and other payables are obligations to pay for goods or services that have been acquired in the ordinary course of business from suppliers. Accounts payable are classified as current liabilities if payment is due within one year or less (or in the normal operating cycle of the business if longer). If not, they are presented as non-current liabilities.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32406B"/>
        </w:rPr>
        <w:t>Trade and other payables are recognized initially at fair value and subsequently measured at amortized cost using the effective interest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2.13 Current and deferred income tax</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32406B"/>
        </w:rPr>
        <w:t>The tax expense for the period comprises current and deferred tax. Tax effects are recognized in the consolidated statements of income or loss and comprehensive income (loss), except to the extent that it relates to items recognized in other comprehensive income or directly in equity.</w:t>
      </w:r>
    </w:p>
    <w:p>
      <w:pPr>
        <w:spacing w:after="0" w:line="162"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32406B"/>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80"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F-12</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32406B"/>
        </w:rPr>
        <w:t>Deferred income tax assets are recognized only to the extent that it is probable that future taxable profit will be available against which the temporary differences can be utilized.</w:t>
      </w:r>
    </w:p>
    <w:p>
      <w:pPr>
        <w:spacing w:after="0" w:line="162"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32406B"/>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2.14 Share-based payment</w:t>
      </w:r>
    </w:p>
    <w:p>
      <w:pPr>
        <w:spacing w:after="0" w:line="121"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against a credit in equity. The total amount to be expensed is determined by reference to the grant date fair value of the equity instruments granted, including the impact of any market performance vesting conditions and non-vesting conditions.</w:t>
      </w:r>
    </w:p>
    <w:p>
      <w:pPr>
        <w:spacing w:after="0" w:line="180"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Service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If the length of the vesting period varies depending on when a non-market performance condition is satisfied, the total expense is recognized over the expected vesting period. The Group recognizes the impact of the revision to previous estimates, if any, in the consolidated statements of profit or loss and other comprehensive income (loss), with a corresponding adjustment to equity.</w:t>
      </w:r>
    </w:p>
    <w:p>
      <w:pPr>
        <w:spacing w:after="0" w:line="183"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32406B"/>
        </w:rPr>
        <w:t>When options are exercised, the Company issues new shares. The proceeds received net of any directly attributable transaction costs are credited to share capital (nominal value) and share premium when the options are exercised.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2.15 Expenses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Research and development expenses</w:t>
      </w:r>
    </w:p>
    <w:p>
      <w:pPr>
        <w:spacing w:after="0" w:line="121"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32406B"/>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2019 or 2018. See Note 4 for information relating to research and development expenses incurred in the reporting period.</w:t>
      </w:r>
    </w:p>
    <w:p>
      <w:pPr>
        <w:spacing w:after="0" w:line="187"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8"/>
          <w:szCs w:val="18"/>
          <w:color w:val="32406B"/>
        </w:rPr>
        <w:t>At each balance sheet date, the Group estimates the level of services performed by the vendors and the associated cost incurred for the services performed.</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General and administrative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Expenses are recognized in Group’s consolidated statements of profit or loss and other comprehensive income (loss) as expenses when incurred.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F-13</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2.16 New and amended standards and interpretations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IFRS 16 Leases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General impact and transition</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32406B"/>
        </w:rPr>
        <w:t>In the current year, the Group has applied IFRS 16 Leases (as issued by the IASB effective January 1, 2019). IFRS 16 introduces new or amended requirements with respect to lease accounting. It introduces significant changes to lessee accounting by removing the distinction between operating and finance leases and requiring the recognition of a right-of-use asset and a lease liability at the lease commencement for all leases, except for short term leases and leases of low value assets. Details of the Group’s accounting policies under IFRS 16 are set out as below.</w:t>
      </w:r>
    </w:p>
    <w:p>
      <w:pPr>
        <w:spacing w:after="0" w:line="180" w:lineRule="exact"/>
        <w:rPr>
          <w:sz w:val="20"/>
          <w:szCs w:val="20"/>
          <w:color w:val="auto"/>
        </w:rPr>
      </w:pPr>
    </w:p>
    <w:p>
      <w:pPr>
        <w:ind w:right="20" w:firstLine="449"/>
        <w:spacing w:after="0" w:line="266" w:lineRule="auto"/>
        <w:rPr>
          <w:sz w:val="20"/>
          <w:szCs w:val="20"/>
          <w:color w:val="auto"/>
        </w:rPr>
      </w:pPr>
      <w:r>
        <w:rPr>
          <w:rFonts w:ascii="Times New Roman" w:cs="Times New Roman" w:eastAsia="Times New Roman" w:hAnsi="Times New Roman"/>
          <w:sz w:val="18"/>
          <w:szCs w:val="18"/>
          <w:color w:val="32406B"/>
        </w:rPr>
        <w:t>The Group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The Group elected to use certain transition practical expedients, described below:</w:t>
      </w:r>
    </w:p>
    <w:p>
      <w:pPr>
        <w:spacing w:after="0" w:line="81" w:lineRule="exact"/>
        <w:rPr>
          <w:sz w:val="20"/>
          <w:szCs w:val="20"/>
          <w:color w:val="auto"/>
        </w:rPr>
      </w:pPr>
    </w:p>
    <w:p>
      <w:pPr>
        <w:ind w:left="1000" w:hanging="332"/>
        <w:spacing w:after="0"/>
        <w:tabs>
          <w:tab w:leader="none" w:pos="1000" w:val="left"/>
        </w:tabs>
        <w:numPr>
          <w:ilvl w:val="0"/>
          <w:numId w:val="1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To not reassess upon transition whether an existing contract contains a lease; and</w:t>
      </w:r>
    </w:p>
    <w:p>
      <w:pPr>
        <w:spacing w:after="0" w:line="130" w:lineRule="exact"/>
        <w:rPr>
          <w:rFonts w:ascii="Times New Roman" w:cs="Times New Roman" w:eastAsia="Times New Roman" w:hAnsi="Times New Roman"/>
          <w:sz w:val="18"/>
          <w:szCs w:val="18"/>
          <w:color w:val="32406B"/>
        </w:rPr>
      </w:pPr>
    </w:p>
    <w:p>
      <w:pPr>
        <w:ind w:left="1000" w:hanging="382"/>
        <w:spacing w:after="0"/>
        <w:tabs>
          <w:tab w:leader="none" w:pos="1000" w:val="left"/>
        </w:tabs>
        <w:numPr>
          <w:ilvl w:val="0"/>
          <w:numId w:val="132"/>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recognition exemptions for short-term leases (less than 12 months of lease term) and leases of low-value assets.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Impact on lessee accounting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Applying IFRS 16 for all leases, the Group:</w:t>
      </w:r>
    </w:p>
    <w:p>
      <w:pPr>
        <w:spacing w:after="0" w:line="131" w:lineRule="exact"/>
        <w:rPr>
          <w:sz w:val="20"/>
          <w:szCs w:val="20"/>
          <w:color w:val="auto"/>
        </w:rPr>
      </w:pPr>
    </w:p>
    <w:p>
      <w:pPr>
        <w:ind w:left="1000" w:hanging="332"/>
        <w:spacing w:after="0" w:line="282" w:lineRule="auto"/>
        <w:tabs>
          <w:tab w:leader="none" w:pos="1000" w:val="left"/>
        </w:tabs>
        <w:numPr>
          <w:ilvl w:val="0"/>
          <w:numId w:val="1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Recognizes a right-of-use asset and a corresponding lease liability in the consolidated statement of financial position, initially measured at the present value of future lease payments;</w:t>
      </w:r>
    </w:p>
    <w:p>
      <w:pPr>
        <w:spacing w:after="0" w:line="67" w:lineRule="exact"/>
        <w:rPr>
          <w:rFonts w:ascii="Times New Roman" w:cs="Times New Roman" w:eastAsia="Times New Roman" w:hAnsi="Times New Roman"/>
          <w:sz w:val="18"/>
          <w:szCs w:val="18"/>
          <w:color w:val="32406B"/>
        </w:rPr>
      </w:pPr>
    </w:p>
    <w:p>
      <w:pPr>
        <w:ind w:left="1000" w:hanging="382"/>
        <w:spacing w:after="0"/>
        <w:tabs>
          <w:tab w:leader="none" w:pos="1000" w:val="left"/>
        </w:tabs>
        <w:numPr>
          <w:ilvl w:val="0"/>
          <w:numId w:val="1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Recognizes depreciation of right-of-use assets and interest on lease liabilities in the consolidated statement of profit or loss; and</w:t>
      </w:r>
    </w:p>
    <w:p>
      <w:pPr>
        <w:spacing w:after="0" w:line="130" w:lineRule="exact"/>
        <w:rPr>
          <w:rFonts w:ascii="Times New Roman" w:cs="Times New Roman" w:eastAsia="Times New Roman" w:hAnsi="Times New Roman"/>
          <w:sz w:val="18"/>
          <w:szCs w:val="18"/>
          <w:color w:val="32406B"/>
        </w:rPr>
      </w:pPr>
    </w:p>
    <w:p>
      <w:pPr>
        <w:ind w:left="1000" w:hanging="432"/>
        <w:spacing w:after="0" w:line="282" w:lineRule="auto"/>
        <w:tabs>
          <w:tab w:leader="none" w:pos="1000" w:val="left"/>
        </w:tabs>
        <w:numPr>
          <w:ilvl w:val="0"/>
          <w:numId w:val="133"/>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Separates the total amount of cash paid into a principal portion (presented within financing activities) and interest (presented within operating activities) in the consolidated statement of cash flows.</w:t>
      </w:r>
    </w:p>
    <w:p>
      <w:pPr>
        <w:spacing w:after="0" w:line="162"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32406B"/>
        </w:rPr>
        <w:t>Under IFRS 16, right-of-use assets will be tested for impairment in accordance with IAS 36 Impairment of Assets. This replaces the previous requirement to recognize a provision for onerous lease contracts.</w:t>
      </w:r>
    </w:p>
    <w:p>
      <w:pPr>
        <w:spacing w:after="0" w:line="162"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For short-term leases (a lease term of 12 months or less) and leases of low-value assets, the Group has opted to recognize a lease expense on a straight-line basis as permitted by IFRS 16. This expense is presented within general and administrative expenses in the consolidated statement of profit and loss and other comprehensive income and (loss).</w:t>
      </w:r>
    </w:p>
    <w:p>
      <w:pPr>
        <w:spacing w:after="0" w:line="176"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As at December 31, 2018, the Group did not hold any finance leases with terms greater than 12 months. As at January 1, 2019, the date of initial application of IFRS 16, the Group had no leases with terms greater than 12 months. The Group is not subject to retrospective application of IFRS 16 nor restatement of comparative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2.17 Standards issued but not yet effective</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The standards and interpretations that are issued, but not yet effective, up to the date of issuance of the Group’s financial statements are disclosed below. The Group intends to adopt these standards, if applicable, when they become effective.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F-14</w:t>
      </w:r>
    </w:p>
    <w:p>
      <w:pPr>
        <w:sectPr>
          <w:pgSz w:w="11900" w:h="16838" w:orient="portrait"/>
          <w:cols w:equalWidth="0" w:num="1">
            <w:col w:w="11200"/>
          </w:cols>
          <w:pgMar w:left="320" w:top="455" w:right="3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Definition of a Business—Amendments to IFRS 3</w:t>
      </w:r>
    </w:p>
    <w:p>
      <w:pPr>
        <w:spacing w:after="0" w:line="121"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8"/>
          <w:szCs w:val="18"/>
          <w:color w:val="32406B"/>
        </w:rPr>
        <w:t>The IASB issued amendments to the definition of a business in IFRS 3 Business Combinations to help entities determine whether an acquired set of activities and assets is a business or not. They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New illustrative examples were provided along with the amendments.</w:t>
      </w:r>
    </w:p>
    <w:p>
      <w:pPr>
        <w:spacing w:after="0" w:line="180" w:lineRule="exact"/>
        <w:rPr>
          <w:sz w:val="20"/>
          <w:szCs w:val="20"/>
          <w:color w:val="auto"/>
        </w:rPr>
      </w:pPr>
    </w:p>
    <w:p>
      <w:pPr>
        <w:ind w:right="80" w:firstLine="449"/>
        <w:spacing w:after="0" w:line="258" w:lineRule="auto"/>
        <w:rPr>
          <w:sz w:val="20"/>
          <w:szCs w:val="20"/>
          <w:color w:val="auto"/>
        </w:rPr>
      </w:pPr>
      <w:r>
        <w:rPr>
          <w:rFonts w:ascii="Times New Roman" w:cs="Times New Roman" w:eastAsia="Times New Roman" w:hAnsi="Times New Roman"/>
          <w:sz w:val="18"/>
          <w:szCs w:val="18"/>
          <w:color w:val="32406B"/>
        </w:rPr>
        <w:t>The amendments must be applied to transactions that are either business combinations or asset acquisitions for which the acquisition date is on or after the beginning of the first annual reporting period beginning on or after January 1, 2020. Consequently, entities do not have to revisit such transactions that occurred in prior periods. Earlier application is permitted and must be disclosed. The Group has assessed amendments IFRS 3’s full impact and concludes that the amendments to the definition of a business in IFRS to have no impact on Group’s consolidated financial statements. The Group intends to adopt it no later than the accounting period beginning on January 1, 2020.</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Definition of Material—Amendments to IAS 1 and IAS 8</w:t>
      </w:r>
    </w:p>
    <w:p>
      <w:pPr>
        <w:spacing w:after="0" w:line="121" w:lineRule="exact"/>
        <w:rPr>
          <w:sz w:val="20"/>
          <w:szCs w:val="20"/>
          <w:color w:val="auto"/>
        </w:rPr>
      </w:pPr>
    </w:p>
    <w:p>
      <w:pPr>
        <w:ind w:right="220" w:firstLine="449"/>
        <w:spacing w:after="0" w:line="261" w:lineRule="auto"/>
        <w:rPr>
          <w:sz w:val="20"/>
          <w:szCs w:val="20"/>
          <w:color w:val="auto"/>
        </w:rPr>
      </w:pPr>
      <w:r>
        <w:rPr>
          <w:rFonts w:ascii="Times New Roman" w:cs="Times New Roman" w:eastAsia="Times New Roman" w:hAnsi="Times New Roman"/>
          <w:sz w:val="18"/>
          <w:szCs w:val="18"/>
          <w:color w:val="32406B"/>
        </w:rPr>
        <w:t>In October 2018, the IASB issued amendments to IAS 1 Presentation of Financial Statements and IAS 8 to align the definition of ‘material’ across the standards and to clarify certain aspects of the definition. The new definition states that,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w:t>
      </w:r>
    </w:p>
    <w:p>
      <w:pPr>
        <w:spacing w:after="0" w:line="180"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32406B"/>
        </w:rPr>
        <w:t>The amendments clarify that materiality will depend on the nature or magnitude of information, or both. An entity will need to assess whether the information, either individually or in combination with other information, is material in the context of the financial statements.</w:t>
      </w:r>
    </w:p>
    <w:p>
      <w:pPr>
        <w:spacing w:after="0" w:line="162"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Although the amendments to the definition of material is not expected to have a significant impact on an entity’s financial statements, the introduction of the term ‘obscuring information’ in the definition could potentially impact how materiality judgements are made in practice, by elevating the importance of how information is communicated and organised in the financial statements.</w:t>
      </w:r>
    </w:p>
    <w:p>
      <w:pPr>
        <w:spacing w:after="0" w:line="176"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The amendments are effective for annual periods beginning on or after January 1, 2020. The amendments must be applied prospectively. Early application is permitted and must be disclosed. The Group has assessed amendments IAS 1 and IAS 8’s full impact and intends to adopt it no later than the accounting period beginning on January 1, 2020. The amendments are not expected to have material effect on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2.18 Significant accounting judgements, estimates and assumptions</w:t>
      </w:r>
    </w:p>
    <w:p>
      <w:pPr>
        <w:spacing w:after="0" w:line="12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76" w:lineRule="exact"/>
        <w:rPr>
          <w:sz w:val="20"/>
          <w:szCs w:val="20"/>
          <w:color w:val="auto"/>
        </w:rPr>
      </w:pPr>
    </w:p>
    <w:p>
      <w:pPr>
        <w:ind w:right="300" w:firstLine="449"/>
        <w:spacing w:after="0" w:line="282" w:lineRule="auto"/>
        <w:rPr>
          <w:sz w:val="20"/>
          <w:szCs w:val="20"/>
          <w:color w:val="auto"/>
        </w:rPr>
      </w:pPr>
      <w:r>
        <w:rPr>
          <w:rFonts w:ascii="Times New Roman" w:cs="Times New Roman" w:eastAsia="Times New Roman" w:hAnsi="Times New Roman"/>
          <w:sz w:val="18"/>
          <w:szCs w:val="18"/>
          <w:color w:val="32406B"/>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62"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32406B"/>
        </w:rPr>
        <w:t>The key assumptions concerning the future and other key sources of estimation uncertainty at the reporting date, that have a significant risk of causing a material adjustment to the carrying amounts of assets and liabilities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F-15</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32406B"/>
        </w:rPr>
        <w:t>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Share-based payments</w:t>
      </w:r>
    </w:p>
    <w:p>
      <w:pPr>
        <w:spacing w:after="0" w:line="121"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8"/>
          <w:szCs w:val="18"/>
          <w:color w:val="32406B"/>
        </w:rPr>
        <w:t>The Group has adopted an equity-settled share-based compensation plan, pursuant to which certain participants are granted the right to acquire ordinary shares of the Company. The grants made under this plan are accounted for in accordance with the policy as stated in Note 2.14. The total amount to be expensed is determined by reference to the fair value of the options or restricted stock units granted. The fair value is measured at the date of grant using an Option Pricing model as further explained in Note 16.</w:t>
      </w:r>
    </w:p>
    <w:p>
      <w:pPr>
        <w:spacing w:after="0" w:line="180"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32406B"/>
        </w:rPr>
        <w:t>Due to the lack of quoted market prices, the Group has determined the fair value for the measurement of the equity-settled transactions at the grant date with assistance of an external appraiser, considering certain assumptions relating to the volatility of stock price, the determination of an appropriate risk-free interest rate and expected dividends.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Research and development expenses</w:t>
      </w:r>
    </w:p>
    <w:p>
      <w:pPr>
        <w:spacing w:after="0" w:line="121" w:lineRule="exact"/>
        <w:rPr>
          <w:sz w:val="20"/>
          <w:szCs w:val="20"/>
          <w:color w:val="auto"/>
        </w:rPr>
      </w:pPr>
    </w:p>
    <w:p>
      <w:pPr>
        <w:ind w:firstLine="449"/>
        <w:spacing w:after="0" w:line="258" w:lineRule="auto"/>
        <w:rPr>
          <w:sz w:val="20"/>
          <w:szCs w:val="20"/>
          <w:color w:val="auto"/>
        </w:rPr>
      </w:pPr>
      <w:r>
        <w:rPr>
          <w:rFonts w:ascii="Times New Roman" w:cs="Times New Roman" w:eastAsia="Times New Roman" w:hAnsi="Times New Roman"/>
          <w:sz w:val="18"/>
          <w:szCs w:val="18"/>
          <w:color w:val="32406B"/>
        </w:rPr>
        <w:t>Research and development expenses are currently not capitalized but are expensed because the criteria for capitalization are not met (Note 2.15 and Note 4). At each balance sheet date, the Group estimates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3. First-time adoption of IFRS</w:t>
      </w:r>
    </w:p>
    <w:p>
      <w:pPr>
        <w:spacing w:after="0" w:line="12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8"/>
          <w:szCs w:val="18"/>
          <w:color w:val="32406B"/>
        </w:rPr>
        <w:t>These financial statements, for the year ended December 31, 2019, are the first the Group has prepared in accordance with IFRS. For periods up to and including the year ended December 31, 2018, the Group prepared its consolidated financial statements in accordance with the provisions of</w:t>
      </w:r>
    </w:p>
    <w:p>
      <w:pPr>
        <w:ind w:right="40"/>
        <w:spacing w:after="0" w:line="260" w:lineRule="auto"/>
        <w:rPr>
          <w:sz w:val="20"/>
          <w:szCs w:val="20"/>
          <w:color w:val="auto"/>
        </w:rPr>
      </w:pPr>
      <w:r>
        <w:rPr>
          <w:rFonts w:ascii="Times New Roman" w:cs="Times New Roman" w:eastAsia="Times New Roman" w:hAnsi="Times New Roman"/>
          <w:sz w:val="18"/>
          <w:szCs w:val="18"/>
          <w:color w:val="32406B"/>
        </w:rPr>
        <w:t>Title 9, Book 2 of the Dutch Civil Code and the firm pronouncements in the Dutch Accounting Standards, as published by the Dutch Accounting Standards Board (‘Raad voor de Jaarverslaggeving’) (Dutch GAAP) as local generally accepted accounting principles.</w:t>
      </w:r>
    </w:p>
    <w:p>
      <w:pPr>
        <w:spacing w:after="0" w:line="181" w:lineRule="exact"/>
        <w:rPr>
          <w:sz w:val="20"/>
          <w:szCs w:val="20"/>
          <w:color w:val="auto"/>
        </w:rPr>
      </w:pPr>
    </w:p>
    <w:p>
      <w:pPr>
        <w:ind w:right="80" w:firstLine="449"/>
        <w:spacing w:after="0" w:line="266" w:lineRule="auto"/>
        <w:rPr>
          <w:sz w:val="20"/>
          <w:szCs w:val="20"/>
          <w:color w:val="auto"/>
        </w:rPr>
      </w:pPr>
      <w:r>
        <w:rPr>
          <w:rFonts w:ascii="Times New Roman" w:cs="Times New Roman" w:eastAsia="Times New Roman" w:hAnsi="Times New Roman"/>
          <w:sz w:val="18"/>
          <w:szCs w:val="18"/>
          <w:color w:val="32406B"/>
        </w:rPr>
        <w:t>Accordingly, the Group has prepared consolidated financial statements that comply with IFRS applicable as at December 31, 2019, together with the comparative period data for the year ended December 31, 2018. In preparing the financial statements, the Group’s opening statement of financial position was prepared as at January 1, 2018, the Group’s date of transition to IFRS.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Group did not identify any differences between Dutch GAAP and IFRS.</w:t>
      </w:r>
    </w:p>
    <w:p>
      <w:pPr>
        <w:spacing w:after="0" w:line="225"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32406B"/>
        </w:rPr>
        <w:t>This note explains the adjustments made by the Group in restating its Dutch GAAP consolidated financial statements, including the consolidated statement of financial position as at January 1, 2018 and the financial statements as of, and for the year ended December 31, 2018, as disclosed in note 3.3.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3.1 Exemptions applied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IFRS 1 allows first-time adopters certain exemptions from the retrospective application of certain requirements under IFRS.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Group has not applied any exemption.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F-16</w:t>
      </w:r>
    </w:p>
    <w:p>
      <w:pPr>
        <w:sectPr>
          <w:pgSz w:w="11900" w:h="16838" w:orient="portrait"/>
          <w:cols w:equalWidth="0" w:num="1">
            <w:col w:w="11240"/>
          </w:cols>
          <w:pgMar w:left="320" w:top="455" w:right="3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3.2 Estimates</w:t>
      </w:r>
    </w:p>
    <w:p>
      <w:pPr>
        <w:spacing w:after="0" w:line="121" w:lineRule="exact"/>
        <w:rPr>
          <w:sz w:val="20"/>
          <w:szCs w:val="20"/>
          <w:color w:val="auto"/>
        </w:rPr>
      </w:pPr>
    </w:p>
    <w:p>
      <w:pPr>
        <w:jc w:val="both"/>
        <w:ind w:right="20" w:firstLine="449"/>
        <w:spacing w:after="0" w:line="266" w:lineRule="auto"/>
        <w:rPr>
          <w:sz w:val="20"/>
          <w:szCs w:val="20"/>
          <w:color w:val="auto"/>
        </w:rPr>
      </w:pPr>
      <w:r>
        <w:rPr>
          <w:rFonts w:ascii="Times New Roman" w:cs="Times New Roman" w:eastAsia="Times New Roman" w:hAnsi="Times New Roman"/>
          <w:sz w:val="18"/>
          <w:szCs w:val="18"/>
          <w:color w:val="32406B"/>
        </w:rPr>
        <w:t>The estimates at January 1, 2018 and at December 31, 2018 are consistent with those made for the same dates in accordance with Dutch GAAP. The estimates used by the Group to present these amounts in accordance with IFRS reflect conditions at January 1, 2018, the date of transition to IFRS and as at December 31,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3.3 Adjustments to Dutch GAAP financial statements as of January 1, 2018 and December 31, 2018</w:t>
      </w:r>
    </w:p>
    <w:p>
      <w:pPr>
        <w:spacing w:after="0" w:line="121"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8"/>
          <w:szCs w:val="18"/>
          <w:color w:val="32406B"/>
        </w:rPr>
        <w:t>In connection with the audit of our consolidated financial statements for the years ended December 31, 2018 and 2019, the following errors were identified in the Dutch GAAP financial statements:</w:t>
      </w:r>
    </w:p>
    <w:p>
      <w:pPr>
        <w:spacing w:after="0" w:line="65" w:lineRule="exact"/>
        <w:rPr>
          <w:sz w:val="20"/>
          <w:szCs w:val="20"/>
          <w:color w:val="auto"/>
        </w:rPr>
      </w:pPr>
    </w:p>
    <w:p>
      <w:pPr>
        <w:ind w:left="1000" w:hanging="372"/>
        <w:spacing w:after="0"/>
        <w:tabs>
          <w:tab w:leader="none" w:pos="1000" w:val="left"/>
        </w:tabs>
        <w:numPr>
          <w:ilvl w:val="0"/>
          <w:numId w:val="134"/>
        </w:numPr>
        <w:rPr>
          <w:rFonts w:ascii="Times New Roman" w:cs="Times New Roman" w:eastAsia="Times New Roman" w:hAnsi="Times New Roman"/>
          <w:sz w:val="18"/>
          <w:szCs w:val="18"/>
          <w:i w:val="1"/>
          <w:iCs w:val="1"/>
          <w:color w:val="32406B"/>
        </w:rPr>
      </w:pPr>
      <w:r>
        <w:rPr>
          <w:rFonts w:ascii="Times New Roman" w:cs="Times New Roman" w:eastAsia="Times New Roman" w:hAnsi="Times New Roman"/>
          <w:sz w:val="18"/>
          <w:szCs w:val="18"/>
          <w:i w:val="1"/>
          <w:iCs w:val="1"/>
          <w:color w:val="32406B"/>
        </w:rPr>
        <w:t>Adjustments in the consolidated statement of financial position as at January 1, 2018</w:t>
      </w:r>
    </w:p>
    <w:p>
      <w:pPr>
        <w:spacing w:after="0" w:line="133" w:lineRule="exact"/>
        <w:rPr>
          <w:sz w:val="20"/>
          <w:szCs w:val="20"/>
          <w:color w:val="auto"/>
        </w:rPr>
      </w:pPr>
    </w:p>
    <w:p>
      <w:pPr>
        <w:ind w:left="1000" w:right="100" w:hanging="306"/>
        <w:spacing w:after="0" w:line="282" w:lineRule="auto"/>
        <w:rPr>
          <w:sz w:val="20"/>
          <w:szCs w:val="20"/>
          <w:color w:val="auto"/>
        </w:rPr>
      </w:pPr>
      <w:r>
        <w:rPr>
          <w:rFonts w:ascii="Times New Roman" w:cs="Times New Roman" w:eastAsia="Times New Roman" w:hAnsi="Times New Roman"/>
          <w:sz w:val="18"/>
          <w:szCs w:val="18"/>
          <w:color w:val="32406B"/>
        </w:rPr>
        <w:t>– Transaction costs for issuance of preferred shares A of €95,418 were expensed instead of recorded through equity (share premium), resulting in a revision in equity of the same amount, from accumulated losses to share premium.</w:t>
      </w:r>
    </w:p>
    <w:p>
      <w:pPr>
        <w:spacing w:after="0" w:line="67" w:lineRule="exact"/>
        <w:rPr>
          <w:sz w:val="20"/>
          <w:szCs w:val="20"/>
          <w:color w:val="auto"/>
        </w:rPr>
      </w:pPr>
    </w:p>
    <w:p>
      <w:pPr>
        <w:ind w:left="1000" w:right="320" w:hanging="306"/>
        <w:spacing w:after="0" w:line="282" w:lineRule="auto"/>
        <w:rPr>
          <w:sz w:val="20"/>
          <w:szCs w:val="20"/>
          <w:color w:val="auto"/>
        </w:rPr>
      </w:pPr>
      <w:r>
        <w:rPr>
          <w:rFonts w:ascii="Times New Roman" w:cs="Times New Roman" w:eastAsia="Times New Roman" w:hAnsi="Times New Roman"/>
          <w:sz w:val="18"/>
          <w:szCs w:val="18"/>
          <w:color w:val="32406B"/>
        </w:rPr>
        <w:t>– Share based payment expenses of €175,247 were omitted from the Dutch GAAP financial statements and as such are adjusted by revision between accumulated losses and other reserves.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32406B"/>
        </w:rPr>
        <w:t>–   An additional accrual of €21,366 has been recorded in accrued liabilities due to timing of expenses.</w:t>
      </w:r>
    </w:p>
    <w:p>
      <w:pPr>
        <w:spacing w:after="0" w:line="129" w:lineRule="exact"/>
        <w:rPr>
          <w:sz w:val="20"/>
          <w:szCs w:val="20"/>
          <w:color w:val="auto"/>
        </w:rPr>
      </w:pPr>
    </w:p>
    <w:p>
      <w:pPr>
        <w:ind w:left="1000" w:hanging="372"/>
        <w:spacing w:after="0"/>
        <w:tabs>
          <w:tab w:leader="none" w:pos="1000" w:val="left"/>
        </w:tabs>
        <w:numPr>
          <w:ilvl w:val="0"/>
          <w:numId w:val="136"/>
        </w:numPr>
        <w:rPr>
          <w:rFonts w:ascii="Times New Roman" w:cs="Times New Roman" w:eastAsia="Times New Roman" w:hAnsi="Times New Roman"/>
          <w:sz w:val="18"/>
          <w:szCs w:val="18"/>
          <w:i w:val="1"/>
          <w:iCs w:val="1"/>
          <w:color w:val="32406B"/>
        </w:rPr>
      </w:pPr>
      <w:r>
        <w:rPr>
          <w:rFonts w:ascii="Times New Roman" w:cs="Times New Roman" w:eastAsia="Times New Roman" w:hAnsi="Times New Roman"/>
          <w:sz w:val="18"/>
          <w:szCs w:val="18"/>
          <w:i w:val="1"/>
          <w:iCs w:val="1"/>
          <w:color w:val="32406B"/>
        </w:rPr>
        <w:t>Adjustments in the consolidated financial statements as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-6350</wp:posOffset>
            </wp:positionV>
            <wp:extent cx="285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13" w:lineRule="exact"/>
        <w:rPr>
          <w:sz w:val="20"/>
          <w:szCs w:val="20"/>
          <w:color w:val="auto"/>
        </w:rPr>
      </w:pPr>
    </w:p>
    <w:p>
      <w:pPr>
        <w:ind w:left="1000" w:right="80" w:hanging="306"/>
        <w:spacing w:after="0" w:line="282" w:lineRule="auto"/>
        <w:rPr>
          <w:sz w:val="20"/>
          <w:szCs w:val="20"/>
          <w:color w:val="auto"/>
        </w:rPr>
      </w:pPr>
      <w:r>
        <w:rPr>
          <w:rFonts w:ascii="Times New Roman" w:cs="Times New Roman" w:eastAsia="Times New Roman" w:hAnsi="Times New Roman"/>
          <w:sz w:val="18"/>
          <w:szCs w:val="18"/>
          <w:color w:val="32406B"/>
        </w:rPr>
        <w:t>– Share based payment expenses of €100,745 were omitted from the Dutch GAAP financial statements and as such are adjusted in the research and development expenses, general and administrative expenses and other reserves.</w:t>
      </w:r>
    </w:p>
    <w:p>
      <w:pPr>
        <w:spacing w:after="0" w:line="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32406B"/>
        </w:rPr>
        <w:t>–   An additional accrual of €218,919 has been recorded in trade payables and accrued liabilities due to timing of expenses.</w:t>
      </w:r>
    </w:p>
    <w:p>
      <w:pPr>
        <w:spacing w:after="0" w:line="13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32406B"/>
        </w:rPr>
        <w:t>–   A cut-off error of €25,895 has been recorded in the receivables.</w:t>
      </w:r>
    </w:p>
    <w:p>
      <w:pPr>
        <w:spacing w:after="0" w:line="329" w:lineRule="exact"/>
        <w:rPr>
          <w:sz w:val="20"/>
          <w:szCs w:val="20"/>
          <w:color w:val="auto"/>
        </w:rPr>
      </w:pPr>
    </w:p>
    <w:p>
      <w:pPr>
        <w:ind w:left="180" w:hanging="172"/>
        <w:spacing w:after="0"/>
        <w:tabs>
          <w:tab w:leader="none" w:pos="180" w:val="left"/>
        </w:tabs>
        <w:numPr>
          <w:ilvl w:val="0"/>
          <w:numId w:val="137"/>
        </w:numPr>
        <w:rPr>
          <w:rFonts w:ascii="Times New Roman" w:cs="Times New Roman" w:eastAsia="Times New Roman" w:hAnsi="Times New Roman"/>
          <w:sz w:val="18"/>
          <w:szCs w:val="18"/>
          <w:b w:val="1"/>
          <w:bCs w:val="1"/>
          <w:color w:val="32406B"/>
        </w:rPr>
      </w:pPr>
      <w:r>
        <w:rPr>
          <w:rFonts w:ascii="Times New Roman" w:cs="Times New Roman" w:eastAsia="Times New Roman" w:hAnsi="Times New Roman"/>
          <w:sz w:val="18"/>
          <w:szCs w:val="18"/>
          <w:b w:val="1"/>
          <w:bCs w:val="1"/>
          <w:color w:val="32406B"/>
        </w:rPr>
        <w:t>Research and development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Pr>
          <w:p>
            <w:pPr>
              <w:spacing w:after="0"/>
              <w:rPr>
                <w:sz w:val="15"/>
                <w:szCs w:val="15"/>
                <w:color w:val="auto"/>
              </w:rPr>
            </w:pP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5"/>
                <w:szCs w:val="15"/>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 (Note 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(131,544)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(99,946)</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Clinical expenses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(2,009,892)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(205,873)</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Pre-clinical expenses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(1,850,444)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(2,449,046)</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Manufacturing costs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(1,379,590)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(870,933)</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License costs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(300,000)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Intellectual Property costs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(13,092)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(19,615)</w:t>
            </w:r>
          </w:p>
        </w:tc>
      </w:tr>
      <w:tr>
        <w:trPr>
          <w:trHeight w:val="27"/>
        </w:trPr>
        <w:tc>
          <w:tcPr>
            <w:tcW w:w="8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research and development expenses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(5,684,562)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(3,645,413)</w:t>
            </w:r>
          </w:p>
        </w:tc>
      </w:tr>
      <w:tr>
        <w:trPr>
          <w:trHeight w:val="20"/>
        </w:trPr>
        <w:tc>
          <w:tcPr>
            <w:tcW w:w="8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Development expenses are currently not capitalized but are recorded in consolidated statements of profit or loss and other comprehensive income or loss because the recognition criteria for capitalisation are not met.</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Clinical expenses, which includes costs of conducting and managing our sponsored clinical trials, including clinical investigator cost, costs of clinical sites, and costs for CRO’s assisting with our clinical development programs.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Pre-clinical expenses, which include costs of our outsourced discovery, preclinical and nonclinical development studies.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32406B"/>
        </w:rPr>
        <w:t>F-17</w:t>
      </w:r>
    </w:p>
    <w:p>
      <w:pPr>
        <w:sectPr>
          <w:pgSz w:w="11900" w:h="16838" w:orient="portrait"/>
          <w:cols w:equalWidth="0" w:num="1">
            <w:col w:w="11240"/>
          </w:cols>
          <w:pgMar w:left="320" w:top="455"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5. General and administrative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5"/>
                <w:szCs w:val="15"/>
                <w:color w:val="auto"/>
              </w:rPr>
            </w:pPr>
          </w:p>
        </w:tc>
      </w:tr>
      <w:tr>
        <w:trPr>
          <w:trHeight w:val="142"/>
        </w:trPr>
        <w:tc>
          <w:tcPr>
            <w:tcW w:w="91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2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 (Note 6)</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(49,601)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(799)</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32406B"/>
              </w:rPr>
              <w:t>Consulting fees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(990,730)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(333,160)</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Professional fees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(495,326)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(62,958)</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32406B"/>
              </w:rPr>
              <w:t>Accounting and auditing fees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(300,841)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(111,852)</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Travel expenses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(236,904)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(84,970)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32406B"/>
              </w:rPr>
              <w:t>Facilities, communication &amp; office expenses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(167,062)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(47,536)</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expenses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(85,255)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(26,846)</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 general and administrative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(2,325,719)</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(668,121)</w:t>
            </w:r>
          </w:p>
        </w:tc>
        <w:tc>
          <w:tcPr>
            <w:tcW w:w="14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600" w:firstLine="449"/>
        <w:spacing w:after="0" w:line="266" w:lineRule="auto"/>
        <w:rPr>
          <w:sz w:val="20"/>
          <w:szCs w:val="20"/>
          <w:color w:val="auto"/>
        </w:rPr>
      </w:pPr>
      <w:r>
        <w:rPr>
          <w:rFonts w:ascii="Times New Roman" w:cs="Times New Roman" w:eastAsia="Times New Roman" w:hAnsi="Times New Roman"/>
          <w:sz w:val="18"/>
          <w:szCs w:val="18"/>
          <w:color w:val="32406B"/>
        </w:rPr>
        <w:t>In 2019 the Group entered into a lease arrangement, which was assessed to be a short-term lease (with a lease term of 12 months equalling its non-cancellable period). The total outflow for the leases in 2019 was € 78,897 (2018: €0) and is included in the Facilities, communication &amp; office expenses.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Depreciation expenses of €549 (2018: €0) is included in the other expenses.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6. Personnel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5"/>
                <w:szCs w:val="15"/>
                <w:color w:val="auto"/>
              </w:rPr>
            </w:pPr>
          </w:p>
        </w:tc>
      </w:tr>
      <w:tr>
        <w:trPr>
          <w:trHeight w:val="142"/>
        </w:trPr>
        <w:tc>
          <w:tcPr>
            <w:tcW w:w="93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Wages and salaries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(50,573)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32406B"/>
              </w:rPr>
              <w:t>Pension charges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(1,750)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social security charges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(12,675)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(116,147)</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(100,745)</w:t>
            </w:r>
          </w:p>
        </w:tc>
      </w:tr>
      <w:tr>
        <w:trPr>
          <w:trHeight w:val="27"/>
        </w:trPr>
        <w:tc>
          <w:tcPr>
            <w:tcW w:w="9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(181,145)</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(100,745)</w:t>
            </w:r>
          </w:p>
        </w:tc>
      </w:tr>
      <w:tr>
        <w:trPr>
          <w:trHeight w:val="20"/>
        </w:trPr>
        <w:tc>
          <w:tcPr>
            <w:tcW w:w="9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2406B"/>
        </w:rPr>
        <w:t>Workforce</w:t>
      </w:r>
    </w:p>
    <w:p>
      <w:pPr>
        <w:spacing w:after="0" w:line="117"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The average number of staff (in FTEs) employed by the Group in 2019 was 3 (2018: 0). No employees were employed by the Group in 2018, as the Group had contracted consultants for the operations in 2018.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7. Property, plant and equipment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560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color w:val="32406B"/>
              </w:rPr>
              <w:t>Notes</w:t>
            </w: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32406B"/>
              </w:rPr>
              <w:t>Office</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32406B"/>
              </w:rPr>
              <w:t>equipment</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440" w:type="dxa"/>
            <w:vAlign w:val="bottom"/>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2019</w:t>
            </w:r>
          </w:p>
        </w:tc>
        <w:tc>
          <w:tcPr>
            <w:tcW w:w="5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32406B"/>
              </w:rPr>
              <w:t>Opening net book amount</w:t>
            </w:r>
          </w:p>
        </w:tc>
        <w:tc>
          <w:tcPr>
            <w:tcW w:w="56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32406B"/>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Additions</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32406B"/>
              </w:rPr>
              <w:t>13,476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13,476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32406B"/>
              </w:rPr>
              <w:t>Depreciation expenses</w:t>
            </w:r>
          </w:p>
        </w:tc>
        <w:tc>
          <w:tcPr>
            <w:tcW w:w="56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32406B"/>
              </w:rPr>
              <w:t>5</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(549)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2406B"/>
              </w:rPr>
              <w:t>(549)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Closing net book amount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32406B"/>
              </w:rPr>
              <w:t>12,927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12,927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Balance at December 31, 2019</w:t>
            </w:r>
          </w:p>
        </w:tc>
        <w:tc>
          <w:tcPr>
            <w:tcW w:w="5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80" w:type="dxa"/>
            <w:vAlign w:val="bottom"/>
            <w:vMerge w:val="continue"/>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Cost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32406B"/>
              </w:rPr>
              <w:t>13,476</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13,476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32406B"/>
              </w:rPr>
              <w:t>Accumulated depreciation</w:t>
            </w:r>
          </w:p>
        </w:tc>
        <w:tc>
          <w:tcPr>
            <w:tcW w:w="56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(549)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2406B"/>
              </w:rPr>
              <w:t>(549)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Net book amount</w:t>
            </w:r>
          </w:p>
        </w:tc>
        <w:tc>
          <w:tcPr>
            <w:tcW w:w="5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32406B"/>
              </w:rPr>
              <w:t>12,927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12,927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0" w:type="dxa"/>
            <w:vAlign w:val="bottom"/>
            <w:vMerge w:val="restart"/>
          </w:tcPr>
          <w:p>
            <w:pPr>
              <w:jc w:val="right"/>
              <w:ind w:right="3596"/>
              <w:spacing w:after="0"/>
              <w:rPr>
                <w:sz w:val="20"/>
                <w:szCs w:val="20"/>
                <w:color w:val="auto"/>
              </w:rPr>
            </w:pPr>
            <w:r>
              <w:rPr>
                <w:rFonts w:ascii="Times New Roman" w:cs="Times New Roman" w:eastAsia="Times New Roman" w:hAnsi="Times New Roman"/>
                <w:sz w:val="18"/>
                <w:szCs w:val="18"/>
                <w:color w:val="32406B"/>
              </w:rPr>
              <w:t>F-18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8. Receivables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38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0" w:type="dxa"/>
            <w:vAlign w:val="bottom"/>
          </w:tcPr>
          <w:p>
            <w:pPr>
              <w:spacing w:after="0"/>
              <w:rPr>
                <w:sz w:val="1"/>
                <w:szCs w:val="1"/>
                <w:color w:val="auto"/>
              </w:rPr>
            </w:pPr>
          </w:p>
        </w:tc>
      </w:tr>
      <w:tr>
        <w:trPr>
          <w:trHeight w:val="173"/>
        </w:trPr>
        <w:tc>
          <w:tcPr>
            <w:tcW w:w="8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January 1, 2018</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VAT receivables</w:t>
            </w:r>
          </w:p>
        </w:tc>
        <w:tc>
          <w:tcPr>
            <w:tcW w:w="104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210,843</w:t>
            </w: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26,423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1,056</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32406B"/>
              </w:rPr>
              <w:t>Prepayments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47,536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22,621</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258,379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49,044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1,056</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32406B"/>
              </w:rPr>
              <w:t>Prepayments mainly relate to prepaid rent, insurance and general and administrative expenses.</w:t>
            </w: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32406B"/>
              </w:rPr>
              <w:t>No amounts have been written off during the year.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9. Trade and other payables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140" w:type="dxa"/>
            <w:vAlign w:val="bottom"/>
          </w:tcPr>
          <w:p>
            <w:pPr>
              <w:spacing w:after="0"/>
              <w:rPr>
                <w:sz w:val="24"/>
                <w:szCs w:val="24"/>
                <w:color w:val="auto"/>
              </w:rPr>
            </w:pPr>
          </w:p>
        </w:tc>
        <w:tc>
          <w:tcPr>
            <w:tcW w:w="66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38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0" w:type="dxa"/>
            <w:vAlign w:val="bottom"/>
          </w:tcPr>
          <w:p>
            <w:pPr>
              <w:spacing w:after="0"/>
              <w:rPr>
                <w:sz w:val="1"/>
                <w:szCs w:val="1"/>
                <w:color w:val="auto"/>
              </w:rPr>
            </w:pPr>
          </w:p>
        </w:tc>
      </w:tr>
      <w:tr>
        <w:trPr>
          <w:trHeight w:val="173"/>
        </w:trPr>
        <w:tc>
          <w:tcPr>
            <w:tcW w:w="8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January 1, 2018</w:t>
            </w:r>
          </w:p>
        </w:tc>
        <w:tc>
          <w:tcPr>
            <w:tcW w:w="0" w:type="dxa"/>
            <w:vAlign w:val="bottom"/>
          </w:tcPr>
          <w:p>
            <w:pPr>
              <w:spacing w:after="0"/>
              <w:rPr>
                <w:sz w:val="1"/>
                <w:szCs w:val="1"/>
                <w:color w:val="auto"/>
              </w:rPr>
            </w:pPr>
          </w:p>
        </w:tc>
      </w:tr>
      <w:tr>
        <w:trPr>
          <w:trHeight w:val="142"/>
        </w:trPr>
        <w:tc>
          <w:tcPr>
            <w:tcW w:w="8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380" w:type="dxa"/>
            <w:vAlign w:val="bottom"/>
            <w:gridSpan w:val="2"/>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Trade payables</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509,948</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246,356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60,472</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32406B"/>
              </w:rPr>
              <w:t>Tax and social security liabilities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2406B"/>
              </w:rPr>
              <w:t>7,823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32406B"/>
              </w:rPr>
              <w:t>627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936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517,771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246,983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61,408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10. Financial assets and liabilities fair value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Fair values of cash, receivables, and current liabilities approximate their carrying amounts due to the short-term maturities of these instruments.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11.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No tax charge or income has been recognized in the years 2019 and 2018 since the Group is in a loss-making position and has a history of losses.</w:t>
      </w:r>
    </w:p>
    <w:p>
      <w:pPr>
        <w:spacing w:after="0" w:line="225"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The Group has tax loss carry-forwards of approximately €5.9 million (2018: €2.7 million). Pharvaris has tax losses in the Netherlands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Tax loss carry-forwards incurred in prior years will expire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32406B"/>
              </w:rPr>
              <w:t>Year</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32406B"/>
                <w:w w:val="96"/>
              </w:rPr>
              <w:t>Tax losses</w:t>
            </w:r>
          </w:p>
        </w:tc>
      </w:tr>
      <w:tr>
        <w:trPr>
          <w:trHeight w:val="149"/>
        </w:trPr>
        <w:tc>
          <w:tcPr>
            <w:tcW w:w="300" w:type="dxa"/>
            <w:vAlign w:val="bottom"/>
            <w:tcBorders>
              <w:top w:val="single" w:sz="8" w:color="auto"/>
            </w:tcBorders>
          </w:tcPr>
          <w:p>
            <w:pPr>
              <w:spacing w:after="0"/>
              <w:rPr>
                <w:sz w:val="12"/>
                <w:szCs w:val="12"/>
                <w:color w:val="auto"/>
              </w:rPr>
            </w:pPr>
          </w:p>
        </w:tc>
        <w:tc>
          <w:tcPr>
            <w:tcW w:w="10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32406B"/>
              </w:rPr>
              <w:t>€ million</w:t>
            </w:r>
          </w:p>
        </w:tc>
        <w:tc>
          <w:tcPr>
            <w:tcW w:w="60" w:type="dxa"/>
            <w:vAlign w:val="bottom"/>
            <w:gridSpan w:val="2"/>
          </w:tcPr>
          <w:p>
            <w:pPr>
              <w:spacing w:after="0"/>
              <w:rPr>
                <w:sz w:val="12"/>
                <w:szCs w:val="12"/>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2025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3.9</w:t>
            </w:r>
          </w:p>
        </w:tc>
        <w:tc>
          <w:tcPr>
            <w:tcW w:w="40" w:type="dxa"/>
            <w:vAlign w:val="bottom"/>
            <w:shd w:val="clear" w:color="auto" w:fill="CCEEFF"/>
          </w:tcPr>
          <w:p>
            <w:pPr>
              <w:spacing w:after="0"/>
              <w:rPr>
                <w:sz w:val="18"/>
                <w:szCs w:val="18"/>
                <w:color w:val="auto"/>
              </w:rPr>
            </w:pPr>
          </w:p>
        </w:tc>
      </w:tr>
      <w:tr>
        <w:trPr>
          <w:trHeight w:val="216"/>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2026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0.9</w:t>
            </w:r>
          </w:p>
        </w:tc>
        <w:tc>
          <w:tcPr>
            <w:tcW w:w="40" w:type="dxa"/>
            <w:vAlign w:val="bottom"/>
          </w:tcPr>
          <w:p>
            <w:pPr>
              <w:spacing w:after="0"/>
              <w:rPr>
                <w:sz w:val="18"/>
                <w:szCs w:val="18"/>
                <w:color w:val="auto"/>
              </w:rPr>
            </w:pPr>
          </w:p>
        </w:tc>
      </w:tr>
      <w:tr>
        <w:trPr>
          <w:trHeight w:val="216"/>
        </w:trPr>
        <w:tc>
          <w:tcPr>
            <w:tcW w:w="10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2027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1.1</w:t>
            </w:r>
          </w:p>
        </w:tc>
        <w:tc>
          <w:tcPr>
            <w:tcW w:w="40" w:type="dxa"/>
            <w:vAlign w:val="bottom"/>
            <w:shd w:val="clear" w:color="auto" w:fill="CCEEFF"/>
          </w:tcPr>
          <w:p>
            <w:pPr>
              <w:spacing w:after="0"/>
              <w:rPr>
                <w:sz w:val="18"/>
                <w:szCs w:val="18"/>
                <w:color w:val="auto"/>
              </w:rPr>
            </w:pPr>
          </w:p>
        </w:tc>
      </w:tr>
      <w:tr>
        <w:trPr>
          <w:trHeight w:val="223"/>
        </w:trPr>
        <w:tc>
          <w:tcPr>
            <w:tcW w:w="10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32406B"/>
              </w:rPr>
              <w:t>Total carry-forward losses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5.9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40" w:firstLine="449"/>
        <w:spacing w:after="0" w:line="266" w:lineRule="auto"/>
        <w:rPr>
          <w:sz w:val="20"/>
          <w:szCs w:val="20"/>
          <w:color w:val="auto"/>
        </w:rPr>
      </w:pPr>
      <w:r>
        <w:rPr>
          <w:rFonts w:ascii="Times New Roman" w:cs="Times New Roman" w:eastAsia="Times New Roman" w:hAnsi="Times New Roman"/>
          <w:sz w:val="18"/>
          <w:szCs w:val="18"/>
          <w:color w:val="32406B"/>
        </w:rPr>
        <w:t>Deferred tax assets on tax loss carry forwards and deductible temporary differences in excess of taxable temporary differences have not been recognized as management concluded that there is not sufficient probability as per IAS 12 that there will be future taxable profits available in the foreseeable future against which the unused tax losses can be utilized. The accumulated unused tax losses relate entirely to the Netherlands.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total unrecognized deferred tax assets from temporary differences amounts to €2.9 million (2018: €1.6 million).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32406B"/>
        </w:rPr>
        <w:t>F-19</w:t>
      </w:r>
    </w:p>
    <w:p>
      <w:pPr>
        <w:sectPr>
          <w:pgSz w:w="11900" w:h="16838" w:orient="portrait"/>
          <w:cols w:equalWidth="0" w:num="1">
            <w:col w:w="11240"/>
          </w:cols>
          <w:pgMar w:left="320" w:top="455"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12.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7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380" w:type="dxa"/>
            <w:vAlign w:val="bottom"/>
          </w:tcPr>
          <w:p>
            <w:pPr>
              <w:spacing w:after="0"/>
              <w:rPr>
                <w:sz w:val="13"/>
                <w:szCs w:val="13"/>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0" w:type="dxa"/>
            <w:vAlign w:val="bottom"/>
          </w:tcPr>
          <w:p>
            <w:pPr>
              <w:spacing w:after="0"/>
              <w:rPr>
                <w:sz w:val="1"/>
                <w:szCs w:val="1"/>
                <w:color w:val="auto"/>
              </w:rPr>
            </w:pPr>
          </w:p>
        </w:tc>
      </w:tr>
      <w:tr>
        <w:trPr>
          <w:trHeight w:val="173"/>
        </w:trPr>
        <w:tc>
          <w:tcPr>
            <w:tcW w:w="80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January 1, 2018</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80" w:type="dxa"/>
            <w:vAlign w:val="bottom"/>
            <w:gridSpan w:val="2"/>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38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Consulting and accounting fee accruals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436,768</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129,243</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27,434</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32406B"/>
              </w:rPr>
              <w:t>Clinical accrued liabilities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357,719</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Manufacturing accrued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283,115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32406B"/>
              </w:rPr>
              <w:t>Pre-clinical accrued liabilities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275,460</w:t>
            </w:r>
          </w:p>
        </w:tc>
        <w:tc>
          <w:tcPr>
            <w:tcW w:w="3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104,549</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38,774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accrued liabilities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53,297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565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11,220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1,406,359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234,357</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77,428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13. Financial risk management</w:t>
      </w:r>
    </w:p>
    <w:p>
      <w:pPr>
        <w:spacing w:after="0" w:line="121"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32406B"/>
        </w:rPr>
        <w:t>The Group’s principal financial instruments consist of receivables, trade and other trade payables. The financial instruments represent the Group’s working capital to serve the Group’s day-to-day operations.</w:t>
      </w:r>
    </w:p>
    <w:p>
      <w:pPr>
        <w:spacing w:after="0" w:line="16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8"/>
          <w:szCs w:val="18"/>
          <w:color w:val="32406B"/>
        </w:rPr>
        <w:t>The Group is exposed to market risk (including currency risk, interest rate risk and price risk), credit risk and liquidity risk. The Group’s management manages each risk as discussed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Market risk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Currency risk</w:t>
      </w:r>
    </w:p>
    <w:p>
      <w:pPr>
        <w:spacing w:after="0" w:line="119"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8"/>
          <w:szCs w:val="18"/>
          <w:color w:val="32406B"/>
        </w:rPr>
        <w:t>The Group operates internationally and is exposed to currency risk arising from various currency exposure, primarily with respect to the British pound and the US Dollar as the Group has agreements with Contract Research Organizations (‘CRO’s) which are based in Great Britain, and consulting agreements with parties that are based in the United States of America. From these transactions, currency risk arises. No formal policy has been set-up to manage the currency risk against the functional currency of the Group. As of December 31, 2019 and 2018, the amount of trade payables in foreign currency was limited. Foreign currency trade payables are short term in nature (generally 30 days). As a result, currency rate movements during the years presented had an immaterial effect on the consolidated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Price risk</w:t>
      </w:r>
    </w:p>
    <w:p>
      <w:pPr>
        <w:spacing w:after="0" w:line="119"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The market prices for the provision of preclinical and clinical materials and services, as well as external contracted research may vary over time. The commercial prices of any of the Group’s products or product candidates are currently uncertain. The Group is not exposed to commodity price risk.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Interest risk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Group is not largely exposed to interest risk, since the Group has no borrowings.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Credit risk</w:t>
      </w:r>
    </w:p>
    <w:p>
      <w:pPr>
        <w:spacing w:after="0" w:line="119"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32406B"/>
        </w:rPr>
        <w:t>Credit risk arises from cash and other financial assets, including deposits with banks and financial institutions. Cash deposits and investments are placed only with accredited financial institutions. Credit risk is further limited by investing only in liquid instruments.</w:t>
      </w:r>
    </w:p>
    <w:p>
      <w:pPr>
        <w:spacing w:after="0" w:line="162"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32406B"/>
        </w:rPr>
        <w:t>The Group’s maximum exposure to credit risk for the components of the statements of financial position on December 31, 2019 and 2018 are the carrying amounts as illustrated in Note 14.</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There are no financial assets past due date or impaired.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F-20</w:t>
      </w:r>
    </w:p>
    <w:p>
      <w:pPr>
        <w:sectPr>
          <w:pgSz w:w="11900" w:h="16838" w:orient="portrait"/>
          <w:cols w:equalWidth="0" w:num="1">
            <w:col w:w="11240"/>
          </w:cols>
          <w:pgMar w:left="320" w:top="455" w:right="3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Concentration of Credit Risk</w:t>
      </w:r>
    </w:p>
    <w:p>
      <w:pPr>
        <w:spacing w:after="0" w:line="119" w:lineRule="exact"/>
        <w:rPr>
          <w:sz w:val="20"/>
          <w:szCs w:val="20"/>
          <w:color w:val="auto"/>
        </w:rPr>
      </w:pPr>
    </w:p>
    <w:p>
      <w:pPr>
        <w:ind w:right="120" w:firstLine="449"/>
        <w:spacing w:after="0" w:line="266" w:lineRule="auto"/>
        <w:rPr>
          <w:sz w:val="20"/>
          <w:szCs w:val="20"/>
          <w:color w:val="auto"/>
        </w:rPr>
      </w:pPr>
      <w:r>
        <w:rPr>
          <w:rFonts w:ascii="Times New Roman" w:cs="Times New Roman" w:eastAsia="Times New Roman" w:hAnsi="Times New Roman"/>
          <w:sz w:val="18"/>
          <w:szCs w:val="18"/>
          <w:color w:val="32406B"/>
        </w:rPr>
        <w:t>Financial instruments that potentially expose the Group to concentrations of credit risk consist primarily of cash. Cash deposits are placed only with reputable financial institutions with a credit rating of not less than A- (Standard &amp; Poor’s). Credit risk is further limited by investing only in liquid instruments.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32406B"/>
        </w:rPr>
        <w:t>Liquidity risk</w:t>
      </w:r>
    </w:p>
    <w:p>
      <w:pPr>
        <w:spacing w:after="0" w:line="119" w:lineRule="exact"/>
        <w:rPr>
          <w:sz w:val="20"/>
          <w:szCs w:val="20"/>
          <w:color w:val="auto"/>
        </w:rPr>
      </w:pPr>
    </w:p>
    <w:p>
      <w:pPr>
        <w:ind w:right="100" w:firstLine="449"/>
        <w:spacing w:after="0" w:line="266" w:lineRule="auto"/>
        <w:rPr>
          <w:sz w:val="20"/>
          <w:szCs w:val="20"/>
          <w:color w:val="auto"/>
        </w:rPr>
      </w:pPr>
      <w:r>
        <w:rPr>
          <w:rFonts w:ascii="Times New Roman" w:cs="Times New Roman" w:eastAsia="Times New Roman" w:hAnsi="Times New Roman"/>
          <w:sz w:val="18"/>
          <w:szCs w:val="18"/>
          <w:color w:val="32406B"/>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pacing w:after="0" w:line="176"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As of December 31, 2019, the Company has cash of €20.3 million and received the second tranche ($41 million) of its Series B equity financing in July 2020.</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On November 3, 2020, the Group completed a $80 million Series C equity financing which was received on November 5, 2020.</w:t>
      </w:r>
    </w:p>
    <w:p>
      <w:pPr>
        <w:spacing w:after="0" w:line="225" w:lineRule="exact"/>
        <w:rPr>
          <w:sz w:val="20"/>
          <w:szCs w:val="20"/>
          <w:color w:val="auto"/>
        </w:rPr>
      </w:pPr>
    </w:p>
    <w:p>
      <w:pPr>
        <w:ind w:right="220" w:firstLine="449"/>
        <w:spacing w:after="0" w:line="312" w:lineRule="auto"/>
        <w:rPr>
          <w:sz w:val="20"/>
          <w:szCs w:val="20"/>
          <w:color w:val="auto"/>
        </w:rPr>
      </w:pPr>
      <w:r>
        <w:rPr>
          <w:rFonts w:ascii="Times New Roman" w:cs="Times New Roman" w:eastAsia="Times New Roman" w:hAnsi="Times New Roman"/>
          <w:sz w:val="17"/>
          <w:szCs w:val="17"/>
          <w:color w:val="32406B"/>
        </w:rPr>
        <w:t>Based on the existing operating plan, anticipated working capital requirements and available capital sources, the Company believes that it can execute on strategy and realize liquidity planning and it is able to finance its activities for twelve months following the date of these financial statements.</w:t>
      </w:r>
    </w:p>
    <w:p>
      <w:pPr>
        <w:spacing w:after="0" w:line="140"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8"/>
          <w:szCs w:val="18"/>
          <w:color w:val="32406B"/>
        </w:rPr>
        <w:t>The Company may need additional funding in the future, which could possibly not be available to the Group at all or not at acceptable or favourable terms. This could lead to a situation where the Group would have to delay the execution of parts of its business plan.</w:t>
      </w:r>
    </w:p>
    <w:p>
      <w:pPr>
        <w:spacing w:after="0" w:line="162"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The Group manages liquidity risks by holding appropriate reserves, taking timely action for future funding, as well as by monitoring forecasted and actual cash flows and reconciling the maturity profiles of financial assets and liabilities.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below table summarizes the maturity profile of the Group’s accrued liabilities based on contractual undiscounted payments: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8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32406B"/>
              </w:rPr>
              <w:t>Less than</w:t>
            </w:r>
          </w:p>
        </w:tc>
        <w:tc>
          <w:tcPr>
            <w:tcW w:w="120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32406B"/>
                <w:w w:val="99"/>
              </w:rPr>
              <w:t>1 to 5 years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32406B"/>
                <w:w w:val="93"/>
              </w:rPr>
              <w:t>Total</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80" w:type="dxa"/>
            <w:vAlign w:val="bottom"/>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32406B"/>
              </w:rPr>
              <w:t>12 months</w:t>
            </w:r>
          </w:p>
        </w:tc>
        <w:tc>
          <w:tcPr>
            <w:tcW w:w="120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December 31, 2019</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32406B"/>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5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32406B"/>
              </w:rPr>
              <w:t>517,771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32406B"/>
              </w:rPr>
              <w:t>517,771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522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1,406,359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1,406,359</w:t>
            </w:r>
          </w:p>
        </w:tc>
        <w:tc>
          <w:tcPr>
            <w:tcW w:w="0" w:type="dxa"/>
            <w:vAlign w:val="bottom"/>
          </w:tcPr>
          <w:p>
            <w:pPr>
              <w:spacing w:after="0"/>
              <w:rPr>
                <w:sz w:val="1"/>
                <w:szCs w:val="1"/>
                <w:color w:val="auto"/>
              </w:rPr>
            </w:pPr>
          </w:p>
        </w:tc>
      </w:tr>
      <w:tr>
        <w:trPr>
          <w:trHeight w:val="367"/>
        </w:trPr>
        <w:tc>
          <w:tcPr>
            <w:tcW w:w="3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32406B"/>
              </w:rPr>
              <w:t>Less than</w:t>
            </w:r>
          </w:p>
        </w:tc>
        <w:tc>
          <w:tcPr>
            <w:tcW w:w="140" w:type="dxa"/>
            <w:vAlign w:val="bottom"/>
          </w:tcPr>
          <w:p>
            <w:pPr>
              <w:spacing w:after="0"/>
              <w:rPr>
                <w:sz w:val="24"/>
                <w:szCs w:val="24"/>
                <w:color w:val="auto"/>
              </w:rPr>
            </w:pPr>
          </w:p>
        </w:tc>
        <w:tc>
          <w:tcPr>
            <w:tcW w:w="106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32406B"/>
              </w:rPr>
              <w:t>1 to 5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32406B"/>
              </w:rPr>
              <w:t>12 months</w:t>
            </w:r>
          </w:p>
        </w:tc>
        <w:tc>
          <w:tcPr>
            <w:tcW w:w="140" w:type="dxa"/>
            <w:vAlign w:val="bottom"/>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December 31, 2018</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32406B"/>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532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32406B"/>
              </w:rPr>
              <w:t>246,983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32406B"/>
              </w:rPr>
              <w:t>246,983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532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234,357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234,357</w:t>
            </w:r>
          </w:p>
        </w:tc>
        <w:tc>
          <w:tcPr>
            <w:tcW w:w="0" w:type="dxa"/>
            <w:vAlign w:val="bottom"/>
          </w:tcPr>
          <w:p>
            <w:pPr>
              <w:spacing w:after="0"/>
              <w:rPr>
                <w:sz w:val="1"/>
                <w:szCs w:val="1"/>
                <w:color w:val="auto"/>
              </w:rPr>
            </w:pPr>
          </w:p>
        </w:tc>
      </w:tr>
      <w:tr>
        <w:trPr>
          <w:trHeight w:val="367"/>
        </w:trPr>
        <w:tc>
          <w:tcPr>
            <w:tcW w:w="3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32406B"/>
              </w:rPr>
              <w:t>Less than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32406B"/>
                <w:w w:val="99"/>
              </w:rPr>
              <w:t>1 to 5 years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32406B"/>
              </w:rPr>
              <w:t>12 months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January 1, 2018</w:t>
            </w: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32406B"/>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556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color w:val="32406B"/>
              </w:rPr>
              <w:t>61,408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32406B"/>
              </w:rPr>
              <w:t>61,408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5560" w:type="dxa"/>
            <w:vAlign w:val="bottom"/>
            <w:gridSpan w:val="7"/>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77,428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77,428</w:t>
            </w:r>
          </w:p>
        </w:tc>
        <w:tc>
          <w:tcPr>
            <w:tcW w:w="0" w:type="dxa"/>
            <w:vAlign w:val="bottom"/>
          </w:tcPr>
          <w:p>
            <w:pPr>
              <w:spacing w:after="0"/>
              <w:rPr>
                <w:sz w:val="1"/>
                <w:szCs w:val="1"/>
                <w:color w:val="auto"/>
              </w:rPr>
            </w:pPr>
          </w:p>
        </w:tc>
      </w:tr>
      <w:tr>
        <w:trPr>
          <w:trHeight w:val="365"/>
        </w:trPr>
        <w:tc>
          <w:tcPr>
            <w:tcW w:w="3640" w:type="dxa"/>
            <w:vAlign w:val="bottom"/>
          </w:tcPr>
          <w:p>
            <w:pPr>
              <w:spacing w:after="0"/>
              <w:rPr>
                <w:sz w:val="24"/>
                <w:szCs w:val="24"/>
                <w:color w:val="auto"/>
              </w:rPr>
            </w:pPr>
          </w:p>
        </w:tc>
        <w:tc>
          <w:tcPr>
            <w:tcW w:w="5560" w:type="dxa"/>
            <w:vAlign w:val="bottom"/>
            <w:gridSpan w:val="7"/>
          </w:tcPr>
          <w:p>
            <w:pPr>
              <w:ind w:left="1820"/>
              <w:spacing w:after="0"/>
              <w:rPr>
                <w:sz w:val="20"/>
                <w:szCs w:val="20"/>
                <w:color w:val="auto"/>
              </w:rPr>
            </w:pPr>
            <w:r>
              <w:rPr>
                <w:rFonts w:ascii="Times New Roman" w:cs="Times New Roman" w:eastAsia="Times New Roman" w:hAnsi="Times New Roman"/>
                <w:sz w:val="18"/>
                <w:szCs w:val="18"/>
                <w:color w:val="32406B"/>
              </w:rPr>
              <w:t>F-21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14. Cash and cash equivalents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96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280" w:type="dxa"/>
            <w:vAlign w:val="bottom"/>
          </w:tcPr>
          <w:p>
            <w:pPr>
              <w:spacing w:after="0"/>
              <w:rPr>
                <w:sz w:val="13"/>
                <w:szCs w:val="13"/>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32406B"/>
              </w:rPr>
              <w:t>As at</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January 1, 2018</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gridSpan w:val="2"/>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Cash and cash equivalents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20,326,372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32406B"/>
              </w:rPr>
              <w:t>5,385,333</w:t>
            </w:r>
          </w:p>
        </w:tc>
        <w:tc>
          <w:tcPr>
            <w:tcW w:w="1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32406B"/>
              </w:rPr>
              <w:t>4,795,135</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20,326,372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32406B"/>
                <w:w w:val="97"/>
              </w:rPr>
              <w:t>5,385,333</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32406B"/>
                <w:w w:val="97"/>
              </w:rPr>
              <w:t>4,795,135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Cash and cash equivalents balance are not subject to any restriction.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15. Equity</w:t>
      </w:r>
    </w:p>
    <w:p>
      <w:pPr>
        <w:spacing w:after="0" w:line="121"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8"/>
          <w:szCs w:val="18"/>
          <w:color w:val="32406B"/>
        </w:rPr>
        <w:t>The capital of the Company is divided into Ordinary shares, preferred shares A and B respectively. The nominal value of each share is one eurocent (€ 0.01). Preferred shares A and B are convertible into Ordinary shares. All issued shares are fully paid.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Issued shares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80" w:type="dxa"/>
            <w:vAlign w:val="bottom"/>
          </w:tcPr>
          <w:p>
            <w:pPr>
              <w:spacing w:after="0"/>
              <w:rPr>
                <w:sz w:val="13"/>
                <w:szCs w:val="13"/>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32406B"/>
                <w:w w:val="97"/>
              </w:rPr>
              <w:t>As at</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32406B"/>
              </w:rPr>
              <w:t>January 1, 2018</w:t>
            </w:r>
          </w:p>
        </w:tc>
        <w:tc>
          <w:tcPr>
            <w:tcW w:w="0" w:type="dxa"/>
            <w:vAlign w:val="bottom"/>
          </w:tcPr>
          <w:p>
            <w:pPr>
              <w:spacing w:after="0"/>
              <w:rPr>
                <w:sz w:val="1"/>
                <w:szCs w:val="1"/>
                <w:color w:val="auto"/>
              </w:rPr>
            </w:pP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Preferred shares A</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5,242,850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5,242,850</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5,242,850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32406B"/>
              </w:rPr>
              <w:t>Preferred shares B</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3,003,391</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Ordinary shares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4,850,000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4,850,000</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4,850,000</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13,096,241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10,092,850</w:t>
            </w:r>
          </w:p>
        </w:tc>
        <w:tc>
          <w:tcPr>
            <w:tcW w:w="1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10,092,850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In 2018 the third tranche of the preferred shares A was received after reaching milestones described within the shareholders’ agreement. For this final tranche and as per the shareholders’ agreement, no new shares were issued and as such the proceeds from the third tranche are fully reported as share premium.</w:t>
      </w:r>
    </w:p>
    <w:p>
      <w:pPr>
        <w:spacing w:after="0" w:line="176"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8"/>
          <w:szCs w:val="18"/>
          <w:color w:val="32406B"/>
        </w:rPr>
        <w:t>Holders of preferred shares A and B shall be entitled to a non-cumulative, non-compounded dividend of 8% per annum of aggregate subscription price paid on such preferred shares A and B, respectively, subject to appropriate adjustment in the event of any dividend, share split, combination or similar recapitalization with respect to such preferred shares. Dividend distribution is at discretion of the Board of the Group. No dividend was distributed in 2018 or in 2019.</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Preferred shares A and B shares have an anti-dilution protection. In the event of an issue of shares to any person, at a price per such share which is lower than the applicable subscription price paid for the preferred shares A or preferred Shares B, respectively then the Company shall issue, in accordance with applicable requirements to each of holder of preferred shares, such number of new shares, based upon a broad-based weighted average anti-dilution adjustment, which reduces the subscription price of the relevant preferred shares, to a weighted average price.</w:t>
      </w:r>
    </w:p>
    <w:p>
      <w:pPr>
        <w:spacing w:after="0" w:line="180" w:lineRule="exact"/>
        <w:rPr>
          <w:sz w:val="20"/>
          <w:szCs w:val="20"/>
          <w:color w:val="auto"/>
        </w:rPr>
      </w:pPr>
    </w:p>
    <w:p>
      <w:pPr>
        <w:ind w:right="560" w:firstLine="449"/>
        <w:spacing w:after="0" w:line="282" w:lineRule="auto"/>
        <w:rPr>
          <w:sz w:val="20"/>
          <w:szCs w:val="20"/>
          <w:color w:val="auto"/>
        </w:rPr>
      </w:pPr>
      <w:r>
        <w:rPr>
          <w:rFonts w:ascii="Times New Roman" w:cs="Times New Roman" w:eastAsia="Times New Roman" w:hAnsi="Times New Roman"/>
          <w:sz w:val="18"/>
          <w:szCs w:val="18"/>
          <w:color w:val="32406B"/>
        </w:rPr>
        <w:t>The anti-dilution protection is under the full control of the Company and does not affect the equity classification of the preferred shares A and preferred shares B.</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16. Share-based payments</w:t>
      </w:r>
    </w:p>
    <w:p>
      <w:pPr>
        <w:spacing w:after="0" w:line="121" w:lineRule="exact"/>
        <w:rPr>
          <w:sz w:val="20"/>
          <w:szCs w:val="20"/>
          <w:color w:val="auto"/>
        </w:rPr>
      </w:pPr>
    </w:p>
    <w:p>
      <w:pPr>
        <w:ind w:right="80" w:firstLine="449"/>
        <w:spacing w:after="0" w:line="289" w:lineRule="auto"/>
        <w:rPr>
          <w:sz w:val="20"/>
          <w:szCs w:val="20"/>
          <w:color w:val="auto"/>
        </w:rPr>
      </w:pPr>
      <w:r>
        <w:rPr>
          <w:rFonts w:ascii="Times New Roman" w:cs="Times New Roman" w:eastAsia="Times New Roman" w:hAnsi="Times New Roman"/>
          <w:sz w:val="17"/>
          <w:szCs w:val="17"/>
          <w:color w:val="32406B"/>
        </w:rPr>
        <w:t>In 2016, the Group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F-22</w:t>
      </w:r>
    </w:p>
    <w:p>
      <w:pPr>
        <w:sectPr>
          <w:pgSz w:w="11900" w:h="16838" w:orient="portrait"/>
          <w:cols w:equalWidth="0" w:num="1">
            <w:col w:w="11240"/>
          </w:cols>
          <w:pgMar w:left="320" w:top="455"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Valuation of ordinary shares</w:t>
      </w:r>
    </w:p>
    <w:p>
      <w:pPr>
        <w:spacing w:after="0" w:line="11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32406B"/>
        </w:rPr>
        <w:t>The fair value of ordinary shares is determined by the Board of directors and takes into account the most recently available valuation of ordinary shares performed by an independent valuation firm and the assessment of additional objective and subjective factors we believe are relevant and which may have changed from the date of the most recent valuation through the date of the grant.</w:t>
      </w:r>
    </w:p>
    <w:p>
      <w:pPr>
        <w:spacing w:after="0" w:line="176"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32406B"/>
        </w:rPr>
        <w:t>The Board of directors consider numerous objective and subjective factors to determine their best estimate of the fair value of the ordinary shares as of each grant date, including:</w:t>
      </w:r>
    </w:p>
    <w:p>
      <w:pPr>
        <w:spacing w:after="0" w:line="67" w:lineRule="exact"/>
        <w:rPr>
          <w:sz w:val="20"/>
          <w:szCs w:val="20"/>
          <w:color w:val="auto"/>
        </w:rPr>
      </w:pPr>
    </w:p>
    <w:p>
      <w:pPr>
        <w:ind w:left="1000" w:hanging="547"/>
        <w:spacing w:after="0"/>
        <w:tabs>
          <w:tab w:leader="none" w:pos="1000" w:val="left"/>
        </w:tabs>
        <w:numPr>
          <w:ilvl w:val="0"/>
          <w:numId w:val="1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progress of the research and development programs;</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contemporaneous third-party valuations of the ordinary shares for the share issuances in 2016 and 2019;</w:t>
      </w:r>
    </w:p>
    <w:p>
      <w:pPr>
        <w:spacing w:after="0" w:line="130"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rights and preferences of the preferred shares and the preferred shares relative to the ordinary shares;</w:t>
      </w:r>
    </w:p>
    <w:p>
      <w:pPr>
        <w:spacing w:after="0" w:line="130" w:lineRule="exact"/>
        <w:rPr>
          <w:rFonts w:ascii="Times New Roman" w:cs="Times New Roman" w:eastAsia="Times New Roman" w:hAnsi="Times New Roman"/>
          <w:sz w:val="18"/>
          <w:szCs w:val="18"/>
          <w:color w:val="32406B"/>
        </w:rPr>
      </w:pPr>
    </w:p>
    <w:p>
      <w:pPr>
        <w:ind w:left="1000" w:right="480" w:hanging="547"/>
        <w:spacing w:after="0" w:line="282" w:lineRule="auto"/>
        <w:tabs>
          <w:tab w:leader="none" w:pos="1000" w:val="left"/>
        </w:tabs>
        <w:numPr>
          <w:ilvl w:val="0"/>
          <w:numId w:val="1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the likelihood of achieving a discrete liquidity event, such as a sale of the company or an initial public offering given prevailing market conditions; and</w:t>
      </w:r>
    </w:p>
    <w:p>
      <w:pPr>
        <w:spacing w:after="0" w:line="67" w:lineRule="exact"/>
        <w:rPr>
          <w:rFonts w:ascii="Times New Roman" w:cs="Times New Roman" w:eastAsia="Times New Roman" w:hAnsi="Times New Roman"/>
          <w:sz w:val="18"/>
          <w:szCs w:val="18"/>
          <w:color w:val="32406B"/>
        </w:rPr>
      </w:pPr>
    </w:p>
    <w:p>
      <w:pPr>
        <w:ind w:left="1000" w:hanging="547"/>
        <w:spacing w:after="0"/>
        <w:tabs>
          <w:tab w:leader="none" w:pos="1000" w:val="left"/>
        </w:tabs>
        <w:numPr>
          <w:ilvl w:val="0"/>
          <w:numId w:val="138"/>
        </w:numPr>
        <w:rPr>
          <w:rFonts w:ascii="Times New Roman" w:cs="Times New Roman" w:eastAsia="Times New Roman" w:hAnsi="Times New Roman"/>
          <w:sz w:val="18"/>
          <w:szCs w:val="18"/>
          <w:color w:val="32406B"/>
        </w:rPr>
      </w:pPr>
      <w:r>
        <w:rPr>
          <w:rFonts w:ascii="Times New Roman" w:cs="Times New Roman" w:eastAsia="Times New Roman" w:hAnsi="Times New Roman"/>
          <w:sz w:val="18"/>
          <w:szCs w:val="18"/>
          <w:color w:val="32406B"/>
        </w:rPr>
        <w:t>external market and economic conditions impacting the industry sector.</w:t>
      </w:r>
    </w:p>
    <w:p>
      <w:pPr>
        <w:spacing w:after="0" w:line="225"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8"/>
          <w:szCs w:val="18"/>
          <w:color w:val="32406B"/>
        </w:rPr>
        <w:t>In determining the fair values of the ordinary shares as of each award grant date, the Option Pricing Model was used. The Option Pricing Model was applied to estimate the implied total equity value of the Company using a reference price. The reference price was the investment price paid in the preferred A shares financing round, which was the most recent financing round at the time. The total equity value of the Company is then allocated to the various underlying instruments.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main terms and conditions of the separate award agreements entered into under this Plan are provided below.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Stock Option Agreement</w:t>
      </w:r>
    </w:p>
    <w:p>
      <w:pPr>
        <w:spacing w:after="0" w:line="11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32406B"/>
        </w:rPr>
        <w:t>On March 31, 2016, the Company granted consultants an option to purchase 392,850 shares with an exercise price of € 0.01 per share with a final exercise date of March 30, 2026 unless forfeited or exercised on an earlier date. The options are equity-settled and may only be exercised in the event of a merger, sale or wind-up of the Company (the “Exercise Event”) and certain milestones have been achieved. Further, the participant must have a specific function with the Group at the time of the Exercise Event.</w:t>
      </w:r>
    </w:p>
    <w:p>
      <w:pPr>
        <w:spacing w:after="0" w:line="180"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32406B"/>
        </w:rPr>
        <w:t>As at January 1, 2018, December 31, 2018 and December 31, 2019, none of the options were vested since services are required until the occurrence of an Exercise Event. As at December 31, 2019, none of the options were forfeited or have expired.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Measurement of Fair Value</w:t>
      </w:r>
    </w:p>
    <w:p>
      <w:pPr>
        <w:spacing w:after="0" w:line="119" w:lineRule="exact"/>
        <w:rPr>
          <w:sz w:val="20"/>
          <w:szCs w:val="20"/>
          <w:color w:val="auto"/>
        </w:rPr>
      </w:pPr>
    </w:p>
    <w:p>
      <w:pPr>
        <w:jc w:val="both"/>
        <w:ind w:right="80" w:firstLine="449"/>
        <w:spacing w:after="0" w:line="266" w:lineRule="auto"/>
        <w:rPr>
          <w:sz w:val="20"/>
          <w:szCs w:val="20"/>
          <w:color w:val="auto"/>
        </w:rPr>
      </w:pPr>
      <w:r>
        <w:rPr>
          <w:rFonts w:ascii="Times New Roman" w:cs="Times New Roman" w:eastAsia="Times New Roman" w:hAnsi="Times New Roman"/>
          <w:sz w:val="18"/>
          <w:szCs w:val="18"/>
          <w:color w:val="32406B"/>
        </w:rPr>
        <w:t>The Company determined that fair value of the stock options at the date of grant to be € 1.24. The share-based payment expense are recognized over a 5-year service period in the consolidated statements of profit or loss and other comprehensive income or (loss). For the years ended December 31, 2019 and 2018 an amount of € 99,946 and € 99,946, respectively has been recognized.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F-23</w:t>
      </w:r>
    </w:p>
    <w:p>
      <w:pPr>
        <w:sectPr>
          <w:pgSz w:w="11900" w:h="16838" w:orient="portrait"/>
          <w:cols w:equalWidth="0" w:num="1">
            <w:col w:w="11220"/>
          </w:cols>
          <w:pgMar w:left="320" w:top="455" w:right="3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Reconciliation of outstanding share options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rPr>
              <w:t>Weighted</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rPr>
              <w:t>Weighted</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Weighted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32406B"/>
              </w:rPr>
              <w:t>average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32406B"/>
              </w:rPr>
              <w:t>average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32406B"/>
              </w:rPr>
              <w:t>average</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32406B"/>
              </w:rPr>
              <w:t>exercise</w:t>
            </w: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26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32406B"/>
              </w:rPr>
              <w:t>exercise</w:t>
            </w:r>
          </w:p>
        </w:tc>
        <w:tc>
          <w:tcPr>
            <w:tcW w:w="6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32406B"/>
              </w:rPr>
              <w:t>2017</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32406B"/>
              </w:rPr>
              <w:t>exercise</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32406B"/>
              </w:rPr>
              <w:t>price</w:t>
            </w: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w w:val="98"/>
              </w:rPr>
              <w:t>price</w:t>
            </w: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w w:val="98"/>
              </w:rPr>
              <w:t>price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2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January 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392,850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0.01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392,850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0.01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392,850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0.01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32406B"/>
              </w:rPr>
              <w:t>Granted</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Exercised</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32406B"/>
              </w:rPr>
              <w:t>Forfeited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December 31,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392,850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0.01</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392,850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0.01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392,850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0.01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Restricted Award Agreement</w:t>
      </w:r>
    </w:p>
    <w:p>
      <w:pPr>
        <w:spacing w:after="0" w:line="119"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8"/>
          <w:szCs w:val="18"/>
          <w:color w:val="32406B"/>
        </w:rPr>
        <w:t>On December 13, 2018, the Company granted 25,295 restricted stock units (“RSUs”) to consultants, with an exercise price of €0.01 per RSU. The RSUs shall vest upon the occurrence of an IPO or the completion of a business arrangement involving an acquisition or the option to acquire all or majority of the Company, and which arrangement is entered into as a consequence of the services rendered by the participant to the Company during the term of service or within 9 months after termination of this agreement.</w:t>
      </w:r>
    </w:p>
    <w:p>
      <w:pPr>
        <w:spacing w:after="0" w:line="18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As at December 31, 2019 and 2018 none of the RSUs are vested. The Company determined that fair value of the restricted stock units at the date of grant to be €1.39 per share and is recognized over the service period in the consolidated statements of profit or loss and other comprehensive income or loss. The share-based payment expense recorded the consolidated statements of profit or loss and other comprehensive income or (loss) for the years ended December 31, 2019 and 2018 amounted to €16,201 and €799,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Reconciliation of outstanding RSUs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rPr>
              <w:t>Weighted</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rPr>
              <w:t>Weighted</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32406B"/>
              </w:rPr>
              <w:t>average</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32406B"/>
              </w:rPr>
              <w:t>average</w:t>
            </w:r>
          </w:p>
        </w:tc>
        <w:tc>
          <w:tcPr>
            <w:tcW w:w="0" w:type="dxa"/>
            <w:vAlign w:val="bottom"/>
          </w:tcPr>
          <w:p>
            <w:pPr>
              <w:spacing w:after="0"/>
              <w:rPr>
                <w:sz w:val="1"/>
                <w:szCs w:val="1"/>
                <w:color w:val="auto"/>
              </w:rPr>
            </w:pPr>
          </w:p>
        </w:tc>
      </w:tr>
      <w:tr>
        <w:trPr>
          <w:trHeight w:val="148"/>
        </w:trPr>
        <w:tc>
          <w:tcPr>
            <w:tcW w:w="8080" w:type="dxa"/>
            <w:vAlign w:val="bottom"/>
          </w:tcPr>
          <w:p>
            <w:pPr>
              <w:spacing w:after="0"/>
              <w:rPr>
                <w:sz w:val="12"/>
                <w:szCs w:val="12"/>
                <w:color w:val="auto"/>
              </w:rPr>
            </w:pPr>
          </w:p>
        </w:tc>
        <w:tc>
          <w:tcPr>
            <w:tcW w:w="5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32406B"/>
              </w:rPr>
              <w:t>purchase</w:t>
            </w:r>
          </w:p>
        </w:tc>
        <w:tc>
          <w:tcPr>
            <w:tcW w:w="5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2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32406B"/>
                <w:w w:val="99"/>
              </w:rPr>
              <w:t>purchase</w:t>
            </w:r>
          </w:p>
        </w:tc>
        <w:tc>
          <w:tcPr>
            <w:tcW w:w="0" w:type="dxa"/>
            <w:vAlign w:val="bottom"/>
          </w:tcPr>
          <w:p>
            <w:pPr>
              <w:spacing w:after="0"/>
              <w:rPr>
                <w:sz w:val="1"/>
                <w:szCs w:val="1"/>
                <w:color w:val="auto"/>
              </w:rPr>
            </w:pPr>
          </w:p>
        </w:tc>
      </w:tr>
      <w:tr>
        <w:trPr>
          <w:trHeight w:val="173"/>
        </w:trPr>
        <w:tc>
          <w:tcPr>
            <w:tcW w:w="80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32406B"/>
              </w:rPr>
              <w:t>price</w:t>
            </w:r>
          </w:p>
        </w:tc>
        <w:tc>
          <w:tcPr>
            <w:tcW w:w="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32406B"/>
                <w:w w:val="98"/>
              </w:rPr>
              <w:t>price</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January 1,</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25,295</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0.01</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32406B"/>
              </w:rPr>
              <w:t>Granted</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25,295</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0.01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Exercised</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32406B"/>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2406B"/>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December 31,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25,295</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0.01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2406B"/>
              </w:rPr>
              <w:t>25,295</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0.01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Measurement of Fair Value</w:t>
      </w:r>
    </w:p>
    <w:p>
      <w:pPr>
        <w:spacing w:after="0" w:line="119"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8"/>
          <w:szCs w:val="18"/>
          <w:color w:val="32406B"/>
        </w:rPr>
        <w:t>The grant date fair value of an option or an RSU is equal to the value of an ordinary share. An external valuation expert has estimated the fair value of the Company’s ordinary shares, as of the grant dates based on the pricing of the most recent financing round of the Company at the time. As Pharvaris is a private company and the equity instruments are not marketable, an Option Pricing Model (“OPM”) was applied to back-solve the Company’s total equity value such that the value per preferred A and B Share is equal to the investment price per share paid in the investment round.</w:t>
      </w:r>
    </w:p>
    <w:p>
      <w:pPr>
        <w:spacing w:after="0" w:line="180" w:lineRule="exact"/>
        <w:rPr>
          <w:sz w:val="20"/>
          <w:szCs w:val="20"/>
          <w:color w:val="auto"/>
        </w:rPr>
      </w:pPr>
    </w:p>
    <w:p>
      <w:pPr>
        <w:ind w:right="220" w:firstLine="449"/>
        <w:spacing w:after="0" w:line="266" w:lineRule="auto"/>
        <w:rPr>
          <w:sz w:val="20"/>
          <w:szCs w:val="20"/>
          <w:color w:val="auto"/>
        </w:rPr>
      </w:pPr>
      <w:r>
        <w:rPr>
          <w:rFonts w:ascii="Times New Roman" w:cs="Times New Roman" w:eastAsia="Times New Roman" w:hAnsi="Times New Roman"/>
          <w:sz w:val="18"/>
          <w:szCs w:val="18"/>
          <w:color w:val="32406B"/>
        </w:rPr>
        <w:t>This estimated total equity value has been used as input to the OPM when determining the fair value of the Company’s ordinary shares at the grant dates of March 31, 2016 (options) and December 13, 2018. The OPM uses the Black-Scholes Option-Pricing Model to determine the fair value of the Company’s different share classes based upon the Company’s total equity value.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F-24</w:t>
      </w:r>
    </w:p>
    <w:p>
      <w:pPr>
        <w:sectPr>
          <w:pgSz w:w="11900" w:h="16838" w:orient="portrait"/>
          <w:cols w:equalWidth="0" w:num="1">
            <w:col w:w="11240"/>
          </w:cols>
          <w:pgMar w:left="320" w:top="455" w:right="3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inputs used in the measurement of the fair value per ordinary share at each grant date based upon the total equity value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32406B"/>
              </w:rPr>
              <w:t>December 13,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32406B"/>
              </w:rPr>
              <w:t>March 31,</w:t>
            </w:r>
          </w:p>
        </w:tc>
      </w:tr>
      <w:tr>
        <w:trPr>
          <w:trHeight w:val="173"/>
        </w:trPr>
        <w:tc>
          <w:tcPr>
            <w:tcW w:w="86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9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32406B"/>
              </w:rPr>
              <w:t>2016</w:t>
            </w:r>
          </w:p>
        </w:tc>
        <w:tc>
          <w:tcPr>
            <w:tcW w:w="200" w:type="dxa"/>
            <w:vAlign w:val="bottom"/>
            <w:tcBorders>
              <w:bottom w:val="single" w:sz="8" w:color="CCEEFF"/>
            </w:tcBorders>
          </w:tcPr>
          <w:p>
            <w:pPr>
              <w:spacing w:after="0"/>
              <w:rPr>
                <w:sz w:val="15"/>
                <w:szCs w:val="15"/>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Expected volatility (%)</w:t>
            </w: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32406B"/>
              </w:rPr>
              <w:t>80%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90%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32406B"/>
              </w:rPr>
              <w:t>Expected life (years)</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32406B"/>
              </w:rPr>
              <w:t>0.5</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3.25</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Risk-free interest rate (%)</w:t>
            </w: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32406B"/>
              </w:rPr>
              <w:t>-0.8%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-0.5%</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32406B"/>
              </w:rPr>
              <w:t>Expected dividend yield</w:t>
            </w: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32406B"/>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32406B"/>
              </w:rPr>
              <w:t>—</w:t>
            </w:r>
          </w:p>
        </w:tc>
      </w:tr>
    </w:tbl>
    <w:p>
      <w:pPr>
        <w:spacing w:after="0" w:line="179"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8"/>
          <w:szCs w:val="18"/>
          <w:color w:val="32406B"/>
        </w:rPr>
        <w:t>Expected volatility was based on an evaluation of the historical volatilities of comparable listed biotech-companies over the historical period commensurate with the expected life. The expected life is based on Management’s best estimate on an expected exit date (such as a sale of the company or an initial public offering given prevailing market conditions). The risk-free interest rate is based on the yield on German government Strip bonds, with tenure equal to the expected life. The expected dividend yield is zero considering the stage of the Group.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17. Loss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Basic and diluted</w:t>
      </w:r>
    </w:p>
    <w:p>
      <w:pPr>
        <w:spacing w:after="0" w:line="121"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8"/>
          <w:szCs w:val="18"/>
          <w:color w:val="32406B"/>
        </w:rPr>
        <w:t>Basic and diluted loss per share is calculated by dividing the loss attributable to equity holders of the Company by the weighted average number of issued and outstanding ordinary shares during the year.</w:t>
      </w:r>
    </w:p>
    <w:p>
      <w:pPr>
        <w:spacing w:after="0" w:line="162" w:lineRule="exact"/>
        <w:rPr>
          <w:sz w:val="20"/>
          <w:szCs w:val="20"/>
          <w:color w:val="auto"/>
        </w:rPr>
      </w:pPr>
    </w:p>
    <w:p>
      <w:pPr>
        <w:ind w:right="840" w:firstLine="449"/>
        <w:spacing w:after="0" w:line="282" w:lineRule="auto"/>
        <w:rPr>
          <w:sz w:val="20"/>
          <w:szCs w:val="20"/>
          <w:color w:val="auto"/>
        </w:rPr>
      </w:pPr>
      <w:r>
        <w:rPr>
          <w:rFonts w:ascii="Times New Roman" w:cs="Times New Roman" w:eastAsia="Times New Roman" w:hAnsi="Times New Roman"/>
          <w:sz w:val="18"/>
          <w:szCs w:val="18"/>
          <w:color w:val="32406B"/>
        </w:rPr>
        <w:t>The Company’s potential dilutive securities have been excluded from the computation of diluted net loss per share attributable to ordinary stockholders as the effect of including them would be antidilutive.</w:t>
      </w:r>
    </w:p>
    <w:p>
      <w:pPr>
        <w:spacing w:after="0" w:line="162" w:lineRule="exact"/>
        <w:rPr>
          <w:sz w:val="20"/>
          <w:szCs w:val="20"/>
          <w:color w:val="auto"/>
        </w:rPr>
      </w:pPr>
    </w:p>
    <w:p>
      <w:pPr>
        <w:ind w:right="240" w:firstLine="449"/>
        <w:spacing w:after="0" w:line="266" w:lineRule="auto"/>
        <w:rPr>
          <w:sz w:val="20"/>
          <w:szCs w:val="20"/>
          <w:color w:val="auto"/>
        </w:rPr>
      </w:pPr>
      <w:r>
        <w:rPr>
          <w:rFonts w:ascii="Times New Roman" w:cs="Times New Roman" w:eastAsia="Times New Roman" w:hAnsi="Times New Roman"/>
          <w:sz w:val="18"/>
          <w:szCs w:val="18"/>
          <w:color w:val="32406B"/>
        </w:rPr>
        <w:t>Potentially dilutive shares that were not included in the diluted per share calculations because they would be anti-dilutive were 5,242,850 Series A preferred shared and 3,003,391 Series B preferred shares and 5,242,850 Series A preferred shared and 3,003,391 Series B preferred shares as of December 31, 2019 and 2018.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32406B"/>
              </w:rPr>
              <w:t>December 31,</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32406B"/>
              </w:rPr>
              <w:t>December 31,</w:t>
            </w:r>
          </w:p>
        </w:tc>
      </w:tr>
      <w:tr>
        <w:trPr>
          <w:trHeight w:val="173"/>
        </w:trPr>
        <w:tc>
          <w:tcPr>
            <w:tcW w:w="8860" w:type="dxa"/>
            <w:vAlign w:val="bottom"/>
          </w:tcPr>
          <w:p>
            <w:pPr>
              <w:spacing w:after="0"/>
              <w:rPr>
                <w:sz w:val="15"/>
                <w:szCs w:val="15"/>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140" w:type="dxa"/>
            <w:vAlign w:val="bottom"/>
          </w:tcPr>
          <w:p>
            <w:pPr>
              <w:spacing w:after="0"/>
              <w:rPr>
                <w:sz w:val="15"/>
                <w:szCs w:val="15"/>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w w:val="85"/>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Loss attributable to equity holders of the Company</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(8,027,162)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(4,313,914)</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Weighted average number of ordinary shares outstanding</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32406B"/>
              </w:rPr>
              <w:t>4,850,000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4,850,000</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Basic and diluted loss per share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(1.66)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(0.89)</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18. Related parties</w:t>
      </w:r>
    </w:p>
    <w:p>
      <w:pPr>
        <w:spacing w:after="0" w:line="121" w:lineRule="exact"/>
        <w:rPr>
          <w:sz w:val="20"/>
          <w:szCs w:val="20"/>
          <w:color w:val="auto"/>
        </w:rPr>
      </w:pPr>
    </w:p>
    <w:p>
      <w:pPr>
        <w:jc w:val="both"/>
        <w:ind w:right="60" w:firstLine="449"/>
        <w:spacing w:after="0" w:line="282" w:lineRule="auto"/>
        <w:rPr>
          <w:sz w:val="20"/>
          <w:szCs w:val="20"/>
          <w:color w:val="auto"/>
        </w:rPr>
      </w:pPr>
      <w:r>
        <w:rPr>
          <w:rFonts w:ascii="Times New Roman" w:cs="Times New Roman" w:eastAsia="Times New Roman" w:hAnsi="Times New Roman"/>
          <w:sz w:val="18"/>
          <w:szCs w:val="18"/>
          <w:color w:val="32406B"/>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Charité Research Organisation GmbH (Charité CRO)</w:t>
      </w:r>
    </w:p>
    <w:p>
      <w:pPr>
        <w:spacing w:after="0" w:line="121" w:lineRule="exact"/>
        <w:rPr>
          <w:sz w:val="20"/>
          <w:szCs w:val="20"/>
          <w:color w:val="auto"/>
        </w:rPr>
      </w:pPr>
    </w:p>
    <w:p>
      <w:pPr>
        <w:jc w:val="both"/>
        <w:ind w:right="40" w:firstLine="449"/>
        <w:spacing w:after="0" w:line="266" w:lineRule="auto"/>
        <w:rPr>
          <w:sz w:val="20"/>
          <w:szCs w:val="20"/>
          <w:color w:val="auto"/>
        </w:rPr>
      </w:pPr>
      <w:r>
        <w:rPr>
          <w:rFonts w:ascii="Times New Roman" w:cs="Times New Roman" w:eastAsia="Times New Roman" w:hAnsi="Times New Roman"/>
          <w:sz w:val="18"/>
          <w:szCs w:val="18"/>
          <w:color w:val="32406B"/>
        </w:rPr>
        <w:t>Dr. Knolle, who has served as Chief Scientific Officer and Chief Operating Officer since its inception, is a member of the board of Charité CRO. The Company has entered into a service contract with Charité CRO according to which Charité CRO provides services supporting research for the Company. In fiscal years 2018 and 2019 payments to Charité CRO with respect to this service contract amounted to €49,600 and €1,238,355 respectively.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amount of outstanding payable was €0 at both December 2019 and 2018.</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Key management personnel compensation</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The Group engages several management entities for the purpose of providing key management services to the Group. These management entities are considered related parties, as they provide key management services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F-25</w:t>
      </w:r>
    </w:p>
    <w:p>
      <w:pPr>
        <w:sectPr>
          <w:pgSz w:w="11900" w:h="16838" w:orient="portrait"/>
          <w:cols w:equalWidth="0" w:num="1">
            <w:col w:w="11240"/>
          </w:cols>
          <w:pgMar w:left="320" w:top="455" w:right="3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32406B"/>
        </w:rPr>
        <w:t>and the key management personnel have key management functions within these entities. Certain key management personnel are also shareholder of the Company. The aggregate amount of expense recognized in the consolidated statements of profit or loss and other comprehensive income or loss related to these related parties were €1,311,572 (2018: €1,070,616). The aggregate amounts payable to the related parties were €55,250 (2018: €103,777).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19. Commitments and contingencies</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32406B"/>
        </w:rPr>
        <w:t>This section provides additional information about items not recognized in the financial statements but could potentially have a significant impact on the Group’s financial position and performance.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32406B"/>
        </w:rPr>
        <w:t>Non-cancellable service contracts</w:t>
      </w:r>
    </w:p>
    <w:p>
      <w:pPr>
        <w:spacing w:after="0" w:line="121" w:lineRule="exact"/>
        <w:rPr>
          <w:sz w:val="20"/>
          <w:szCs w:val="20"/>
          <w:color w:val="auto"/>
        </w:rPr>
      </w:pPr>
    </w:p>
    <w:p>
      <w:pPr>
        <w:ind w:right="780" w:firstLine="449"/>
        <w:spacing w:after="0" w:line="282" w:lineRule="auto"/>
        <w:rPr>
          <w:sz w:val="20"/>
          <w:szCs w:val="20"/>
          <w:color w:val="auto"/>
        </w:rPr>
      </w:pPr>
      <w:r>
        <w:rPr>
          <w:rFonts w:ascii="Times New Roman" w:cs="Times New Roman" w:eastAsia="Times New Roman" w:hAnsi="Times New Roman"/>
          <w:sz w:val="18"/>
          <w:szCs w:val="18"/>
          <w:color w:val="32406B"/>
        </w:rPr>
        <w:t>The group has entered into research and development commitments in relation to the developments of Group’s oral bradykinin B2 receptor antagonist. The future aggregate minimum payments under these research and development commitments are as follows: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Commitment for the minimum payments in relation to the non-cancellable service contracts are payable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20" w:type="dxa"/>
            <w:vAlign w:val="bottom"/>
          </w:tcPr>
          <w:p>
            <w:pPr>
              <w:spacing w:after="0"/>
              <w:rPr>
                <w:sz w:val="15"/>
                <w:szCs w:val="15"/>
                <w:color w:val="auto"/>
              </w:rPr>
            </w:pP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32406B"/>
              </w:rPr>
              <w:t>2019</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32406B"/>
              </w:rPr>
              <w:t>2018</w:t>
            </w:r>
          </w:p>
        </w:tc>
        <w:tc>
          <w:tcPr>
            <w:tcW w:w="60" w:type="dxa"/>
            <w:vAlign w:val="bottom"/>
          </w:tcPr>
          <w:p>
            <w:pPr>
              <w:spacing w:after="0"/>
              <w:rPr>
                <w:sz w:val="15"/>
                <w:szCs w:val="15"/>
                <w:color w:val="auto"/>
              </w:rPr>
            </w:pPr>
          </w:p>
        </w:tc>
      </w:tr>
      <w:tr>
        <w:trPr>
          <w:trHeight w:val="142"/>
        </w:trPr>
        <w:tc>
          <w:tcPr>
            <w:tcW w:w="93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16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32406B"/>
              </w:rPr>
              <w:t>€</w:t>
            </w:r>
          </w:p>
        </w:tc>
        <w:tc>
          <w:tcPr>
            <w:tcW w:w="6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Within one year</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4,005,200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853,200</w:t>
            </w:r>
          </w:p>
        </w:tc>
      </w:tr>
      <w:tr>
        <w:trPr>
          <w:trHeight w:val="216"/>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32406B"/>
              </w:rPr>
              <w:t>Later than one year but not later than five years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1,008,500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10,800</w:t>
            </w:r>
          </w:p>
        </w:tc>
      </w:tr>
      <w:tr>
        <w:trPr>
          <w:trHeight w:val="27"/>
        </w:trPr>
        <w:tc>
          <w:tcPr>
            <w:tcW w:w="9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5,013,700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864,000</w:t>
            </w:r>
          </w:p>
        </w:tc>
      </w:tr>
      <w:tr>
        <w:trPr>
          <w:trHeight w:val="20"/>
        </w:trPr>
        <w:tc>
          <w:tcPr>
            <w:tcW w:w="9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20. Contingent liabilities and contingent assets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The Group had no contingent liabilities and no contingent assets at December 31, 2019 and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21. Events after the reporting period</w:t>
      </w:r>
    </w:p>
    <w:p>
      <w:pPr>
        <w:spacing w:after="0" w:line="121" w:lineRule="exact"/>
        <w:rPr>
          <w:sz w:val="20"/>
          <w:szCs w:val="20"/>
          <w:color w:val="auto"/>
        </w:rPr>
      </w:pPr>
    </w:p>
    <w:p>
      <w:pPr>
        <w:ind w:right="40" w:firstLine="449"/>
        <w:spacing w:after="0" w:line="258" w:lineRule="auto"/>
        <w:rPr>
          <w:sz w:val="20"/>
          <w:szCs w:val="20"/>
          <w:color w:val="auto"/>
        </w:rPr>
      </w:pPr>
      <w:r>
        <w:rPr>
          <w:rFonts w:ascii="Times New Roman" w:cs="Times New Roman" w:eastAsia="Times New Roman" w:hAnsi="Times New Roman"/>
          <w:sz w:val="18"/>
          <w:szCs w:val="18"/>
          <w:color w:val="32406B"/>
        </w:rPr>
        <w:t>The outbreak of a novel strain of the coronavirus, specifically identified as “COVID-19”, has spread globally. Originating in China and spreading globally, COVID-19 is a virus causing potentially deadly respiratory tract infections and has impacted the global economy. In March 2020, the World Health Organization declared COVID-19 a pandemic. The Company has taken appropriate measures to protect the safety of the employees and continuously monitors and evaluates the situation regarding COVID-19 (see note 2.2). The impact of COVID-19 to date is limited. Management concluded that the COVID-19 is expected to have some impact but would not have material adverse effect on the financial condition or liquidity.</w:t>
      </w:r>
    </w:p>
    <w:p>
      <w:pPr>
        <w:spacing w:after="0" w:line="183"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8"/>
          <w:szCs w:val="18"/>
          <w:color w:val="32406B"/>
        </w:rPr>
        <w:t>On January 1, 2020 and February 3, 2020, a total of 600,000 and 440,000 share options have been granted to key management personnel. The exercise price of €2.38 is equal to the fair value at the grant dates.</w:t>
      </w:r>
    </w:p>
    <w:p>
      <w:pPr>
        <w:spacing w:after="0" w:line="162" w:lineRule="exact"/>
        <w:rPr>
          <w:sz w:val="20"/>
          <w:szCs w:val="20"/>
          <w:color w:val="auto"/>
        </w:rPr>
      </w:pPr>
    </w:p>
    <w:p>
      <w:pPr>
        <w:jc w:val="both"/>
        <w:ind w:right="220" w:firstLine="449"/>
        <w:spacing w:after="0" w:line="266" w:lineRule="auto"/>
        <w:rPr>
          <w:sz w:val="20"/>
          <w:szCs w:val="20"/>
          <w:color w:val="auto"/>
        </w:rPr>
      </w:pPr>
      <w:r>
        <w:rPr>
          <w:rFonts w:ascii="Times New Roman" w:cs="Times New Roman" w:eastAsia="Times New Roman" w:hAnsi="Times New Roman"/>
          <w:sz w:val="18"/>
          <w:szCs w:val="18"/>
          <w:color w:val="32406B"/>
        </w:rPr>
        <w:t>In 2020 the Group established Pharvaris GmbH in Switzerland and Pharvaris, Inc. in the United States of America. Pharvaris, Inc. acts as a service provider to the principal Company of the Group. Pharvaris GmbH is the principal Company of the Group starting April 1, 2020. The principal Company faces the market/external parties and making all operational group decisions.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32406B"/>
        </w:rPr>
        <w:t>In July 2020, the Group received a $41 million Series B equity financing, with the same terms as the existing Series B financing.</w:t>
      </w:r>
    </w:p>
    <w:p>
      <w:pPr>
        <w:spacing w:after="0" w:line="225"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8"/>
          <w:szCs w:val="18"/>
          <w:color w:val="32406B"/>
        </w:rPr>
        <w:t>On November 3, 2020, the Company completed a $80 million Series C equity financing, which was received on November 5, 2020, pursuant to which the Company issued 5,826,279 preferred shares 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F-26</w:t>
      </w:r>
    </w:p>
    <w:p>
      <w:pPr>
        <w:sectPr>
          <w:pgSz w:w="11900" w:h="16838" w:orient="portrait"/>
          <w:cols w:equalWidth="0" w:num="1">
            <w:col w:w="11240"/>
          </w:cols>
          <w:pgMar w:left="320" w:top="455"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2406B"/>
        </w:rPr>
        <w:t>Signatories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Leiden, November 10,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Pharvaris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Board of directors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B.A.E. Modig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M. Kleijwegt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M. Kleijwegt</w:t>
      </w:r>
    </w:p>
    <w:p>
      <w:pPr>
        <w:spacing w:after="0" w:line="200" w:lineRule="exact"/>
        <w:rPr>
          <w:sz w:val="20"/>
          <w:szCs w:val="20"/>
          <w:color w:val="auto"/>
        </w:rPr>
      </w:pPr>
    </w:p>
    <w:p>
      <w:pPr>
        <w:sectPr>
          <w:pgSz w:w="11900" w:h="16838" w:orient="portrait"/>
          <w:cols w:equalWidth="0" w:num="2">
            <w:col w:w="5240" w:space="720"/>
            <w:col w:w="417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R.P.L. Droller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R.P.L. Droller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M.E. Rome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M.E. Rome</w:t>
      </w:r>
    </w:p>
    <w:p>
      <w:pPr>
        <w:spacing w:after="0" w:line="200" w:lineRule="exact"/>
        <w:rPr>
          <w:sz w:val="20"/>
          <w:szCs w:val="20"/>
          <w:color w:val="auto"/>
        </w:rPr>
      </w:pPr>
    </w:p>
    <w:p>
      <w:pPr>
        <w:sectPr>
          <w:pgSz w:w="11900" w:h="16838" w:orient="portrait"/>
          <w:cols w:equalWidth="0" w:num="2">
            <w:col w:w="5240" w:space="720"/>
            <w:col w:w="417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R.S. Gaster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R.S. Gaster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J.G.C.P. Schikan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J.G.C.P. Schikan</w:t>
      </w:r>
    </w:p>
    <w:p>
      <w:pPr>
        <w:spacing w:after="0" w:line="139" w:lineRule="exact"/>
        <w:rPr>
          <w:sz w:val="20"/>
          <w:szCs w:val="20"/>
          <w:color w:val="auto"/>
        </w:rPr>
      </w:pPr>
    </w:p>
    <w:p>
      <w:pPr>
        <w:sectPr>
          <w:pgSz w:w="11900" w:h="16838" w:orient="portrait"/>
          <w:cols w:equalWidth="0" w:num="2">
            <w:col w:w="5240" w:space="720"/>
            <w:col w:w="4179"/>
          </w:cols>
          <w:pgMar w:left="320" w:top="455"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7"/>
          <w:szCs w:val="17"/>
          <w:color w:val="32406B"/>
        </w:rPr>
        <w:t>F-27</w:t>
      </w:r>
    </w:p>
    <w:p>
      <w:pPr>
        <w:sectPr>
          <w:pgSz w:w="11900" w:h="16838" w:orient="portrait"/>
          <w:cols w:equalWidth="0" w:num="1">
            <w:col w:w="10139"/>
          </w:cols>
          <w:pgMar w:left="320" w:top="455" w:right="1440" w:bottom="1440" w:gutter="0" w:footer="0" w:header="0"/>
          <w:type w:val="continuous"/>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Unaudited Condensed Consolidated Statements of Profit or Loss and Other Comprehensive Income (Loss)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For the Nine Months Ended September 30, 2020 and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2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color w:val="32406B"/>
              </w:rPr>
              <w:t>Notes</w:t>
            </w: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32406B"/>
              </w:rPr>
              <w:t>2020</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32406B"/>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20" w:type="dxa"/>
            <w:vAlign w:val="bottom"/>
            <w:vMerge w:val="continue"/>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Research and development expenses</w:t>
            </w:r>
          </w:p>
        </w:tc>
        <w:tc>
          <w:tcPr>
            <w:tcW w:w="28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32406B"/>
              </w:rPr>
              <w:t>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(11,797,986)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(3,154,877)</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32406B"/>
              </w:rPr>
              <w:t>General and administrative expenses</w:t>
            </w:r>
          </w:p>
        </w:tc>
        <w:tc>
          <w:tcPr>
            <w:tcW w:w="2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32406B"/>
              </w:rPr>
              <w:t>4</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(3,447,208)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(1,409,972)</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operating expenses</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(15,245,194)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(4,564,849)</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28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(176,602)</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(3,927)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before income tax</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32406B"/>
              </w:rPr>
              <w:t>Income taxes</w:t>
            </w:r>
          </w:p>
        </w:tc>
        <w:tc>
          <w:tcPr>
            <w:tcW w:w="28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32406B"/>
              </w:rPr>
              <w:t>6</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for the period</w:t>
            </w:r>
          </w:p>
        </w:tc>
        <w:tc>
          <w:tcPr>
            <w:tcW w:w="2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for the period, net of tax</w:t>
            </w: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(15,421,796)</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(4,568,776)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Loss attributable to:</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2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comprehensive loss attributable to:</w:t>
            </w:r>
          </w:p>
        </w:tc>
        <w:tc>
          <w:tcPr>
            <w:tcW w:w="2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32406B"/>
              </w:rPr>
              <w:t>Equity holders of the Company</w:t>
            </w:r>
          </w:p>
        </w:tc>
        <w:tc>
          <w:tcPr>
            <w:tcW w:w="28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32406B"/>
        </w:rPr>
        <w:t>Loss per share attributable to the equity holders of the Company during the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both"/>
        <w:ind w:left="1420" w:right="80" w:hanging="1411"/>
        <w:spacing w:after="0" w:line="375" w:lineRule="auto"/>
        <w:rPr>
          <w:sz w:val="20"/>
          <w:szCs w:val="20"/>
          <w:color w:val="auto"/>
        </w:rPr>
      </w:pPr>
      <w:r>
        <w:rPr>
          <w:rFonts w:ascii="Times New Roman" w:cs="Times New Roman" w:eastAsia="Times New Roman" w:hAnsi="Times New Roman"/>
          <w:sz w:val="18"/>
          <w:szCs w:val="18"/>
          <w:b w:val="1"/>
          <w:bCs w:val="1"/>
          <w:color w:val="32406B"/>
        </w:rPr>
        <w:t>Basic and diluted loss per share:</w:t>
      </w:r>
      <w:r>
        <w:rPr>
          <w:sz w:val="20"/>
          <w:szCs w:val="20"/>
          <w:color w:val="auto"/>
        </w:rPr>
        <w:t xml:space="preserve"> </w:t>
      </w:r>
      <w:r>
        <w:rPr>
          <w:rFonts w:ascii="Times New Roman" w:cs="Times New Roman" w:eastAsia="Times New Roman" w:hAnsi="Times New Roman"/>
          <w:sz w:val="18"/>
          <w:szCs w:val="18"/>
          <w:color w:val="32406B"/>
        </w:rPr>
        <w:t>16 (3.18) (0.94) The accompanying notes are an integral part of these unaudited condensed consolidated interim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F-28</w:t>
      </w:r>
    </w:p>
    <w:p>
      <w:pPr>
        <w:sectPr>
          <w:pgSz w:w="11900" w:h="16838" w:orient="portrait"/>
          <w:cols w:equalWidth="0" w:num="1">
            <w:col w:w="11240"/>
          </w:cols>
          <w:pgMar w:left="320" w:top="455" w:right="3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Unaudited Condensed Consolidated Statements of Financial Position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32406B"/>
              </w:rPr>
              <w:t>September 30,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32406B"/>
              </w:rPr>
              <w:t>December 31,</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36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32406B"/>
              </w:rPr>
              <w:t>Notes</w:t>
            </w: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32406B"/>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32406B"/>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360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20" w:type="dxa"/>
            <w:vAlign w:val="bottom"/>
            <w:gridSpan w:val="2"/>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Assets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Non-current assets</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Property, plant and equipment</w:t>
            </w:r>
          </w:p>
        </w:tc>
        <w:tc>
          <w:tcPr>
            <w:tcW w:w="3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7</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43,766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12,927</w:t>
            </w:r>
          </w:p>
        </w:tc>
        <w:tc>
          <w:tcPr>
            <w:tcW w:w="0" w:type="dxa"/>
            <w:vAlign w:val="bottom"/>
          </w:tcPr>
          <w:p>
            <w:pPr>
              <w:spacing w:after="0"/>
              <w:rPr>
                <w:sz w:val="1"/>
                <w:szCs w:val="1"/>
                <w:color w:val="auto"/>
              </w:rPr>
            </w:pPr>
          </w:p>
        </w:tc>
      </w:tr>
      <w:tr>
        <w:trPr>
          <w:trHeight w:val="324"/>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Current assets</w:t>
            </w:r>
          </w:p>
        </w:tc>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Receivables</w:t>
            </w:r>
          </w:p>
        </w:tc>
        <w:tc>
          <w:tcPr>
            <w:tcW w:w="3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1,062,009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258,379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32406B"/>
              </w:rPr>
              <w:t>Cash and cash equivalents</w:t>
            </w:r>
          </w:p>
        </w:tc>
        <w:tc>
          <w:tcPr>
            <w:tcW w:w="3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41,948,476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20,326,372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assets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43,054,251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20,597,678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Equity and liabilities</w:t>
            </w:r>
          </w:p>
        </w:tc>
        <w:tc>
          <w:tcPr>
            <w:tcW w:w="3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Equity</w:t>
            </w:r>
          </w:p>
        </w:tc>
        <w:tc>
          <w:tcPr>
            <w:tcW w:w="3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10</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32406B"/>
              </w:rPr>
              <w:t>Share capital</w:t>
            </w:r>
          </w:p>
        </w:tc>
        <w:tc>
          <w:tcPr>
            <w:tcW w:w="3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177,430</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130,962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 premium</w:t>
            </w: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70,824,510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36,624,697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32406B"/>
              </w:rPr>
              <w:t>Other reserves</w:t>
            </w:r>
          </w:p>
        </w:tc>
        <w:tc>
          <w:tcPr>
            <w:tcW w:w="3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1,442,563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392,139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Currency translation reserve</w:t>
            </w:r>
          </w:p>
        </w:tc>
        <w:tc>
          <w:tcPr>
            <w:tcW w:w="3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361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32406B"/>
              </w:rPr>
              <w:t>Accumulated loss</w:t>
            </w:r>
          </w:p>
        </w:tc>
        <w:tc>
          <w:tcPr>
            <w:tcW w:w="360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32406B"/>
              </w:rPr>
              <w:t>(33,754,742)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(18,474,250)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equity</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38,690,122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18,673,548</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Current liabilities</w:t>
            </w:r>
          </w:p>
        </w:tc>
        <w:tc>
          <w:tcPr>
            <w:tcW w:w="3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Trade and other payables</w:t>
            </w:r>
          </w:p>
        </w:tc>
        <w:tc>
          <w:tcPr>
            <w:tcW w:w="36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32406B"/>
              </w:rPr>
              <w:t>11</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2,819,594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517,771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32406B"/>
              </w:rPr>
              <w:t>Accrued liabilities</w:t>
            </w:r>
          </w:p>
        </w:tc>
        <w:tc>
          <w:tcPr>
            <w:tcW w:w="3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32406B"/>
              </w:rPr>
              <w:t>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1,544,535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1,406,359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liabilities</w:t>
            </w:r>
          </w:p>
        </w:tc>
        <w:tc>
          <w:tcPr>
            <w:tcW w:w="3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4,364,129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1,924,130</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 equity and liabilities</w:t>
            </w:r>
          </w:p>
        </w:tc>
        <w:tc>
          <w:tcPr>
            <w:tcW w:w="3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43,054,251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20,597,678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F-29</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Unaudited Condensed Consolidated Statements of Changes in Equity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For the Nine Months Ended September 30,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32406B"/>
              </w:rPr>
              <w:t>Share</w:t>
            </w: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32406B"/>
              </w:rPr>
              <w:t>Share</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32406B"/>
              </w:rPr>
              <w:t>Other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32406B"/>
              </w:rPr>
              <w:t>Currency</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32406B"/>
              </w:rPr>
              <w:t>Accumulated</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32406B"/>
              </w:rPr>
              <w:t>Total</w:t>
            </w:r>
          </w:p>
        </w:tc>
        <w:tc>
          <w:tcPr>
            <w:tcW w:w="0" w:type="dxa"/>
            <w:vAlign w:val="bottom"/>
          </w:tcPr>
          <w:p>
            <w:pPr>
              <w:spacing w:after="0"/>
              <w:rPr>
                <w:sz w:val="1"/>
                <w:szCs w:val="1"/>
                <w:color w:val="auto"/>
              </w:rPr>
            </w:pPr>
          </w:p>
        </w:tc>
      </w:tr>
      <w:tr>
        <w:trPr>
          <w:trHeight w:val="146"/>
        </w:trPr>
        <w:tc>
          <w:tcPr>
            <w:tcW w:w="460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32406B"/>
                <w:w w:val="97"/>
              </w:rPr>
              <w:t>Notes</w:t>
            </w:r>
          </w:p>
        </w:tc>
        <w:tc>
          <w:tcPr>
            <w:tcW w:w="8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color w:val="32406B"/>
              </w:rPr>
              <w:t>translation</w:t>
            </w:r>
          </w:p>
        </w:tc>
        <w:tc>
          <w:tcPr>
            <w:tcW w:w="12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32406B"/>
              </w:rPr>
              <w:t>capital</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32406B"/>
              </w:rPr>
              <w:t>premium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32406B"/>
              </w:rPr>
              <w:t>reserves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32406B"/>
              </w:rPr>
              <w:t>reserve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32406B"/>
              </w:rPr>
              <w:t>losses</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32406B"/>
              </w:rPr>
              <w:t>Equity</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2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100,928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15,023,205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275,992</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(10,447,088)</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4,953,037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32406B"/>
              </w:rPr>
              <w:t>Total comprehensive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(4,568,776)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Issue of share capital</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30,034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22,437,673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22,467,707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32406B"/>
              </w:rPr>
              <w:t>Transaction costs on issue of shares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(836,181)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(836,181)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15</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81,534</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81,534</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Balance at September 30, 2019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130,962</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36,624,697</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357,526</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1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(15,015,864)</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22,097,321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130,962</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36,624,697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392,139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(18,474,250)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18,673,548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32406B"/>
              </w:rPr>
              <w:t>Total comprehensive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(15,421,796)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Issue of share capital</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46,468</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34,986,290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35,032,758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32406B"/>
              </w:rPr>
              <w:t>Transaction costs on issue of shares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(786,477)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(786,477)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Currency translation reserve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361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141,304</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141,665</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1,050,424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1,050,424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September 30, 2020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177,430</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70,824,510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1,442,563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361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(33,754,742)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38,690,122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F-30</w:t>
      </w:r>
    </w:p>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2406B"/>
        </w:rPr>
        <w:t>Unaudited Condensed Consolidated Statements of Cash Flows</w:t>
      </w:r>
    </w:p>
    <w:p>
      <w:pPr>
        <w:spacing w:after="0" w:line="252" w:lineRule="exact"/>
        <w:rPr>
          <w:sz w:val="20"/>
          <w:szCs w:val="20"/>
          <w:color w:val="auto"/>
        </w:rPr>
      </w:pPr>
    </w:p>
    <w:p>
      <w:pPr>
        <w:jc w:val="center"/>
        <w:ind w:left="8800"/>
        <w:spacing w:after="0"/>
        <w:rPr>
          <w:sz w:val="20"/>
          <w:szCs w:val="20"/>
          <w:color w:val="auto"/>
        </w:rPr>
      </w:pPr>
      <w:r>
        <w:rPr>
          <w:rFonts w:ascii="Times New Roman" w:cs="Times New Roman" w:eastAsia="Times New Roman" w:hAnsi="Times New Roman"/>
          <w:sz w:val="14"/>
          <w:szCs w:val="14"/>
          <w:color w:val="32406B"/>
        </w:rPr>
        <w:t>Nine months ended</w:t>
      </w:r>
    </w:p>
    <w:p>
      <w:pPr>
        <w:jc w:val="center"/>
        <w:ind w:left="8780"/>
        <w:spacing w:after="0" w:line="236" w:lineRule="auto"/>
        <w:rPr>
          <w:sz w:val="20"/>
          <w:szCs w:val="20"/>
          <w:color w:val="auto"/>
        </w:rPr>
      </w:pPr>
      <w:r>
        <w:rPr>
          <w:rFonts w:ascii="Times New Roman" w:cs="Times New Roman" w:eastAsia="Times New Roman" w:hAnsi="Times New Roman"/>
          <w:sz w:val="14"/>
          <w:szCs w:val="14"/>
          <w:color w:val="32406B"/>
        </w:rPr>
        <w:t>September 30,</w:t>
      </w:r>
    </w:p>
    <w:tbl>
      <w:tblPr>
        <w:tblLayout w:type="fixed"/>
        <w:tblInd w:w="0" w:type="dxa"/>
        <w:tblCellMar>
          <w:top w:w="0" w:type="dxa"/>
          <w:left w:w="0" w:type="dxa"/>
          <w:bottom w:w="0" w:type="dxa"/>
          <w:right w:w="0" w:type="dxa"/>
        </w:tblCellMar>
      </w:tblPr>
      <w:tr>
        <w:trPr>
          <w:trHeight w:val="142"/>
        </w:trPr>
        <w:tc>
          <w:tcPr>
            <w:tcW w:w="7260" w:type="dxa"/>
            <w:vAlign w:val="bottom"/>
          </w:tcPr>
          <w:p>
            <w:pPr>
              <w:spacing w:after="0"/>
              <w:rPr>
                <w:sz w:val="12"/>
                <w:szCs w:val="12"/>
                <w:color w:val="auto"/>
              </w:rPr>
            </w:pPr>
          </w:p>
        </w:tc>
        <w:tc>
          <w:tcPr>
            <w:tcW w:w="1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32406B"/>
              </w:rPr>
              <w:t>Notes</w:t>
            </w: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32406B"/>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color w:val="32406B"/>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Operating activities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Loss before tax</w:t>
            </w:r>
          </w:p>
        </w:tc>
        <w:tc>
          <w:tcPr>
            <w:tcW w:w="16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(15,421,796)</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(4,568,776)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32406B"/>
              </w:rPr>
              <w:t>Non-cash adjustments to reconcile loss before tax to net cash flows from operations: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 expense</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1,050,424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81,534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foreign exchange loss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141,665</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405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Depreciation expense</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4,818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107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32406B"/>
              </w:rPr>
              <w:t>Changes in working capital:</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Increase in receivables</w:t>
            </w:r>
          </w:p>
        </w:tc>
        <w:tc>
          <w:tcPr>
            <w:tcW w:w="16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(803,630)</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(9,804)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Increase in trade and other payables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2,301,823</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761,453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Increase in accrued liabilities</w:t>
            </w:r>
          </w:p>
        </w:tc>
        <w:tc>
          <w:tcPr>
            <w:tcW w:w="16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138,176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205,138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Net cash flows used in operating activities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(12,588,520)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(3,529,943)</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Investing activities</w:t>
            </w:r>
          </w:p>
        </w:tc>
        <w:tc>
          <w:tcPr>
            <w:tcW w:w="1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Purchase of property, plant and equipment</w:t>
            </w:r>
          </w:p>
        </w:tc>
        <w:tc>
          <w:tcPr>
            <w:tcW w:w="1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32406B"/>
              </w:rPr>
              <w:t>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(35,657)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(4,297)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cash flows used in investing activities</w:t>
            </w:r>
          </w:p>
        </w:tc>
        <w:tc>
          <w:tcPr>
            <w:tcW w:w="16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(35,657)</w:t>
            </w:r>
          </w:p>
        </w:tc>
        <w:tc>
          <w:tcPr>
            <w:tcW w:w="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(4,297)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Financing activities</w:t>
            </w:r>
          </w:p>
        </w:tc>
        <w:tc>
          <w:tcPr>
            <w:tcW w:w="1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Proceeds from issue of shares</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32406B"/>
              </w:rPr>
              <w:t>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35,032,758</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22,467,707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Transaction costs on issue of shares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(786,477)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(170,000)</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Net cash flows provided by financing activities</w:t>
            </w:r>
          </w:p>
        </w:tc>
        <w:tc>
          <w:tcPr>
            <w:tcW w:w="16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34,246,281</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22,297,707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Net increase in cash and cash equivalents</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21,622,104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18,763,467</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32406B"/>
              </w:rPr>
              <w:t>Cash and cash equivalents at the beginning of the period</w:t>
            </w:r>
          </w:p>
        </w:tc>
        <w:tc>
          <w:tcPr>
            <w:tcW w:w="16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20,326,372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2406B"/>
              </w:rPr>
              <w:t>5,385,333</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Cash and cash equivalents at the end of the period</w:t>
            </w:r>
          </w:p>
        </w:tc>
        <w:tc>
          <w:tcPr>
            <w:tcW w:w="16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32406B"/>
              </w:rPr>
              <w:t>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41,948,476</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2406B"/>
              </w:rPr>
              <w:t>24,148,800</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The accompanying notes are an integral part of these unaudited condensed consolidated interim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F-31</w:t>
      </w:r>
    </w:p>
    <w:p>
      <w:pPr>
        <w:sectPr>
          <w:pgSz w:w="11900" w:h="16838" w:orient="portrait"/>
          <w:cols w:equalWidth="0" w:num="1">
            <w:col w:w="11240"/>
          </w:cols>
          <w:pgMar w:left="320" w:top="455" w:right="3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32406B"/>
        </w:rPr>
        <w:t>Notes to the Unaudited Condensed Consolidated Interim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 Corporate and Group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This section provides general corporate and group information about Pharvaris B.V. and its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1.1 Corporate information</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32406B"/>
        </w:rPr>
        <w:t>The unaudited condensed consolidated interim financial statements of Pharvaris B.V. (the “Company” or “Pharvaris”) and its subsidiaries (collectively, “The Group”) as at September 30, 2020 and December 31, 2019, and for the nine months ended September 30, 2020 and 2019 were authorised for issue in accordance with a resolution of the directors on December 18, 2020.</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32406B"/>
        </w:rPr>
        <w:t>Pharvaris B.V. was incorporated on September 30, 2015 and is based in Leiden, the Netherlands. The address of its registered office is J.H. Oortweg 21, Leiden. It has been registered at the Chamber of Commerce under file number 64239411.</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2406B"/>
        </w:rPr>
        <w:t>Pharvaris is a clinical-stage biopharmaceutical company focused on the development and commercialization of innovative therapies for rare diseases with significant unmet need, initially focused on angioedema.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1.2 Group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Subsidiaries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 unaudited condensed consolidated interim financial statements of the Group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32406B"/>
              </w:rPr>
              <w:t>% of equity interest</w:t>
            </w: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color w:val="32406B"/>
              </w:rPr>
              <w:t>Name</w:t>
            </w:r>
          </w:p>
        </w:tc>
        <w:tc>
          <w:tcPr>
            <w:tcW w:w="34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32406B"/>
              </w:rPr>
              <w:t>Legal seat</w:t>
            </w:r>
          </w:p>
        </w:tc>
        <w:tc>
          <w:tcPr>
            <w:tcW w:w="340" w:type="dxa"/>
            <w:vAlign w:val="bottom"/>
            <w:vMerge w:val="restart"/>
          </w:tcPr>
          <w:p>
            <w:pPr>
              <w:spacing w:after="0"/>
              <w:rPr>
                <w:sz w:val="14"/>
                <w:szCs w:val="14"/>
                <w:color w:val="auto"/>
              </w:rPr>
            </w:pPr>
          </w:p>
        </w:tc>
        <w:tc>
          <w:tcPr>
            <w:tcW w:w="1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32406B"/>
              </w:rPr>
              <w:t>Country of incorporation</w:t>
            </w:r>
          </w:p>
        </w:tc>
        <w:tc>
          <w:tcPr>
            <w:tcW w:w="320" w:type="dxa"/>
            <w:vAlign w:val="bottom"/>
            <w:vMerge w:val="restart"/>
          </w:tcPr>
          <w:p>
            <w:pPr>
              <w:spacing w:after="0"/>
              <w:rPr>
                <w:sz w:val="14"/>
                <w:szCs w:val="14"/>
                <w:color w:val="auto"/>
              </w:rPr>
            </w:pPr>
          </w:p>
        </w:tc>
        <w:tc>
          <w:tcPr>
            <w:tcW w:w="164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32406B"/>
              </w:rPr>
              <w:t>as September 30,</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vMerge w:val="continue"/>
          </w:tcPr>
          <w:p>
            <w:pPr>
              <w:spacing w:after="0"/>
              <w:rPr>
                <w:sz w:val="12"/>
                <w:szCs w:val="12"/>
                <w:color w:val="auto"/>
              </w:rPr>
            </w:pPr>
          </w:p>
        </w:tc>
        <w:tc>
          <w:tcPr>
            <w:tcW w:w="18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vMerge w:val="continue"/>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32406B"/>
              </w:rPr>
              <w:t>2020</w:t>
            </w:r>
          </w:p>
        </w:tc>
        <w:tc>
          <w:tcPr>
            <w:tcW w:w="5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32406B"/>
              </w:rPr>
              <w:t>2019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Pharvaris Holdings B.V.</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Leiden</w:t>
            </w: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The Netherlands</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100%</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100%</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32406B"/>
              </w:rPr>
              <w:t>Pharvaris Netherlands B.V.</w:t>
            </w: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32406B"/>
              </w:rPr>
              <w:t>Leiden</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The Netherlands</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100%</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100%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Pharvaris GmbH</w:t>
            </w:r>
          </w:p>
        </w:tc>
        <w:tc>
          <w:tcPr>
            <w:tcW w:w="13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32406B"/>
              </w:rPr>
              <w:t>Zug</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32406B"/>
              </w:rPr>
              <w:t>Switzerland</w:t>
            </w: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32406B"/>
              </w:rPr>
              <w:t>100%</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32406B"/>
              </w:rPr>
              <w:t>Pharvaris, Inc.</w:t>
            </w: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32406B"/>
              </w:rPr>
              <w:t>Delaware</w:t>
            </w: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32406B"/>
              </w:rPr>
              <w:t>United States of America</w:t>
            </w: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32406B"/>
              </w:rPr>
              <w:t>100%</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32406B"/>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Pharvaris, Inc. and Pharvaris GmbH were incorporated on January 31, 2020 and March 27, 2020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The ultimate parent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 ultimate parent company of the Group is Pharvaris B.V., which is based in the Netherlands.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Major developments during the nine months ended September 30, 2020</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32406B"/>
        </w:rPr>
        <w:t>On January 31, 2020 the Group established Pharvaris, Inc. in the United States of America and on March 27, 2020 the Group established Pharvaris GmbH in Switzerland. Pharvaris, Inc. acts as a service provider to the principal Company of the Group. Pharvaris GmbH is the principal Company of the Group starting April 1, 2020. The principal Company faces the market/external parties and makes all operational group decisions.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32406B"/>
        </w:rPr>
        <w:t>In July 2020, the Group received a $41 million (equivalent of €35 million) Series B equity financing, with the same terms as the existing Series B financing.</w:t>
      </w:r>
    </w:p>
    <w:p>
      <w:pPr>
        <w:spacing w:after="0" w:line="266" w:lineRule="exact"/>
        <w:rPr>
          <w:sz w:val="20"/>
          <w:szCs w:val="20"/>
          <w:color w:val="auto"/>
        </w:rPr>
      </w:pPr>
    </w:p>
    <w:p>
      <w:pPr>
        <w:ind w:left="180" w:hanging="172"/>
        <w:spacing w:after="0"/>
        <w:tabs>
          <w:tab w:leader="none" w:pos="180" w:val="left"/>
        </w:tabs>
        <w:numPr>
          <w:ilvl w:val="0"/>
          <w:numId w:val="139"/>
        </w:numPr>
        <w:rPr>
          <w:rFonts w:ascii="Times New Roman" w:cs="Times New Roman" w:eastAsia="Times New Roman" w:hAnsi="Times New Roman"/>
          <w:sz w:val="18"/>
          <w:szCs w:val="18"/>
          <w:b w:val="1"/>
          <w:bCs w:val="1"/>
          <w:color w:val="32406B"/>
        </w:rPr>
      </w:pPr>
      <w:r>
        <w:rPr>
          <w:rFonts w:ascii="Times New Roman" w:cs="Times New Roman" w:eastAsia="Times New Roman" w:hAnsi="Times New Roman"/>
          <w:sz w:val="18"/>
          <w:szCs w:val="18"/>
          <w:b w:val="1"/>
          <w:bCs w:val="1"/>
          <w:color w:val="32406B"/>
        </w:rPr>
        <w:t>Summary of significant accounting policies</w:t>
      </w:r>
    </w:p>
    <w:p>
      <w:pPr>
        <w:spacing w:after="0" w:line="117" w:lineRule="exact"/>
        <w:rPr>
          <w:rFonts w:ascii="Times New Roman" w:cs="Times New Roman" w:eastAsia="Times New Roman" w:hAnsi="Times New Roman"/>
          <w:sz w:val="18"/>
          <w:szCs w:val="18"/>
          <w:b w:val="1"/>
          <w:bCs w:val="1"/>
          <w:color w:val="32406B"/>
        </w:rPr>
      </w:pPr>
    </w:p>
    <w:p>
      <w:pPr>
        <w:spacing w:after="0"/>
        <w:rPr>
          <w:rFonts w:ascii="Times New Roman" w:cs="Times New Roman" w:eastAsia="Times New Roman" w:hAnsi="Times New Roman"/>
          <w:sz w:val="18"/>
          <w:szCs w:val="18"/>
          <w:b w:val="1"/>
          <w:bCs w:val="1"/>
          <w:color w:val="32406B"/>
        </w:rPr>
      </w:pPr>
      <w:r>
        <w:rPr>
          <w:rFonts w:ascii="Times New Roman" w:cs="Times New Roman" w:eastAsia="Times New Roman" w:hAnsi="Times New Roman"/>
          <w:sz w:val="18"/>
          <w:szCs w:val="18"/>
          <w:b w:val="1"/>
          <w:bCs w:val="1"/>
          <w:color w:val="32406B"/>
        </w:rPr>
        <w:t>2.1 Basis of preparation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32406B"/>
        </w:rPr>
        <w:t>The unaudited condensed consolidated interim financial statements of the Group have been prepared in accordance with International Financial Reporting Standards (IFRS) as issued by the International Accounting Standards Board (IASB).</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F-32</w:t>
      </w:r>
    </w:p>
    <w:p>
      <w:pPr>
        <w:sectPr>
          <w:pgSz w:w="11900" w:h="16838" w:orient="portrait"/>
          <w:cols w:equalWidth="0" w:num="1">
            <w:col w:w="11240"/>
          </w:cols>
          <w:pgMar w:left="320" w:top="455" w:right="3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32406B"/>
        </w:rPr>
        <w:t>The unaudited condensed consolidated interim financial statements have been prepared in accordance with IAS 34 Interim Financial Reporting, and should be read in conjunction with the Group’s annual consolidated financial statements as at and for the year ended December 31, 2019 (‘last annual financial statements’). These unaudited condensed consolidated interim financial statements do not include all the information required for a complete set financial statements prepared in accordance with IFRS as issued by the IASB. However, selected explanatory notes are included to explain events and transactions that are significant to an understanding of the changes in the Group’s financial position and performance since the last annual financial statements.</w:t>
      </w:r>
    </w:p>
    <w:p>
      <w:pPr>
        <w:spacing w:after="0" w:line="183"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32406B"/>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2.2 Going concern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32406B"/>
        </w:rPr>
        <w:t>Pharvaris is a clinical-stage biopharmaceutical company focused on the development and commercialization of innovative therapies for rare diseases with significant unmet need, initially focused on angioedema. These therapies will need to go through clinical development trials to achieve regulatory approval for commercialization. Therefore, Pharvaris is incurring annual research and development and other operating costs and has no revenues to date (as is typical in the biotech industry for development stage and early commercial stage companies). As such, Pharvaris anticipates on-going negative operating cash flows for several years before the company has a product candidate ready for commercialization, if ever. This makes the Group dependent on external capital sources, being subsidies, debt capital and equity capital. The Group is currently fully financed by equity capital.</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32406B"/>
        </w:rPr>
        <w:t>As of September 30, 2020 and December 31, 2019, the Group had cash of €41.9 million and €20.3 million, respectively. The Group incurred net losses of €15.4 million and €4.6 million in the nine months ended September 30, 2020 and 2019, and negative operating cash flows of €12.6 million and €3.5million in the nine months ended September 30, 2020 and 2019 respectively.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2406B"/>
        </w:rPr>
        <w:t>On November 3, 2020, the Group signed a $80 million Series C equity financing against issuance of 5,826,279 preferred shares C, which was completed on November 5, 2020. The preferred shares C automatically convert into ordinary shares upon the consummation of a qualified Initial Public Offering, combination transaction or request of the investor majority. The holders of the outstanding preferred shares C are entitled to convert the preferred shares, at any time, without payment of additional consideration into ordinary shares at a conversion rate of 1:1, which conversion rate shall be adjusted so as to reflect this ratio after any amendment of the nominal value by means of any stock splits, reclassification of shares and similar events. No obligations were agreed upon in the shareholders’ agreements to make any redemption on a certain fixed date and to transfer an amount (dividend) independent of the entity’s available economic resources.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32406B"/>
        </w:rPr>
        <w:t>The Group does not expect positive operating cash flows in the foreseeable future and remains dependent on additional financings to fund its research and development expenses, general and administrative expenses and financing costs. However, the Group believes that the available cash balances and the completed Series B and Series C financing, are sufficient to execute the Group’s operating plan and strategies and to meet the anticipated working capital requirements and settle all expected liabilities for a period of at least twelve months after the issuance of these unaudited condensed consolidated interim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Accordingly, the unaudited condensed consolidated interim financial statements have been prepared on a going concern basis.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2406B"/>
        </w:rPr>
        <w:t>Impact of COVID-19</w:t>
      </w:r>
    </w:p>
    <w:p>
      <w:pPr>
        <w:spacing w:after="0" w:line="11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32406B"/>
        </w:rPr>
        <w:t>The outbreak of a novel strain of the coronavirus, specifically identified as “COVID-19”, has spread globally. COVID-19 is a virus causing potentially deadly respiratory tract infections and has impacted the global economy. In March 2020, the World Health Organization declared COVID-19 a pandemic.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32406B"/>
        </w:rPr>
        <w:t>F-33</w:t>
      </w:r>
    </w:p>
    <w:p>
      <w:pPr>
        <w:sectPr>
          <w:pgSz w:w="11900" w:h="16838" w:orient="portrait"/>
          <w:cols w:equalWidth="0" w:num="1">
            <w:col w:w="11220"/>
          </w:cols>
          <w:pgMar w:left="320" w:top="455" w:right="3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2406B"/>
        </w:rPr>
        <w:t>The Group has taken appropriate measures to protect the safety of the employees and continuously monitors and evaluates the situation regarding COVID-19. The impact of COVID-19 to date is limited. COVID-19 ultimately may impact the clinical trials, including potential delays and restrictions on the ability to recruit and retain patients, principal investigators, and healthcare employees. COVID-19 could also affect the operations of contract research organizations (CRO), or other contracted suppliers which may result in delays or disruptions in the supply of product candidates. The Group continuously monitors the situation regarding COVID-19, and the possible impact on the CROs, contract manufacturing organizations and clinical sites performing research and development activities for the Group. All efforts are made to develop alternatives to limit the impact of COVID-19 going forward.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2406B"/>
        </w:rPr>
        <w:t>Management expects that COVID-19 will have some impact on the Company’s business and operations, but this is not expected to have a material adverse effect on the financial condition or liquidity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2.3 Use of judgements and estimates</w:t>
      </w:r>
    </w:p>
    <w:p>
      <w:pPr>
        <w:spacing w:after="0" w:line="12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32406B"/>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32406B"/>
        </w:rPr>
        <w:t>The significant judgements made by management in applying the Group’s accounting policies and the key sources of estimation uncertainty were the same as those described in the last annual financial statements, except for the performance based share options granted, refer to note 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2.4 Change in significant accounting policies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32406B"/>
        </w:rPr>
        <w:t>Except as described below, the accounting policies applied in these unaudited condensed consolidated interim financial statements are the same as those applied in the last annual financial statements.</w:t>
      </w:r>
    </w:p>
    <w:p>
      <w:pPr>
        <w:spacing w:after="0" w:line="16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32406B"/>
        </w:rPr>
        <w:t>Changes in accounting policies are also expected to be reflected in the Group’s consolidated financial statements as at and for the year ending December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Foreign currency translation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406B"/>
        </w:rPr>
        <w:t>Transactions in foreign currencies are initially recorded by the Group’s entities at their respective functional currency spot rates at the date the transaction first qualifies for recognition.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Monetary assets and liabilities denominated in foreign currencies are translated at the functional currency spot rates of exchange at the reporting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Differences arising on settlement or translation of monetary items are recognized in profit or loss.</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32406B"/>
        </w:rPr>
        <w:t>Non-monetary items that are measured in terms of historical cost in a foreign currency are translated using the exchange rates at the dates of the initial transactions.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32406B"/>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in the unaudited condensed consolidated statements of profit or loss and other comprehensive income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Personnel expenses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32406B"/>
        </w:rPr>
        <w:t>Wages and salaries, social security contributions, paid leave and bonuses, and other employee benefits are recognized in the financial year in which the employee provide the associated services.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32406B"/>
        </w:rPr>
        <w:t>F-34</w:t>
      </w:r>
    </w:p>
    <w:p>
      <w:pPr>
        <w:sectPr>
          <w:pgSz w:w="11900" w:h="16838" w:orient="portrait"/>
          <w:cols w:equalWidth="0" w:num="1">
            <w:col w:w="11160"/>
          </w:cols>
          <w:pgMar w:left="320" w:top="455" w:right="4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32406B"/>
        </w:rPr>
        <w:t>The Group’s pension plans are classified as defined contribution plans, and, accordingly, no pension obligations are recognized in the unaudited condensed consolidated statements of financial position. Costs relating to defined contribution plans are included in the unaudited condensed consolidated statements of profit or loss and other comprehensive income (loss) in the period in which they are accrued and outstanding contributions are included in other payables.</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32406B"/>
        </w:rPr>
        <w:t>The accounting policies on personnel expenses do not reflect a change in the accounting policies. The accounting policies became applicable as the underlying transactions and balances are material for the Group in the nine months ended September 30,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Definition of a Business—Amendments to IFRS 3</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32406B"/>
        </w:rPr>
        <w:t>The IASB issued amendments to the definition of a business in IFRS 3 Business Combinations to help entities determine whether an acquired set of activities and assets is a business or not. They clarify the minimum requirements for a business, remove the assessment of whether market participants are capable of replacing any missing elements, add guidance to help entities assess whether an acquired process is substantive, narrow the definitions of a business and of outputs, and introduce an optional fair value concentration test. New illustrative examples were provided along with the amendments.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32406B"/>
        </w:rPr>
        <w:t>The amendments must be applied to transactions that are either business combinations or asset acquisitions for which the acquisition date is on or after the beginning of the first annual reporting period beginning on or after January 1, 2020. Consequently, entities do not have to revisit such transactions that occurred in prior periods. The Group has assessed amendments IFRS 3’s full impact and concludes that the amendments to the definition of a business in IFRS to have no impact on Group’s unaudited condensed consolidated interim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Definition of Material—Amendments to IAS 1 and IAS 8</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32406B"/>
        </w:rPr>
        <w:t>In October 2018, the IASB issued amendments to IAS 1 Presentation of Financial Statements and IAS 8 to align the definition of ‘material’ across the standards and to clarify certain aspects of the definition. The new definition states that, ‘Information is material if omitting, misstating or obscuring it could reasonably be expected to influence decisions that the primary users of general purpose financial statements make on the basis of those financial statements, which provide financial information about a specific reporting entity.’</w:t>
      </w:r>
    </w:p>
    <w:p>
      <w:pPr>
        <w:spacing w:after="0" w:line="1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32406B"/>
        </w:rPr>
        <w:t>The amendments clarify that materiality will depend on the nature or magnitude of information, or both. An entity will need to assess whether the information, either individually or in combination with other information, is material in the context of the financial statements.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32406B"/>
        </w:rPr>
        <w:t>Although the amendments to the definition of material is not expected to have a significant impact on an entity’s financial statements, the introduction of the term ‘obscuring information’ in the definition could potentially impact how materiality judgements are made in practice, by elevating the importance of how information is communicated and organised in the financial statements.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32406B"/>
        </w:rPr>
        <w:t>The amendments are effective for annual periods beginning on or after January 1, 2020. The amendments must be applied prospectively. The Group has assessed amendments IAS 1 and IAS 8’s full impact and concludes that the amendments have no material effect on the Group’s unaudited condensed consolidated interim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IFRS 16 Leases: COVID-19-Related Rent Concessions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32406B"/>
        </w:rPr>
        <w:t>In May 2020, the International Accounting Standards Board (Board) issued COVID-19-Related Rent Concessions, which amended IFRS 16 Leases. The amendment permits lessees, as a practical expedient, not to assess whether particular rent concessions occurring as a direct consequence of the COVID-19 pandemic are lease modifications and instead to account for those rent concessions as if they are not lease modifications. The amendment became effective on June 30, 2020. The Group has assessed the amendment of IFRS 16 Leases’ full impact and concludes that the amendment has had no effect on the Group’s unaudited condensed consolidated financial interim statements.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32406B"/>
        </w:rPr>
        <w:t>F-35</w:t>
      </w:r>
    </w:p>
    <w:p>
      <w:pPr>
        <w:sectPr>
          <w:pgSz w:w="11900" w:h="16838" w:orient="portrait"/>
          <w:cols w:equalWidth="0" w:num="1">
            <w:col w:w="11200"/>
          </w:cols>
          <w:pgMar w:left="320" w:top="455" w:right="37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3. Research and development expenses</w:t>
      </w:r>
    </w:p>
    <w:p>
      <w:pPr>
        <w:spacing w:after="0" w:line="25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32406B"/>
        </w:rPr>
        <w:t>For the nine months ended</w:t>
      </w:r>
    </w:p>
    <w:p>
      <w:pPr>
        <w:jc w:val="center"/>
        <w:ind w:left="8600"/>
        <w:spacing w:after="0" w:line="236" w:lineRule="auto"/>
        <w:rPr>
          <w:sz w:val="20"/>
          <w:szCs w:val="20"/>
          <w:color w:val="auto"/>
        </w:rPr>
      </w:pPr>
      <w:r>
        <w:rPr>
          <w:rFonts w:ascii="Times New Roman" w:cs="Times New Roman" w:eastAsia="Times New Roman" w:hAnsi="Times New Roman"/>
          <w:sz w:val="14"/>
          <w:szCs w:val="14"/>
          <w:color w:val="32406B"/>
        </w:rPr>
        <w:t>September 30</w:t>
      </w:r>
    </w:p>
    <w:tbl>
      <w:tblPr>
        <w:tblLayout w:type="fixed"/>
        <w:tblInd w:w="0" w:type="dxa"/>
        <w:tblCellMar>
          <w:top w:w="0" w:type="dxa"/>
          <w:left w:w="0" w:type="dxa"/>
          <w:bottom w:w="0" w:type="dxa"/>
          <w:right w:w="0" w:type="dxa"/>
        </w:tblCellMar>
      </w:tblPr>
      <w:tr>
        <w:trPr>
          <w:trHeight w:val="142"/>
        </w:trPr>
        <w:tc>
          <w:tcPr>
            <w:tcW w:w="876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color w:val="32406B"/>
              </w:rPr>
              <w:t>2020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32406B"/>
              </w:rPr>
              <w:t>2019</w:t>
            </w:r>
          </w:p>
        </w:tc>
        <w:tc>
          <w:tcPr>
            <w:tcW w:w="140" w:type="dxa"/>
            <w:vAlign w:val="bottom"/>
          </w:tcPr>
          <w:p>
            <w:pPr>
              <w:spacing w:after="0"/>
              <w:rPr>
                <w:sz w:val="12"/>
                <w:szCs w:val="12"/>
                <w:color w:val="auto"/>
              </w:rPr>
            </w:pPr>
          </w:p>
        </w:tc>
      </w:tr>
      <w:tr>
        <w:trPr>
          <w:trHeight w:val="142"/>
        </w:trPr>
        <w:tc>
          <w:tcPr>
            <w:tcW w:w="87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40" w:type="dxa"/>
            <w:vAlign w:val="bottom"/>
          </w:tcPr>
          <w:p>
            <w:pPr>
              <w:spacing w:after="0"/>
              <w:rPr>
                <w:sz w:val="12"/>
                <w:szCs w:val="12"/>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 (Note 5)</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(1,677,630)</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(69,417)</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32406B"/>
              </w:rPr>
              <w:t>Clinical expenses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(5,293,514)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(886,152)</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Pre-clinical expenses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(2,065,658)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(1,056,826)</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32406B"/>
              </w:rPr>
              <w:t>Manufacturing costs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(2,624,638)</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(830,088)</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License costs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32406B"/>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(300,000)</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32406B"/>
              </w:rPr>
              <w:t>Intellectual Property costs</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(136,546)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(12,394)</w:t>
            </w:r>
          </w:p>
        </w:tc>
      </w:tr>
      <w:tr>
        <w:trPr>
          <w:trHeight w:val="27"/>
        </w:trPr>
        <w:tc>
          <w:tcPr>
            <w:tcW w:w="87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Total research and development expenses</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(11,797,986)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(3,154,877)</w:t>
            </w:r>
          </w:p>
        </w:tc>
      </w:tr>
      <w:tr>
        <w:trPr>
          <w:trHeight w:val="20"/>
        </w:trPr>
        <w:tc>
          <w:tcPr>
            <w:tcW w:w="8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32406B"/>
        </w:rPr>
        <w:t>Development expenses are currently not capitalized but are recorded in the unaudited condensed consolidated statements of profit or loss and other comprehensive income or loss because the recognition criteria for capitalization are not met.</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32406B"/>
        </w:rPr>
        <w:t>Clinical expenses include costs of conducting and managing our sponsored clinical trials, including clinical investigator cost, costs of clinical sites, and costs for CRO’s assisting with our clinical development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Pre-clinical expenses include costs of our outsourced discovery, preclinical and nonclinical development studies.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4. General and administrative expenses</w:t>
      </w:r>
    </w:p>
    <w:p>
      <w:pPr>
        <w:spacing w:after="0" w:line="252"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color w:val="32406B"/>
        </w:rPr>
        <w:t>For the nine months ended</w:t>
      </w:r>
    </w:p>
    <w:p>
      <w:pPr>
        <w:jc w:val="center"/>
        <w:ind w:left="8700"/>
        <w:spacing w:after="0" w:line="236" w:lineRule="auto"/>
        <w:rPr>
          <w:sz w:val="20"/>
          <w:szCs w:val="20"/>
          <w:color w:val="auto"/>
        </w:rPr>
      </w:pPr>
      <w:r>
        <w:rPr>
          <w:rFonts w:ascii="Times New Roman" w:cs="Times New Roman" w:eastAsia="Times New Roman" w:hAnsi="Times New Roman"/>
          <w:sz w:val="14"/>
          <w:szCs w:val="14"/>
          <w:color w:val="32406B"/>
        </w:rPr>
        <w:t>September 30</w:t>
      </w:r>
    </w:p>
    <w:tbl>
      <w:tblPr>
        <w:tblLayout w:type="fixed"/>
        <w:tblInd w:w="0" w:type="dxa"/>
        <w:tblCellMar>
          <w:top w:w="0" w:type="dxa"/>
          <w:left w:w="0" w:type="dxa"/>
          <w:bottom w:w="0" w:type="dxa"/>
          <w:right w:w="0" w:type="dxa"/>
        </w:tblCellMar>
      </w:tblPr>
      <w:tr>
        <w:trPr>
          <w:trHeight w:val="142"/>
        </w:trPr>
        <w:tc>
          <w:tcPr>
            <w:tcW w:w="886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color w:val="32406B"/>
              </w:rPr>
              <w:t>2020</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32406B"/>
              </w:rPr>
              <w:t>2019</w:t>
            </w:r>
          </w:p>
        </w:tc>
        <w:tc>
          <w:tcPr>
            <w:tcW w:w="140" w:type="dxa"/>
            <w:vAlign w:val="bottom"/>
          </w:tcPr>
          <w:p>
            <w:pPr>
              <w:spacing w:after="0"/>
              <w:rPr>
                <w:sz w:val="12"/>
                <w:szCs w:val="12"/>
                <w:color w:val="auto"/>
              </w:rPr>
            </w:pPr>
          </w:p>
        </w:tc>
      </w:tr>
      <w:tr>
        <w:trPr>
          <w:trHeight w:val="142"/>
        </w:trPr>
        <w:tc>
          <w:tcPr>
            <w:tcW w:w="88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40" w:type="dxa"/>
            <w:vAlign w:val="bottom"/>
          </w:tcPr>
          <w:p>
            <w:pPr>
              <w:spacing w:after="0"/>
              <w:rPr>
                <w:sz w:val="12"/>
                <w:szCs w:val="12"/>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expenses (Note 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(708,645)</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(12,117)</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Consulting fees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(732,915)</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(796,447)</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Professional fees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(656,798)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(175,937)</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Accounting, Tax- and auditing fees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(778,696)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(134,606)</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Facilities, communication &amp; office expenses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(419,879)</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(78,100)</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32406B"/>
              </w:rPr>
              <w:t>Travel expenses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2406B"/>
              </w:rPr>
              <w:t>(25,161)</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rPr>
              <w:t>(143,232)</w:t>
            </w: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expenses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2406B"/>
              </w:rPr>
              <w:t>(125,114)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rPr>
              <w:t>(69,533)</w:t>
            </w:r>
          </w:p>
        </w:tc>
      </w:tr>
      <w:tr>
        <w:trPr>
          <w:trHeight w:val="223"/>
        </w:trPr>
        <w:tc>
          <w:tcPr>
            <w:tcW w:w="8860" w:type="dxa"/>
            <w:vAlign w:val="bottom"/>
          </w:tcPr>
          <w:p>
            <w:pPr>
              <w:spacing w:after="0"/>
              <w:rPr>
                <w:sz w:val="20"/>
                <w:szCs w:val="20"/>
                <w:color w:val="auto"/>
              </w:rPr>
            </w:pPr>
            <w:r>
              <w:rPr>
                <w:rFonts w:ascii="Times New Roman" w:cs="Times New Roman" w:eastAsia="Times New Roman" w:hAnsi="Times New Roman"/>
                <w:sz w:val="18"/>
                <w:szCs w:val="18"/>
                <w:b w:val="1"/>
                <w:bCs w:val="1"/>
                <w:color w:val="32406B"/>
              </w:rPr>
              <w:t>Total general and administrative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(3,447,208)</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(1,409,972)</w:t>
            </w:r>
          </w:p>
        </w:tc>
        <w:tc>
          <w:tcPr>
            <w:tcW w:w="14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32406B"/>
        </w:rPr>
        <w:t>In 2020 the Group entered into a number of lease arrangements, which were assessed to be short-term leases (with a lease term of 12 months equalling its non-cancellable period). The total outflow for the leases in 2020 was €101,002 (2019: €25,009) and is included in the Facilities, communication &amp; office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Depreciation expense of €4,818 (2019: €107) related to property, plant and equipment is included in the other expenses.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32406B"/>
        </w:rPr>
        <w:t>F-36</w:t>
      </w:r>
    </w:p>
    <w:p>
      <w:pPr>
        <w:sectPr>
          <w:pgSz w:w="11900" w:h="16838" w:orient="portrait"/>
          <w:cols w:equalWidth="0" w:num="1">
            <w:col w:w="11240"/>
          </w:cols>
          <w:pgMar w:left="320" w:top="455" w:right="3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5. Personnel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0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32406B"/>
              </w:rPr>
              <w:t>For the nine months ended</w:t>
            </w:r>
          </w:p>
        </w:tc>
      </w:tr>
      <w:tr>
        <w:trPr>
          <w:trHeight w:val="171"/>
        </w:trPr>
        <w:tc>
          <w:tcPr>
            <w:tcW w:w="920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4"/>
                <w:szCs w:val="14"/>
                <w:color w:val="32406B"/>
              </w:rPr>
              <w:t>September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200" w:type="dxa"/>
            <w:vAlign w:val="bottom"/>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color w:val="32406B"/>
              </w:rPr>
              <w:t>2020</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32406B"/>
              </w:rPr>
              <w:t>2019</w:t>
            </w:r>
          </w:p>
        </w:tc>
        <w:tc>
          <w:tcPr>
            <w:tcW w:w="140" w:type="dxa"/>
            <w:vAlign w:val="bottom"/>
          </w:tcPr>
          <w:p>
            <w:pPr>
              <w:spacing w:after="0"/>
              <w:rPr>
                <w:sz w:val="12"/>
                <w:szCs w:val="12"/>
                <w:color w:val="auto"/>
              </w:rPr>
            </w:pPr>
          </w:p>
        </w:tc>
      </w:tr>
      <w:tr>
        <w:trPr>
          <w:trHeight w:val="142"/>
        </w:trPr>
        <w:tc>
          <w:tcPr>
            <w:tcW w:w="920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140" w:type="dxa"/>
            <w:vAlign w:val="bottom"/>
          </w:tcPr>
          <w:p>
            <w:pPr>
              <w:spacing w:after="0"/>
              <w:rPr>
                <w:sz w:val="12"/>
                <w:szCs w:val="1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Wages and salaries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(1,190,877)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32406B"/>
              </w:rPr>
              <w:t>Pension charges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(46,246)</w:t>
            </w:r>
          </w:p>
        </w:tc>
        <w:tc>
          <w:tcPr>
            <w:tcW w:w="1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social security charges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(98,728)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32406B"/>
              </w:rPr>
              <w:t>(1,050,424)</w:t>
            </w:r>
          </w:p>
        </w:tc>
        <w:tc>
          <w:tcPr>
            <w:tcW w:w="1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2406B"/>
                <w:w w:val="94"/>
              </w:rPr>
              <w:t>(81,534)</w:t>
            </w:r>
          </w:p>
        </w:tc>
      </w:tr>
      <w:tr>
        <w:trPr>
          <w:trHeight w:val="27"/>
        </w:trPr>
        <w:tc>
          <w:tcPr>
            <w:tcW w:w="9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2406B"/>
              </w:rPr>
              <w:t>(2,386,275)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2406B"/>
                <w:w w:val="94"/>
              </w:rPr>
              <w:t>(81,534)</w:t>
            </w:r>
          </w:p>
        </w:tc>
      </w:tr>
    </w:tbl>
    <w:p>
      <w:pPr>
        <w:spacing w:after="0" w:line="19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2406B"/>
        </w:rPr>
        <w:t>The average number of staff (in FTEs) employed by the Group in the nine months ended September 30, 2020 was 6 (2019: 0). No employees were employed by the Group in nine months ended September 30, 2019, as the Group had contracted consultants for the operations in that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6. Income taxes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32406B"/>
        </w:rPr>
        <w:t>No tax charge or income has been recognized in the nine months ended September 30, 2020 and 2019 since the Group is in a loss-making position and has a history of losses. Pharvaris B.V. is the head of the fiscal unity including Pharvaris Netherlands B.V. and Pharvaris Holdings B.V.</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32406B"/>
        </w:rPr>
        <w:t>The Group has tax loss carry-forwards of approximately €19.9 million and €5.9 million at September 30, 2020 and December 31, 2019 respectively. The Group has tax losses that are available for offsetting against future taxable profits of the companies in which the losses arose. Under Dutch tax law, for years prior to 2019, profits in a given year can be offset against tax loss carry forwards for up to nine years. In 2019, the Dutch tax law was revised to limit the carry forward period to six years. Under Swiss law, losses can be offset against future income or capital gains for seven years.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32406B"/>
        </w:rPr>
        <w:t>Deferred tax assets on tax loss carry forwards and deductible temporary differences in excess of taxable temporary differences have not been recognized as management concluded that there is not sufficient probability as per IAS 12 that there will be future taxable profits available in the foreseeable future against which the unused tax losses can be utilized.</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2406B"/>
        </w:rPr>
        <w:t>The total unrecognized deferred tax assets from temporary differences amounts to €3.2 million and €2.9 million at September 30, 2020 and December 31, 2019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7. Property, plant and equipment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32406B"/>
              </w:rPr>
              <w:t>Notes</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32406B"/>
                <w:w w:val="99"/>
              </w:rPr>
              <w:t>Office equipment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32406B"/>
              </w:rPr>
              <w:t>Total</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20" w:type="dxa"/>
            <w:vAlign w:val="bottom"/>
            <w:tcBorders>
              <w:top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520" w:type="dxa"/>
            <w:vAlign w:val="bottom"/>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January 1, 2020</w:t>
            </w:r>
          </w:p>
        </w:tc>
        <w:tc>
          <w:tcPr>
            <w:tcW w:w="5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32406B"/>
              </w:rPr>
              <w:t>Opening net book amount</w:t>
            </w:r>
          </w:p>
        </w:tc>
        <w:tc>
          <w:tcPr>
            <w:tcW w:w="514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32406B"/>
              </w:rPr>
              <w:t>12,927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32406B"/>
              </w:rPr>
              <w:t>12,927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Additions</w:t>
            </w:r>
          </w:p>
        </w:tc>
        <w:tc>
          <w:tcPr>
            <w:tcW w:w="5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32406B"/>
              </w:rPr>
              <w:t>35,657</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35,657</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32406B"/>
              </w:rPr>
              <w:t>Depreciation expense</w:t>
            </w:r>
          </w:p>
        </w:tc>
        <w:tc>
          <w:tcPr>
            <w:tcW w:w="51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32406B"/>
              </w:rPr>
              <w:t>4</w:t>
            </w: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32406B"/>
              </w:rPr>
              <w:t>(4,818)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2406B"/>
              </w:rPr>
              <w:t>(4,818)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Balance at September 30, 2020</w:t>
            </w:r>
          </w:p>
        </w:tc>
        <w:tc>
          <w:tcPr>
            <w:tcW w:w="51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43,766</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32406B"/>
              </w:rPr>
              <w:t>Balance at September 30, 2020</w:t>
            </w:r>
          </w:p>
        </w:tc>
        <w:tc>
          <w:tcPr>
            <w:tcW w:w="5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5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Cost</w:t>
            </w:r>
          </w:p>
        </w:tc>
        <w:tc>
          <w:tcPr>
            <w:tcW w:w="5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32406B"/>
              </w:rPr>
              <w:t>49,133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2406B"/>
              </w:rPr>
              <w:t>49,133</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32406B"/>
              </w:rPr>
              <w:t>Accumulated depreciation</w:t>
            </w:r>
          </w:p>
        </w:tc>
        <w:tc>
          <w:tcPr>
            <w:tcW w:w="514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32406B"/>
              </w:rPr>
              <w:t>(5,367)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2406B"/>
              </w:rPr>
              <w:t>(5,367)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2406B"/>
              </w:rPr>
              <w:t>Net book amount</w:t>
            </w:r>
          </w:p>
        </w:tc>
        <w:tc>
          <w:tcPr>
            <w:tcW w:w="514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43,766</w:t>
            </w:r>
          </w:p>
        </w:tc>
        <w:tc>
          <w:tcPr>
            <w:tcW w:w="5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43,766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140" w:type="dxa"/>
            <w:vAlign w:val="bottom"/>
            <w:vMerge w:val="restart"/>
          </w:tcPr>
          <w:p>
            <w:pPr>
              <w:jc w:val="right"/>
              <w:ind w:right="3156"/>
              <w:spacing w:after="0"/>
              <w:rPr>
                <w:sz w:val="20"/>
                <w:szCs w:val="20"/>
                <w:color w:val="auto"/>
              </w:rPr>
            </w:pPr>
            <w:r>
              <w:rPr>
                <w:rFonts w:ascii="Times New Roman" w:cs="Times New Roman" w:eastAsia="Times New Roman" w:hAnsi="Times New Roman"/>
                <w:sz w:val="18"/>
                <w:szCs w:val="18"/>
                <w:color w:val="32406B"/>
              </w:rPr>
              <w:t>F-37</w:t>
            </w: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32406B"/>
        </w:rPr>
        <w:t>During the nine months ended September 30, 2020, the Group acquired assets with a cost of €35,657 (December 31, 2019: €13,467). The acquisitions during the nine months ended September 30, 2020 and 2019 were related to equipment, tools and installations.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8. Receivables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Times New Roman" w:cs="Times New Roman" w:eastAsia="Times New Roman" w:hAnsi="Times New Roman"/>
                <w:sz w:val="14"/>
                <w:szCs w:val="14"/>
                <w:color w:val="32406B"/>
              </w:rPr>
              <w:t>September 30, 2020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32406B"/>
                <w:w w:val="99"/>
              </w:rPr>
              <w:t>December 31, 2019</w:t>
            </w:r>
          </w:p>
        </w:tc>
      </w:tr>
      <w:tr>
        <w:trPr>
          <w:trHeight w:val="142"/>
        </w:trPr>
        <w:tc>
          <w:tcPr>
            <w:tcW w:w="8100" w:type="dxa"/>
            <w:vAlign w:val="bottom"/>
          </w:tcPr>
          <w:p>
            <w:pPr>
              <w:spacing w:after="0"/>
              <w:rPr>
                <w:sz w:val="12"/>
                <w:szCs w:val="12"/>
                <w:color w:val="auto"/>
              </w:rPr>
            </w:pPr>
          </w:p>
        </w:tc>
        <w:tc>
          <w:tcPr>
            <w:tcW w:w="1160" w:type="dxa"/>
            <w:vAlign w:val="bottom"/>
            <w:tcBorders>
              <w:top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800" w:type="dxa"/>
            <w:vAlign w:val="bottom"/>
            <w:gridSpan w:val="2"/>
          </w:tcPr>
          <w:p>
            <w:pPr>
              <w:spacing w:after="0"/>
              <w:rPr>
                <w:sz w:val="12"/>
                <w:szCs w:val="12"/>
                <w:color w:val="auto"/>
              </w:rPr>
            </w:pPr>
          </w:p>
        </w:tc>
        <w:tc>
          <w:tcPr>
            <w:tcW w:w="112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6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Prepayments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504,438</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47,536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32406B"/>
              </w:rPr>
              <w:t>VAT receivables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302,571</w:t>
            </w:r>
          </w:p>
        </w:tc>
        <w:tc>
          <w:tcPr>
            <w:tcW w:w="7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210,843</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Other assets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255,000</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r>
      <w:tr>
        <w:trPr>
          <w:trHeight w:val="223"/>
        </w:trPr>
        <w:tc>
          <w:tcPr>
            <w:tcW w:w="8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1,062,009</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258,379</w:t>
            </w:r>
          </w:p>
        </w:tc>
        <w:tc>
          <w:tcPr>
            <w:tcW w:w="6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Prepayments mainly relates to prepaid retention bonus to personnel, prepaid rent, insurance and general and administrative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Other assets consist of deferred transaction costs related to Group’s Series C preferred shares financing and in-process equity financing.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9. 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Cash and cash equivalents comprise of cash in bank and are not subject to any restriction.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10.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Issued shares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32406B"/>
              </w:rPr>
              <w:t>September 30, 2020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32406B"/>
                <w:w w:val="99"/>
              </w:rPr>
              <w:t>December 31, 2019</w:t>
            </w:r>
          </w:p>
        </w:tc>
      </w:tr>
      <w:tr>
        <w:trPr>
          <w:trHeight w:val="209"/>
        </w:trPr>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Preferred shares A</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5,242,850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5,242,850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32406B"/>
              </w:rPr>
              <w:t>Preferred shares B</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32406B"/>
              </w:rPr>
              <w:t>7,650,147</w:t>
            </w:r>
          </w:p>
        </w:tc>
        <w:tc>
          <w:tcPr>
            <w:tcW w:w="6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3,003,391</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Ordinary shares</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4,850,000</w:t>
            </w:r>
          </w:p>
        </w:tc>
        <w:tc>
          <w:tcPr>
            <w:tcW w:w="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4,850,000</w:t>
            </w:r>
          </w:p>
        </w:tc>
      </w:tr>
      <w:tr>
        <w:trPr>
          <w:trHeight w:val="223"/>
        </w:trPr>
        <w:tc>
          <w:tcPr>
            <w:tcW w:w="8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17,742,997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13,096,241</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32406B"/>
        </w:rPr>
        <w:t>During the nine months ended September 30, 2020, the Company issued 4,646,576 Series B preferred shares to the existing and new investors upon completion of milestones. Each share has a par value of €0.01. As a result the issued capital of Group was increased by €46,468 and the share premium was increased by €34,199,813, net of transaction costs during the nine months ended September 30, 2020.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11. Trade and other payables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color w:val="32406B"/>
              </w:rPr>
              <w:t>September 30, 2020</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32406B"/>
              </w:rPr>
              <w:t>December 31, 2019</w:t>
            </w:r>
          </w:p>
        </w:tc>
      </w:tr>
      <w:tr>
        <w:trPr>
          <w:trHeight w:val="142"/>
        </w:trPr>
        <w:tc>
          <w:tcPr>
            <w:tcW w:w="39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60" w:type="dxa"/>
            <w:vAlign w:val="bottom"/>
            <w:tcBorders>
              <w:top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80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6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Trade payables</w:t>
            </w:r>
          </w:p>
        </w:tc>
        <w:tc>
          <w:tcPr>
            <w:tcW w:w="614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32406B"/>
              </w:rPr>
              <w:t>2,729,473</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509,948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32406B"/>
              </w:rPr>
              <w:t>Tax and social security liabilities</w:t>
            </w:r>
          </w:p>
        </w:tc>
        <w:tc>
          <w:tcPr>
            <w:tcW w:w="4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32406B"/>
              </w:rPr>
              <w:t>90,121</w:t>
            </w:r>
          </w:p>
        </w:tc>
        <w:tc>
          <w:tcPr>
            <w:tcW w:w="8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7,823</w:t>
            </w:r>
          </w:p>
        </w:tc>
      </w:tr>
      <w:tr>
        <w:trPr>
          <w:trHeight w:val="27"/>
        </w:trPr>
        <w:tc>
          <w:tcPr>
            <w:tcW w:w="39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2,819,594</w:t>
            </w:r>
          </w:p>
        </w:tc>
        <w:tc>
          <w:tcPr>
            <w:tcW w:w="8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517,771</w:t>
            </w:r>
          </w:p>
        </w:tc>
      </w:tr>
      <w:tr>
        <w:trPr>
          <w:trHeight w:val="20"/>
        </w:trPr>
        <w:tc>
          <w:tcPr>
            <w:tcW w:w="39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614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32406B"/>
              </w:rPr>
              <w:t>F-38</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12. Accrued liabilities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18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32406B"/>
              </w:rPr>
              <w:t>September 30, 2020</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32406B"/>
              </w:rPr>
              <w:t>December 31, 2019</w:t>
            </w:r>
          </w:p>
        </w:tc>
      </w:tr>
      <w:tr>
        <w:trPr>
          <w:trHeight w:val="142"/>
        </w:trPr>
        <w:tc>
          <w:tcPr>
            <w:tcW w:w="818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72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60" w:type="dxa"/>
            <w:vAlign w:val="bottom"/>
          </w:tcPr>
          <w:p>
            <w:pPr>
              <w:spacing w:after="0"/>
              <w:rPr>
                <w:sz w:val="12"/>
                <w:szCs w:val="12"/>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Consulting and accounting fee accruals</w:t>
            </w:r>
          </w:p>
        </w:tc>
        <w:tc>
          <w:tcPr>
            <w:tcW w:w="1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32406B"/>
              </w:rPr>
              <w:t>665,854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436,768</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32406B"/>
              </w:rPr>
              <w:t>Clinical accrued liabilities</w:t>
            </w: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32406B"/>
              </w:rPr>
              <w:t>522,180</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357,719</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Manufacturing accrued liabilities</w:t>
            </w:r>
          </w:p>
        </w:tc>
        <w:tc>
          <w:tcPr>
            <w:tcW w:w="1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32406B"/>
              </w:rPr>
              <w:t>205,025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283,115</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32406B"/>
              </w:rPr>
              <w:t>Pre-clinical accrued liabilities</w:t>
            </w: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32406B"/>
              </w:rPr>
              <w:t>53,333</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275,460</w:t>
            </w: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Personnel related accruals</w:t>
            </w:r>
          </w:p>
        </w:tc>
        <w:tc>
          <w:tcPr>
            <w:tcW w:w="1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32406B"/>
              </w:rPr>
              <w:t>98,143</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32406B"/>
              </w:rPr>
              <w:t>Other accrued liabilities</w:t>
            </w: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32406B"/>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53,297</w:t>
            </w:r>
          </w:p>
        </w:tc>
      </w:tr>
      <w:tr>
        <w:trPr>
          <w:trHeight w:val="27"/>
        </w:trPr>
        <w:tc>
          <w:tcPr>
            <w:tcW w:w="81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32406B"/>
              </w:rPr>
              <w:t>1,544,535</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1,406,359</w:t>
            </w:r>
          </w:p>
        </w:tc>
      </w:tr>
      <w:tr>
        <w:trPr>
          <w:trHeight w:val="20"/>
        </w:trPr>
        <w:tc>
          <w:tcPr>
            <w:tcW w:w="8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13. Risk management activities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32406B"/>
        </w:rPr>
        <w:t>No changes have occurred regarding our risk management activities as disclosed in the notes to the consolidated financial statements as of December 31,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14. Fair values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32406B"/>
        </w:rPr>
        <w:t>Fair values of cash and cash equivalents, trade receivables, trade payables, and other current liabilities approximate their carrying amounts largely due to the short-term maturities of these instruments.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15. Share-based payments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32406B"/>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Set out below is an overview of changes in the Stock Options and RSUs during the nine months ended September 30,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1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color w:val="32406B"/>
              </w:rPr>
              <w:t>Stock Options</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32406B"/>
              </w:rPr>
              <w:t>RSUs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4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32406B"/>
              </w:rPr>
              <w:t>Weighted</w:t>
            </w:r>
          </w:p>
        </w:tc>
        <w:tc>
          <w:tcPr>
            <w:tcW w:w="3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32406B"/>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color w:val="32406B"/>
              </w:rPr>
              <w:t>Outstanding</w:t>
            </w: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32406B"/>
              </w:rPr>
              <w:t>average</w:t>
            </w: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32406B"/>
              </w:rPr>
              <w:t>Outstanding</w:t>
            </w: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32406B"/>
              </w:rPr>
              <w:t>average</w:t>
            </w:r>
          </w:p>
        </w:tc>
        <w:tc>
          <w:tcPr>
            <w:tcW w:w="0" w:type="dxa"/>
            <w:vAlign w:val="bottom"/>
          </w:tcPr>
          <w:p>
            <w:pPr>
              <w:spacing w:after="0"/>
              <w:rPr>
                <w:sz w:val="1"/>
                <w:szCs w:val="1"/>
                <w:color w:val="auto"/>
              </w:rPr>
            </w:pPr>
          </w:p>
        </w:tc>
      </w:tr>
      <w:tr>
        <w:trPr>
          <w:trHeight w:val="148"/>
        </w:trPr>
        <w:tc>
          <w:tcPr>
            <w:tcW w:w="7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32406B"/>
              </w:rPr>
              <w:t>purchase</w:t>
            </w:r>
          </w:p>
        </w:tc>
        <w:tc>
          <w:tcPr>
            <w:tcW w:w="1100" w:type="dxa"/>
            <w:vAlign w:val="bottom"/>
            <w:gridSpan w:val="2"/>
            <w:vMerge w:val="continue"/>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32406B"/>
              </w:rPr>
              <w:t>purchase</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32406B"/>
              </w:rPr>
              <w:t>options</w:t>
            </w: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32406B"/>
                <w:w w:val="99"/>
              </w:rPr>
              <w:t>price</w:t>
            </w: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32406B"/>
              </w:rPr>
              <w:t>RSUs</w:t>
            </w: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32406B"/>
              </w:rPr>
              <w:t>price</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December 31,2019</w:t>
            </w: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32406B"/>
                <w:w w:val="95"/>
              </w:rPr>
              <w:t>392,850</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0.01</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25,290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32406B"/>
              </w:rPr>
              <w:t>Granted</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1,040,000</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2.38</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Exercised</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32406B"/>
              </w:rPr>
              <w:t>Forfeited</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32406B"/>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Outstanding September 30,2020</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1,432,850</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1.73</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32406B"/>
              </w:rPr>
              <w:t>25,290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0.01</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32406B"/>
        </w:rPr>
        <w:t>On January 1, 2020 the Company has granted a total of 600,000 stock options to members of key management with an exercise price of €2.38 per share with a final exercise date of December 31, 2029 unless forfeited or exercised on an earlier date. On February 3, 2020 a total of 308,000 share options was granted to a member of key management with an exercise price of €2.38 per share with a final exercise date of February 2, 2030 unless forfeited or exercised on an earlier date. 25% of the aggregate number of share options shall vest on the 12-month anniversary of the vesting commencement date, and thereafter 1/48th of the aggregate number of share options shall vest on each subsequent monthly anniversary of the vesting commencement date until either the option is fully vested or the option holders’ continuous service terminates.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F-39</w:t>
      </w:r>
    </w:p>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32406B"/>
        </w:rPr>
        <w:t>On February 3, 2020 a total of 132,000 share options was granted to a member of key management with an exercise price of €2.38 per share with a final exercise date of February 2, 2030 unless forfeited or exercised on an earlier date. Each of 2020, 2021, 2022 is a performance period. The Board of directors needs to determine the performance goals for the related performance period before September 30 of the respective year. On July 13, 2020 the performance goals for 2020 were determined and the fair value of the related options was reassessed for the options subject to the performance goals for 2020. The fair value of the options related to the performance periods 2021 and 2022 was reassessed on September 30, 2020. One-third of the aggregate number of share options shall vest on the last day of each performance period if (i) the performance condition for the applicable performance period is achieved, as determined by the Board, and (ii) option holder remains in continuous service through the last day of such performance period.</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32406B"/>
        </w:rPr>
        <w:t>For the nine months ended September 30, 2020, the Group has recognized €1,050,424 of share-based payment expense in the unaudited condensed consolidated statement of income or loss and other comprehensive income (loss) (nine month ended September 30, 2019: €81,534).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None of the granted Stock options and RSUs are vested as at September 30, 2020.</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32406B"/>
        </w:rPr>
        <w:t>As Pharvaris is a private company and the equity instruments are not marketable, an Option Pricing Model (‘OPM’), with estimated probabilities of two different exit scenarios (IPO and Trade Sale), was applied to back-solve the Company’s total equity value such that the value per preferred B and C share is equal to the investment price per share paid in the investment round, which has been used for the fair value per ordinary share at January 1, 2020 and February 3, 2020. This estimated total equity value has been used as input to the OPM when determining the fair value of the Company’s ordinary shares at the measurement dates. The OPM uses the Black-Scholes Option-Pricing Model to determine the fair value of the Company’s different share classes based upon the Company’s total equity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 inputs used in the measurement of the fair value per ordinary share at each grant/measurement date based upon the total equity value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48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32406B"/>
              </w:rPr>
              <w:t>September 30,</w:t>
            </w:r>
          </w:p>
        </w:tc>
        <w:tc>
          <w:tcPr>
            <w:tcW w:w="120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32406B"/>
              </w:rPr>
              <w:t>July 13,</w:t>
            </w:r>
          </w:p>
        </w:tc>
        <w:tc>
          <w:tcPr>
            <w:tcW w:w="140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32406B"/>
              </w:rPr>
              <w:t>February 3,</w:t>
            </w: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32406B"/>
              </w:rPr>
              <w:t>January 1,</w:t>
            </w:r>
          </w:p>
        </w:tc>
      </w:tr>
      <w:tr>
        <w:trPr>
          <w:trHeight w:val="171"/>
        </w:trPr>
        <w:tc>
          <w:tcPr>
            <w:tcW w:w="4080" w:type="dxa"/>
            <w:vAlign w:val="bottom"/>
          </w:tcPr>
          <w:p>
            <w:pPr>
              <w:spacing w:after="0"/>
              <w:rPr>
                <w:sz w:val="14"/>
                <w:szCs w:val="14"/>
                <w:color w:val="auto"/>
              </w:rPr>
            </w:pPr>
          </w:p>
        </w:tc>
        <w:tc>
          <w:tcPr>
            <w:tcW w:w="3480" w:type="dxa"/>
            <w:vAlign w:val="bottom"/>
          </w:tcPr>
          <w:p>
            <w:pPr>
              <w:jc w:val="right"/>
              <w:ind w:right="636"/>
              <w:spacing w:after="0"/>
              <w:rPr>
                <w:sz w:val="20"/>
                <w:szCs w:val="20"/>
                <w:color w:val="auto"/>
              </w:rPr>
            </w:pPr>
            <w:r>
              <w:rPr>
                <w:rFonts w:ascii="Times New Roman" w:cs="Times New Roman" w:eastAsia="Times New Roman" w:hAnsi="Times New Roman"/>
                <w:sz w:val="14"/>
                <w:szCs w:val="14"/>
                <w:color w:val="32406B"/>
              </w:rPr>
              <w:t>2020</w:t>
            </w: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color w:val="32406B"/>
              </w:rPr>
              <w:t>2020</w:t>
            </w:r>
          </w:p>
        </w:tc>
        <w:tc>
          <w:tcPr>
            <w:tcW w:w="1400" w:type="dxa"/>
            <w:vAlign w:val="bottom"/>
          </w:tcPr>
          <w:p>
            <w:pPr>
              <w:jc w:val="right"/>
              <w:ind w:right="556"/>
              <w:spacing w:after="0"/>
              <w:rPr>
                <w:sz w:val="20"/>
                <w:szCs w:val="20"/>
                <w:color w:val="auto"/>
              </w:rPr>
            </w:pPr>
            <w:r>
              <w:rPr>
                <w:rFonts w:ascii="Times New Roman" w:cs="Times New Roman" w:eastAsia="Times New Roman" w:hAnsi="Times New Roman"/>
                <w:sz w:val="14"/>
                <w:szCs w:val="14"/>
                <w:color w:val="32406B"/>
              </w:rPr>
              <w:t>2020</w:t>
            </w:r>
          </w:p>
        </w:tc>
        <w:tc>
          <w:tcPr>
            <w:tcW w:w="1080" w:type="dxa"/>
            <w:vAlign w:val="bottom"/>
          </w:tcPr>
          <w:p>
            <w:pPr>
              <w:jc w:val="right"/>
              <w:ind w:right="276"/>
              <w:spacing w:after="0"/>
              <w:rPr>
                <w:sz w:val="20"/>
                <w:szCs w:val="20"/>
                <w:color w:val="auto"/>
              </w:rPr>
            </w:pPr>
            <w:r>
              <w:rPr>
                <w:rFonts w:ascii="Times New Roman" w:cs="Times New Roman" w:eastAsia="Times New Roman" w:hAnsi="Times New Roman"/>
                <w:sz w:val="14"/>
                <w:szCs w:val="14"/>
                <w:color w:val="32406B"/>
              </w:rPr>
              <w:t>2020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Expected volatility (%)</w:t>
            </w:r>
          </w:p>
        </w:tc>
        <w:tc>
          <w:tcPr>
            <w:tcW w:w="34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32406B"/>
              </w:rPr>
              <w:t>90%</w:t>
            </w:r>
          </w:p>
        </w:tc>
        <w:tc>
          <w:tcPr>
            <w:tcW w:w="12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32406B"/>
              </w:rPr>
              <w:t>90%</w:t>
            </w:r>
          </w:p>
        </w:tc>
        <w:tc>
          <w:tcPr>
            <w:tcW w:w="1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32406B"/>
              </w:rPr>
              <w:t>80%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80%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32406B"/>
              </w:rPr>
              <w:t>Expected life (years)</w:t>
            </w:r>
          </w:p>
        </w:tc>
        <w:tc>
          <w:tcPr>
            <w:tcW w:w="34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1.6</w:t>
            </w: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1.6</w:t>
            </w: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3.0</w:t>
            </w: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32406B"/>
              </w:rPr>
              <w:t>3.0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Risk-free interest rate (%)</w:t>
            </w:r>
          </w:p>
        </w:tc>
        <w:tc>
          <w:tcPr>
            <w:tcW w:w="34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32406B"/>
              </w:rPr>
              <w:t>-0.8%</w:t>
            </w:r>
          </w:p>
        </w:tc>
        <w:tc>
          <w:tcPr>
            <w:tcW w:w="12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32406B"/>
              </w:rPr>
              <w:t>-0.8%</w:t>
            </w:r>
          </w:p>
        </w:tc>
        <w:tc>
          <w:tcPr>
            <w:tcW w:w="1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32406B"/>
              </w:rPr>
              <w:t>-0.6%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-0.6%</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32406B"/>
              </w:rPr>
              <w:t>Expected dividend yield</w:t>
            </w:r>
          </w:p>
        </w:tc>
        <w:tc>
          <w:tcPr>
            <w:tcW w:w="34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w:t>
            </w:r>
          </w:p>
        </w:tc>
        <w:tc>
          <w:tcPr>
            <w:tcW w:w="12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w:t>
            </w: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32406B"/>
              </w:rPr>
              <w:t>—</w:t>
            </w:r>
          </w:p>
        </w:tc>
        <w:tc>
          <w:tcPr>
            <w:tcW w:w="10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32406B"/>
              </w:rPr>
              <w:t>—</w:t>
            </w:r>
          </w:p>
        </w:tc>
      </w:tr>
    </w:tbl>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32406B"/>
        </w:rPr>
        <w:t>The inputs used in the measurement of the fair value per option at each grant/measurement date using the Black-Scholes formula (including the related number of options and the fair value of the options)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140" w:type="dxa"/>
            <w:vAlign w:val="bottom"/>
            <w:gridSpan w:val="2"/>
          </w:tcPr>
          <w:p>
            <w:pPr>
              <w:ind w:left="1860"/>
              <w:spacing w:after="0"/>
              <w:rPr>
                <w:sz w:val="20"/>
                <w:szCs w:val="20"/>
                <w:color w:val="auto"/>
              </w:rPr>
            </w:pPr>
            <w:r>
              <w:rPr>
                <w:rFonts w:ascii="Times New Roman" w:cs="Times New Roman" w:eastAsia="Times New Roman" w:hAnsi="Times New Roman"/>
                <w:sz w:val="14"/>
                <w:szCs w:val="14"/>
                <w:color w:val="32406B"/>
              </w:rPr>
              <w:t>September 30,</w:t>
            </w:r>
          </w:p>
        </w:tc>
        <w:tc>
          <w:tcPr>
            <w:tcW w:w="1300" w:type="dxa"/>
            <w:vAlign w:val="bottom"/>
            <w:gridSpan w:val="2"/>
          </w:tcPr>
          <w:p>
            <w:pPr>
              <w:jc w:val="right"/>
              <w:ind w:right="412"/>
              <w:spacing w:after="0"/>
              <w:rPr>
                <w:sz w:val="20"/>
                <w:szCs w:val="20"/>
                <w:color w:val="auto"/>
              </w:rPr>
            </w:pPr>
            <w:r>
              <w:rPr>
                <w:rFonts w:ascii="Times New Roman" w:cs="Times New Roman" w:eastAsia="Times New Roman" w:hAnsi="Times New Roman"/>
                <w:sz w:val="14"/>
                <w:szCs w:val="14"/>
                <w:color w:val="32406B"/>
              </w:rPr>
              <w:t>July 13,</w:t>
            </w: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32406B"/>
              </w:rPr>
              <w:t>February 3,</w:t>
            </w:r>
          </w:p>
        </w:tc>
        <w:tc>
          <w:tcPr>
            <w:tcW w:w="118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color w:val="32406B"/>
              </w:rPr>
              <w:t>January 1,</w:t>
            </w:r>
          </w:p>
        </w:tc>
      </w:tr>
      <w:tr>
        <w:trPr>
          <w:trHeight w:val="171"/>
        </w:trPr>
        <w:tc>
          <w:tcPr>
            <w:tcW w:w="4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tcPr>
          <w:p>
            <w:pPr>
              <w:jc w:val="right"/>
              <w:ind w:right="632"/>
              <w:spacing w:after="0"/>
              <w:rPr>
                <w:sz w:val="20"/>
                <w:szCs w:val="20"/>
                <w:color w:val="auto"/>
              </w:rPr>
            </w:pPr>
            <w:r>
              <w:rPr>
                <w:rFonts w:ascii="Times New Roman" w:cs="Times New Roman" w:eastAsia="Times New Roman" w:hAnsi="Times New Roman"/>
                <w:sz w:val="14"/>
                <w:szCs w:val="14"/>
                <w:color w:val="32406B"/>
              </w:rPr>
              <w:t>2020</w:t>
            </w:r>
          </w:p>
        </w:tc>
        <w:tc>
          <w:tcPr>
            <w:tcW w:w="380" w:type="dxa"/>
            <w:vAlign w:val="bottom"/>
          </w:tcPr>
          <w:p>
            <w:pPr>
              <w:spacing w:after="0"/>
              <w:rPr>
                <w:sz w:val="14"/>
                <w:szCs w:val="14"/>
                <w:color w:val="auto"/>
              </w:rPr>
            </w:pPr>
          </w:p>
        </w:tc>
        <w:tc>
          <w:tcPr>
            <w:tcW w:w="92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32406B"/>
              </w:rPr>
              <w:t>2020</w:t>
            </w:r>
          </w:p>
        </w:tc>
        <w:tc>
          <w:tcPr>
            <w:tcW w:w="380" w:type="dxa"/>
            <w:vAlign w:val="bottom"/>
          </w:tcPr>
          <w:p>
            <w:pPr>
              <w:spacing w:after="0"/>
              <w:rPr>
                <w:sz w:val="14"/>
                <w:szCs w:val="14"/>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color w:val="32406B"/>
              </w:rPr>
              <w:t>2020</w:t>
            </w:r>
          </w:p>
        </w:tc>
        <w:tc>
          <w:tcPr>
            <w:tcW w:w="38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32406B"/>
              </w:rPr>
              <w:t>2020</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Number of options</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32406B"/>
              </w:rPr>
              <w:t>88,000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32406B"/>
                <w:w w:val="92"/>
              </w:rPr>
              <w:t>44,000</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32406B"/>
                <w:w w:val="99"/>
              </w:rPr>
              <w:t>308,000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32406B"/>
                <w:w w:val="99"/>
              </w:rPr>
              <w:t>600,000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32406B"/>
              </w:rPr>
              <w:t>Fair value of the options</w:t>
            </w:r>
          </w:p>
        </w:tc>
        <w:tc>
          <w:tcPr>
            <w:tcW w:w="2040" w:type="dxa"/>
            <w:vAlign w:val="bottom"/>
          </w:tcPr>
          <w:p>
            <w:pPr>
              <w:ind w:left="186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6.08</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4.74</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32406B"/>
              </w:rPr>
              <w:t>1.66</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32406B"/>
              </w:rPr>
              <w:t>1.67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Fair value of the ordinary shares</w:t>
            </w:r>
          </w:p>
        </w:tc>
        <w:tc>
          <w:tcPr>
            <w:tcW w:w="204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32406B"/>
              </w:rPr>
              <w:t>7.25</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92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32406B"/>
              </w:rPr>
              <w:t>5.82</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10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32406B"/>
              </w:rPr>
              <w:t>2.38</w:t>
            </w:r>
          </w:p>
        </w:tc>
        <w:tc>
          <w:tcPr>
            <w:tcW w:w="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8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32406B"/>
              </w:rPr>
              <w:t>2.38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32406B"/>
              </w:rPr>
              <w:t>Exercise price</w:t>
            </w:r>
          </w:p>
        </w:tc>
        <w:tc>
          <w:tcPr>
            <w:tcW w:w="2040" w:type="dxa"/>
            <w:vAlign w:val="bottom"/>
          </w:tcPr>
          <w:p>
            <w:pPr>
              <w:ind w:left="1860"/>
              <w:spacing w:after="0"/>
              <w:rPr>
                <w:sz w:val="20"/>
                <w:szCs w:val="20"/>
                <w:color w:val="auto"/>
              </w:rPr>
            </w:pPr>
            <w:r>
              <w:rPr>
                <w:rFonts w:ascii="Times New Roman" w:cs="Times New Roman" w:eastAsia="Times New Roman" w:hAnsi="Times New Roman"/>
                <w:sz w:val="18"/>
                <w:szCs w:val="18"/>
                <w:color w:val="32406B"/>
              </w:rPr>
              <w:t>€</w:t>
            </w: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2.38</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2.38</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32406B"/>
              </w:rPr>
              <w:t>2.38</w:t>
            </w:r>
          </w:p>
        </w:tc>
        <w:tc>
          <w:tcPr>
            <w:tcW w:w="380" w:type="dxa"/>
            <w:vAlign w:val="bottom"/>
          </w:tcPr>
          <w:p>
            <w:pPr>
              <w:ind w:left="280"/>
              <w:spacing w:after="0"/>
              <w:rPr>
                <w:sz w:val="20"/>
                <w:szCs w:val="20"/>
                <w:color w:val="auto"/>
              </w:rPr>
            </w:pPr>
            <w:r>
              <w:rPr>
                <w:rFonts w:ascii="Times New Roman" w:cs="Times New Roman" w:eastAsia="Times New Roman" w:hAnsi="Times New Roman"/>
                <w:sz w:val="18"/>
                <w:szCs w:val="18"/>
                <w:color w:val="32406B"/>
                <w:w w:val="88"/>
              </w:rPr>
              <w:t>€</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32406B"/>
              </w:rPr>
              <w:t>2.38</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Expected volatility (%)</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85%</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85%</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85%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85%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32406B"/>
              </w:rPr>
              <w:t>Expected life (years)</w:t>
            </w:r>
          </w:p>
        </w:tc>
        <w:tc>
          <w:tcPr>
            <w:tcW w:w="2040" w:type="dxa"/>
            <w:vAlign w:val="bottom"/>
          </w:tcPr>
          <w:p>
            <w:pPr>
              <w:spacing w:after="0"/>
              <w:rPr>
                <w:sz w:val="18"/>
                <w:szCs w:val="18"/>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6.0</w:t>
            </w:r>
          </w:p>
        </w:tc>
        <w:tc>
          <w:tcPr>
            <w:tcW w:w="38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6.0</w:t>
            </w:r>
          </w:p>
        </w:tc>
        <w:tc>
          <w:tcPr>
            <w:tcW w:w="380" w:type="dxa"/>
            <w:vAlign w:val="bottom"/>
          </w:tcPr>
          <w:p>
            <w:pPr>
              <w:spacing w:after="0"/>
              <w:rPr>
                <w:sz w:val="18"/>
                <w:szCs w:val="18"/>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32406B"/>
              </w:rPr>
              <w:t>6.1</w:t>
            </w:r>
          </w:p>
        </w:tc>
        <w:tc>
          <w:tcPr>
            <w:tcW w:w="38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32406B"/>
              </w:rPr>
              <w:t>6.1</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Risk-free interest rate (%)</w:t>
            </w:r>
          </w:p>
        </w:tc>
        <w:tc>
          <w:tcPr>
            <w:tcW w:w="20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-0.6%</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-0.6%</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32406B"/>
              </w:rPr>
              <w:t>-0.6%</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-0.4%</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32406B"/>
              </w:rPr>
              <w:t>Expected dividend yield</w:t>
            </w:r>
          </w:p>
        </w:tc>
        <w:tc>
          <w:tcPr>
            <w:tcW w:w="2040" w:type="dxa"/>
            <w:vAlign w:val="bottom"/>
          </w:tcPr>
          <w:p>
            <w:pPr>
              <w:spacing w:after="0"/>
              <w:rPr>
                <w:sz w:val="20"/>
                <w:szCs w:val="20"/>
                <w:color w:val="auto"/>
              </w:rPr>
            </w:pPr>
          </w:p>
        </w:tc>
        <w:tc>
          <w:tcPr>
            <w:tcW w:w="11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w:t>
            </w:r>
          </w:p>
        </w:tc>
        <w:tc>
          <w:tcPr>
            <w:tcW w:w="380" w:type="dxa"/>
            <w:vAlign w:val="bottom"/>
          </w:tcPr>
          <w:p>
            <w:pPr>
              <w:spacing w:after="0"/>
              <w:rPr>
                <w:sz w:val="20"/>
                <w:szCs w:val="20"/>
                <w:color w:val="auto"/>
              </w:rPr>
            </w:pPr>
          </w:p>
        </w:tc>
        <w:tc>
          <w:tcPr>
            <w:tcW w:w="9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32406B"/>
              </w:rPr>
              <w:t>—</w:t>
            </w:r>
          </w:p>
        </w:tc>
        <w:tc>
          <w:tcPr>
            <w:tcW w:w="380" w:type="dxa"/>
            <w:vAlign w:val="bottom"/>
          </w:tcPr>
          <w:p>
            <w:pPr>
              <w:spacing w:after="0"/>
              <w:rPr>
                <w:sz w:val="20"/>
                <w:szCs w:val="20"/>
                <w:color w:val="auto"/>
              </w:rPr>
            </w:pPr>
          </w:p>
        </w:tc>
        <w:tc>
          <w:tcPr>
            <w:tcW w:w="10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32406B"/>
              </w:rPr>
              <w:t>—</w:t>
            </w:r>
          </w:p>
        </w:tc>
        <w:tc>
          <w:tcPr>
            <w:tcW w:w="380" w:type="dxa"/>
            <w:vAlign w:val="bottom"/>
          </w:tcPr>
          <w:p>
            <w:pPr>
              <w:spacing w:after="0"/>
              <w:rPr>
                <w:sz w:val="20"/>
                <w:szCs w:val="20"/>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32406B"/>
              </w:rPr>
              <w:t>—</w:t>
            </w:r>
          </w:p>
        </w:tc>
      </w:tr>
    </w:tbl>
    <w:p>
      <w:pPr>
        <w:spacing w:after="0" w:line="1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32406B"/>
        </w:rPr>
        <w:t>Expected volatility was based on an evaluation of the historical volatilities of comparable listed biotech-companies over the most recent historical period that commensurate with the expected option life. The expected life is based on Management’s best estimate of when the options will be exercised. The risk-free interest rate is based on the yield on German government Strip bonds, with tenure equal to the expected life. The expected dividend yield is zero considering the stage of the Group.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F-40</w:t>
      </w:r>
    </w:p>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32406B"/>
        </w:rPr>
        <w:t>Reference is made to Note 5 for allocation of expenses in lines of the unaudited condensed consolidated statement of income or loss and other comprehensive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16. Loss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Basic and diluted</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2406B"/>
        </w:rPr>
        <w:t>Basic and diluted loss per share is calculated by dividing the loss attributable to equity holders of the Company by the weighted average number of issued and outstanding ordinary shares during the nine months ended September 30, 2020 and 2019.</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32406B"/>
        </w:rPr>
        <w:t>The Company’s potential dilutive securities have been excluded from the computation of diluted net loss per share attributable to ordinary stockholders as the effect of including them would be antidilutive.</w:t>
      </w:r>
    </w:p>
    <w:p>
      <w:pPr>
        <w:spacing w:after="0" w:line="16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32406B"/>
        </w:rPr>
        <w:t>Potentially dilutive shares that were not included in the diluted per share calculations because they would be anti-dilutive were 5,242,850 Series A preferred shared and 7,650,147 Series B preferred shares as of September 30, 2020 and 5,242,850 Series A preferred shared and 3,003,391 Series B preferred shares as of September 30,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8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32406B"/>
              </w:rPr>
              <w:t>September 30, 2020</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32406B"/>
                <w:w w:val="99"/>
              </w:rPr>
              <w:t>September 30, 2019</w:t>
            </w:r>
          </w:p>
        </w:tc>
      </w:tr>
      <w:tr>
        <w:trPr>
          <w:trHeight w:val="142"/>
        </w:trPr>
        <w:tc>
          <w:tcPr>
            <w:tcW w:w="8140" w:type="dxa"/>
            <w:vAlign w:val="bottom"/>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32406B"/>
                <w:w w:val="85"/>
              </w:rPr>
              <w:t>€</w:t>
            </w:r>
          </w:p>
        </w:tc>
        <w:tc>
          <w:tcPr>
            <w:tcW w:w="680" w:type="dxa"/>
            <w:vAlign w:val="bottom"/>
          </w:tcPr>
          <w:p>
            <w:pPr>
              <w:spacing w:after="0"/>
              <w:rPr>
                <w:sz w:val="12"/>
                <w:szCs w:val="12"/>
                <w:color w:val="auto"/>
              </w:rPr>
            </w:pPr>
          </w:p>
        </w:tc>
        <w:tc>
          <w:tcPr>
            <w:tcW w:w="1160" w:type="dxa"/>
            <w:vAlign w:val="bottom"/>
            <w:tcBorders>
              <w:top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color w:val="32406B"/>
              </w:rPr>
              <w:t>€</w:t>
            </w:r>
          </w:p>
        </w:tc>
        <w:tc>
          <w:tcPr>
            <w:tcW w:w="100" w:type="dxa"/>
            <w:vAlign w:val="bottom"/>
          </w:tcPr>
          <w:p>
            <w:pPr>
              <w:spacing w:after="0"/>
              <w:rPr>
                <w:sz w:val="12"/>
                <w:szCs w:val="12"/>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Loss attributable to equity holders of the Company</w:t>
            </w:r>
          </w:p>
        </w:tc>
        <w:tc>
          <w:tcPr>
            <w:tcW w:w="1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32406B"/>
              </w:rPr>
              <w:t>(15,421,796)</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2406B"/>
              </w:rPr>
              <w:t>(4,568,776)</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32406B"/>
              </w:rPr>
              <w:t>Weighted average number of ordinary shares outstanding</w:t>
            </w:r>
          </w:p>
        </w:tc>
        <w:tc>
          <w:tcPr>
            <w:tcW w:w="18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32406B"/>
              </w:rPr>
              <w:t>4,850,000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32406B"/>
              </w:rPr>
              <w:t>4,850,000</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Basic and diluted loss per share</w:t>
            </w:r>
          </w:p>
        </w:tc>
        <w:tc>
          <w:tcPr>
            <w:tcW w:w="18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32406B"/>
              </w:rPr>
              <w:t>(3.18)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2406B"/>
              </w:rPr>
              <w:t>(0.94)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Claims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There are no material claims known to management related to the activities of the Group.</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Research and development commitments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2406B"/>
        </w:rPr>
        <w:t>The Group’s research and development commitments amounted to €7,621,000 as at September 30, 2020 (December 31, 2019: €5,013,700), all of which is due within 3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2406B"/>
        </w:rPr>
        <w:t>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The Group had no contingent liabilities and no contingent assets at September 30, 2020.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18. Related parties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32406B"/>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Charité Research Organisation GmbH (Charité CRO)</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32406B"/>
        </w:rPr>
        <w:t>Dr. Knolle, who has served as Chief Scientific Officer and Chief Operating Officer since its inception, is a member of the board of Charité CRO. The Group has entered into a service contract with Charité CRO according to which Charité CRO provides services supporting research for the Group. The aggregate transaction value of the transactions with Charité CRO during the nine months ended September 30, 2020 and 2019 were €1,018,625 and €504,607, respectively. The outstanding balances with Charité CRO amounts €662,022 and €0 on September 30, 2020 and December 31, 2019 respectively.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F-41</w:t>
      </w:r>
    </w:p>
    <w:p>
      <w:pPr>
        <w:sectPr>
          <w:pgSz w:w="11900" w:h="16838" w:orient="portrait"/>
          <w:cols w:equalWidth="0" w:num="1">
            <w:col w:w="11240"/>
          </w:cols>
          <w:pgMar w:left="320" w:top="455" w:right="3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Key management personnel compensation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color w:val="32406B"/>
              </w:rPr>
              <w:t>Nine months ended</w:t>
            </w:r>
          </w:p>
        </w:tc>
      </w:tr>
      <w:tr>
        <w:trPr>
          <w:trHeight w:val="149"/>
        </w:trPr>
        <w:tc>
          <w:tcPr>
            <w:tcW w:w="9760" w:type="dxa"/>
            <w:vAlign w:val="bottom"/>
          </w:tcPr>
          <w:p>
            <w:pPr>
              <w:spacing w:after="0"/>
              <w:rPr>
                <w:sz w:val="12"/>
                <w:szCs w:val="12"/>
                <w:color w:val="auto"/>
              </w:rPr>
            </w:pPr>
          </w:p>
        </w:tc>
        <w:tc>
          <w:tcPr>
            <w:tcW w:w="148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color w:val="32406B"/>
              </w:rPr>
              <w:t>September 30,</w:t>
            </w:r>
          </w:p>
        </w:tc>
      </w:tr>
      <w:tr>
        <w:trPr>
          <w:trHeight w:val="171"/>
        </w:trPr>
        <w:tc>
          <w:tcPr>
            <w:tcW w:w="9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color w:val="32406B"/>
              </w:rPr>
              <w:t>2020</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2406B"/>
                <w:w w:val="99"/>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Short term employee benefits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1,022,417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60" w:type="dxa"/>
            <w:vAlign w:val="bottom"/>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32406B"/>
              </w:rPr>
              <w:t>Post employee benefits</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2406B"/>
              </w:rPr>
              <w:t>31,203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2406B"/>
              </w:rPr>
              <w:t>Share-based payments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2406B"/>
              </w:rPr>
              <w:t>607,543</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32406B"/>
              </w:rPr>
              <w:t>—</w:t>
            </w:r>
          </w:p>
        </w:tc>
      </w:tr>
      <w:tr>
        <w:trPr>
          <w:trHeight w:val="223"/>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32406B"/>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1,661,163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32406B"/>
              </w:rPr>
              <w:t>—</w:t>
            </w:r>
          </w:p>
        </w:tc>
        <w:tc>
          <w:tcPr>
            <w:tcW w:w="60" w:type="dxa"/>
            <w:vAlign w:val="bottom"/>
          </w:tcPr>
          <w:p>
            <w:pPr>
              <w:spacing w:after="0"/>
              <w:rPr>
                <w:sz w:val="19"/>
                <w:szCs w:val="19"/>
                <w:color w:val="auto"/>
              </w:rPr>
            </w:pPr>
          </w:p>
        </w:tc>
      </w:tr>
      <w:tr>
        <w:trPr>
          <w:trHeight w:val="20"/>
        </w:trPr>
        <w:tc>
          <w:tcPr>
            <w:tcW w:w="9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32406B"/>
        </w:rPr>
        <w:t>An amount of €220,000 of the short term employee benefits is capitalized on the unaudited condensed consolidated statements of financial position, and will be recognized in the Group’s statements of profit or loss and other comprehensive income (loss) in the period between October 2020 and June 2021.</w:t>
      </w:r>
    </w:p>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32406B"/>
        </w:rPr>
        <w:t>A total of 1,040,000 stock options are granted to key management during the nine months ended September 30, 2020. Refer to note 15 for disclosure on the share-based payments.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32406B"/>
        </w:rPr>
        <w:t>The Group engages several management entities for the purpose of providing key management services to the Group. The aggregate value of transactions related to key management personnel, or entities which they control were €1,217,298 and €937,753 in the nine months ended September 30, 2020 and 2019, respectively.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32406B"/>
        </w:rPr>
        <w:t>The outstanding balances payable to key management personnel, or entities which they control, as per September 30, 2020 and December 31, 2019 were €194,509 and €55,250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19. Events after the reporting period</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32406B"/>
        </w:rPr>
        <w:t>On November 3, 2020, the Company completed a $80 million Series C equity financing, which financing was received on November 5, 2020, pursuant to which the Company issued 5,826,279 preferred shares C.</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32406B"/>
        </w:rPr>
        <w:t>On December 17, 2020 the Board of directors has approved a total grant of 129,650 restricted stock units (RSUs) and 32,445 share options to Group’s employees and consultants.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2406B"/>
        </w:rPr>
        <w:t>F-42</w:t>
      </w:r>
    </w:p>
    <w:p>
      <w:pPr>
        <w:sectPr>
          <w:pgSz w:w="11900" w:h="16838" w:orient="portrait"/>
          <w:cols w:equalWidth="0" w:num="1">
            <w:col w:w="11240"/>
          </w:cols>
          <w:pgMar w:left="320" w:top="455" w:right="3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2406B"/>
        </w:rPr>
        <w:t>Signatories to the unaudited condensed consolidated interim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Leiden, December 18,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Pharvaris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Board of directors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B.A.E. Modig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B.A.E. Modig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M. Kleijwegt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M. Kleijwegt</w:t>
      </w:r>
    </w:p>
    <w:p>
      <w:pPr>
        <w:spacing w:after="0" w:line="200" w:lineRule="exact"/>
        <w:rPr>
          <w:sz w:val="20"/>
          <w:szCs w:val="20"/>
          <w:color w:val="auto"/>
        </w:rPr>
      </w:pPr>
    </w:p>
    <w:p>
      <w:pPr>
        <w:sectPr>
          <w:pgSz w:w="11900" w:h="16838" w:orient="portrait"/>
          <w:cols w:equalWidth="0" w:num="2">
            <w:col w:w="7260" w:space="720"/>
            <w:col w:w="215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R.P.L. Droller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R.P.L. Droller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/s/ M.E. Rome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M.E. Rome</w:t>
      </w:r>
    </w:p>
    <w:p>
      <w:pPr>
        <w:spacing w:after="0" w:line="200" w:lineRule="exact"/>
        <w:rPr>
          <w:sz w:val="20"/>
          <w:szCs w:val="20"/>
          <w:color w:val="auto"/>
        </w:rPr>
      </w:pPr>
    </w:p>
    <w:p>
      <w:pPr>
        <w:sectPr>
          <w:pgSz w:w="11900" w:h="16838" w:orient="portrait"/>
          <w:cols w:equalWidth="0" w:num="2">
            <w:col w:w="7260" w:space="720"/>
            <w:col w:w="215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R.S. Gaster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R.S. Gaster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2406B"/>
        </w:rPr>
        <w:t>/s/ J.G.C.P. Schikan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2406B"/>
        </w:rPr>
        <w:t>J.G.C.P. Schikan</w:t>
      </w:r>
    </w:p>
    <w:p>
      <w:pPr>
        <w:spacing w:after="0" w:line="139" w:lineRule="exact"/>
        <w:rPr>
          <w:sz w:val="20"/>
          <w:szCs w:val="20"/>
          <w:color w:val="auto"/>
        </w:rPr>
      </w:pPr>
    </w:p>
    <w:p>
      <w:pPr>
        <w:sectPr>
          <w:pgSz w:w="11900" w:h="16838" w:orient="portrait"/>
          <w:cols w:equalWidth="0" w:num="2">
            <w:col w:w="7260" w:space="720"/>
            <w:col w:w="2159"/>
          </w:cols>
          <w:pgMar w:left="320" w:top="455"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7"/>
          <w:szCs w:val="17"/>
          <w:color w:val="32406B"/>
        </w:rPr>
        <w:t>F-43</w:t>
      </w:r>
    </w:p>
    <w:p>
      <w:pPr>
        <w:sectPr>
          <w:pgSz w:w="11900" w:h="16838" w:orient="portrait"/>
          <w:cols w:equalWidth="0" w:num="1">
            <w:col w:w="10139"/>
          </w:cols>
          <w:pgMar w:left="320" w:top="455" w:right="1440" w:bottom="1440" w:gutter="0" w:footer="0" w:header="0"/>
          <w:type w:val="continuous"/>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32"/>
          <w:szCs w:val="32"/>
          <w:i w:val="1"/>
          <w:iCs w:val="1"/>
          <w:color w:val="32406B"/>
        </w:rPr>
        <w:t>8,270,500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344805</wp:posOffset>
            </wp:positionV>
            <wp:extent cx="1962785"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96278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i w:val="1"/>
          <w:iCs w:val="1"/>
          <w:color w:val="32406B"/>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32406B"/>
        </w:rPr>
        <w:t>Joint Book-Running Managers</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i w:val="1"/>
          <w:iCs w:val="1"/>
          <w:color w:val="32406B"/>
        </w:rPr>
        <w:t>Morgan Stanley</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i w:val="1"/>
          <w:iCs w:val="1"/>
          <w:color w:val="32406B"/>
        </w:rPr>
        <w:t>BofA Securities</w:t>
      </w:r>
    </w:p>
    <w:p>
      <w:pPr>
        <w:spacing w:after="0" w:line="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i w:val="1"/>
          <w:iCs w:val="1"/>
          <w:color w:val="32406B"/>
        </w:rPr>
        <w:t>SVB Leerink</w:t>
      </w:r>
    </w:p>
    <w:p>
      <w:pPr>
        <w:spacing w:after="0" w:line="2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32406B"/>
        </w:rPr>
        <w:t>Co-Managers</w:t>
      </w:r>
    </w:p>
    <w:p>
      <w:pPr>
        <w:spacing w:after="0" w:line="1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i w:val="1"/>
          <w:iCs w:val="1"/>
          <w:color w:val="32406B"/>
        </w:rPr>
        <w:t>Oppenheimer &amp; Co.</w:t>
      </w:r>
    </w:p>
    <w:p>
      <w:pPr>
        <w:spacing w:after="0" w:line="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5"/>
          <w:szCs w:val="25"/>
          <w:i w:val="1"/>
          <w:iCs w:val="1"/>
          <w:color w:val="32406B"/>
        </w:rPr>
        <w:t>Kempen &amp; Co</w:t>
      </w:r>
    </w:p>
    <w:p>
      <w:pPr>
        <w:spacing w:after="0" w:line="20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32406B"/>
        </w:rPr>
        <w:t>February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32406B"/>
        </w:rPr>
        <w:t>Through and including March 1, 2021 (the 25th calendar date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040"/>
      </w:cols>
      <w:pgMar w:left="320" w:top="45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1"/>
    </w:lvl>
  </w:abstractNum>
  <w:abstractNum w:abstractNumId="1">
    <w:nsid w:val="98A3148"/>
    <w:multiLevelType w:val="hybridMultilevel"/>
    <w:lvl w:ilvl="0">
      <w:lvlJc w:val="left"/>
      <w:lvlText w:val="(%1)"/>
      <w:numFmt w:val="lowerRoman"/>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1)"/>
      <w:numFmt w:val="upperLetter"/>
      <w:start w:val="2"/>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1)"/>
      <w:numFmt w:val="decimal"/>
      <w:start w:val="1"/>
    </w:lvl>
  </w:abstractNum>
  <w:abstractNum w:abstractNumId="15">
    <w:nsid w:val="42963E5A"/>
    <w:multiLevelType w:val="hybridMultilevel"/>
    <w:lvl w:ilvl="0">
      <w:lvlJc w:val="left"/>
      <w:lvlText w:val="(%1)"/>
      <w:numFmt w:val="decimal"/>
      <w:start w:val="2"/>
    </w:lvl>
    <w:lvl w:ilvl="1">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1)"/>
      <w:numFmt w:val="lowerRoman"/>
      <w:start w:val="2"/>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1)"/>
      <w:numFmt w:val="decimal"/>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1)"/>
      <w:numFmt w:val="lowerRoman"/>
      <w:start w:val="2"/>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1)"/>
      <w:numFmt w:val="decimal"/>
      <w:start w:val="1"/>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1)"/>
      <w:numFmt w:val="lowerRoman"/>
      <w:start w:val="4"/>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
      <w:numFmt w:val="bullet"/>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
      <w:numFmt w:val="bullet"/>
      <w:start w:val="1"/>
    </w:lvl>
  </w:abstractNum>
  <w:abstractNum w:abstractNumId="81">
    <w:nsid w:val="1CA0C5FA"/>
    <w:multiLevelType w:val="hybridMultilevel"/>
    <w:lvl w:ilvl="0">
      <w:lvlJc w:val="left"/>
      <w:lvlText w:val="•"/>
      <w:numFmt w:val="bullet"/>
      <w:start w:val="1"/>
    </w:lvl>
  </w:abstractNum>
  <w:abstractNum w:abstractNumId="82">
    <w:nsid w:val="53584BCB"/>
    <w:multiLevelType w:val="hybridMultilevel"/>
    <w:lvl w:ilvl="0">
      <w:lvlJc w:val="left"/>
      <w:lvlText w:val="(%1)"/>
      <w:numFmt w:val="decimal"/>
      <w:start w:val="1"/>
    </w:lvl>
  </w:abstractNum>
  <w:abstractNum w:abstractNumId="83">
    <w:nsid w:val="415E286C"/>
    <w:multiLevelType w:val="hybridMultilevel"/>
    <w:lvl w:ilvl="0">
      <w:lvlJc w:val="left"/>
      <w:lvlText w:val="(%1)"/>
      <w:numFmt w:val="lowerRoman"/>
      <w:start w:val="3"/>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1)"/>
      <w:numFmt w:val="decimal"/>
      <w:start w:val="1"/>
    </w:lvl>
  </w:abstractNum>
  <w:abstractNum w:abstractNumId="87">
    <w:nsid w:val="5C10FE21"/>
    <w:multiLevelType w:val="hybridMultilevel"/>
    <w:lvl w:ilvl="0">
      <w:lvlJc w:val="left"/>
      <w:lvlText w:val="(%1)"/>
      <w:numFmt w:val="decimal"/>
      <w:start w:val="4"/>
    </w:lvl>
  </w:abstractNum>
  <w:abstractNum w:abstractNumId="88">
    <w:nsid w:val="E7FFA2B"/>
    <w:multiLevelType w:val="hybridMultilevel"/>
    <w:lvl w:ilvl="0">
      <w:lvlJc w:val="left"/>
      <w:lvlText w:val="(%1)"/>
      <w:numFmt w:val="decimal"/>
      <w:start w:val="9"/>
    </w:lvl>
  </w:abstractNum>
  <w:abstractNum w:abstractNumId="89">
    <w:nsid w:val="3C5991AA"/>
    <w:multiLevelType w:val="hybridMultilevel"/>
    <w:lvl w:ilvl="0">
      <w:lvlJc w:val="left"/>
      <w:lvlText w:val="•"/>
      <w:numFmt w:val="bullet"/>
      <w:start w:val="1"/>
    </w:lvl>
  </w:abstractNum>
  <w:abstractNum w:abstractNumId="90">
    <w:nsid w:val="4BD8591A"/>
    <w:multiLevelType w:val="hybridMultilevel"/>
    <w:lvl w:ilvl="0">
      <w:lvlJc w:val="left"/>
      <w:lvlText w:val="•"/>
      <w:numFmt w:val="bullet"/>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
      <w:numFmt w:val="bullet"/>
      <w:start w:val="1"/>
    </w:lvl>
  </w:abstractNum>
  <w:abstractNum w:abstractNumId="94">
    <w:nsid w:val="6C80EC70"/>
    <w:multiLevelType w:val="hybridMultilevel"/>
    <w:lvl w:ilvl="0">
      <w:lvlJc w:val="left"/>
      <w:lvlText w:val="(%1)"/>
      <w:numFmt w:val="lowerRoman"/>
      <w:start w:val="2"/>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abstractNum>
  <w:abstractNum w:abstractNumId="97">
    <w:nsid w:val="2C27173B"/>
    <w:multiLevelType w:val="hybridMultilevel"/>
    <w:lvl w:ilvl="0">
      <w:lvlJc w:val="left"/>
      <w:lvlText w:val="(%1)"/>
      <w:numFmt w:val="lowerRoman"/>
      <w:start w:val="1"/>
    </w:lvl>
  </w:abstractNum>
  <w:abstractNum w:abstractNumId="98">
    <w:nsid w:val="4C9B0904"/>
    <w:multiLevelType w:val="hybridMultilevel"/>
    <w:lvl w:ilvl="0">
      <w:lvlJc w:val="left"/>
      <w:lvlText w:val="•"/>
      <w:numFmt w:val="bullet"/>
      <w:start w:val="1"/>
    </w:lvl>
  </w:abstractNum>
  <w:abstractNum w:abstractNumId="99">
    <w:nsid w:val="6AA7B75C"/>
    <w:multiLevelType w:val="hybridMultilevel"/>
    <w:lvl w:ilvl="0">
      <w:lvlJc w:val="left"/>
      <w:lvlText w:val="•"/>
      <w:numFmt w:val="bullet"/>
      <w:start w:val="1"/>
    </w:lvl>
  </w:abstractNum>
  <w:abstractNum w:abstractNumId="100">
    <w:nsid w:val="1DF029D3"/>
    <w:multiLevelType w:val="hybridMultilevel"/>
    <w:lvl w:ilvl="0">
      <w:lvlJc w:val="left"/>
      <w:lvlText w:val="•"/>
      <w:numFmt w:val="bullet"/>
      <w:start w:val="1"/>
    </w:lvl>
  </w:abstractNum>
  <w:abstractNum w:abstractNumId="101">
    <w:nsid w:val="5675FF36"/>
    <w:multiLevelType w:val="hybridMultilevel"/>
    <w:lvl w:ilvl="0">
      <w:lvlJc w:val="left"/>
      <w:lvlText w:val="•"/>
      <w:numFmt w:val="bullet"/>
      <w:start w:val="1"/>
    </w:lvl>
  </w:abstractNum>
  <w:abstractNum w:abstractNumId="102">
    <w:nsid w:val="3DD15094"/>
    <w:multiLevelType w:val="hybridMultilevel"/>
    <w:lvl w:ilvl="0">
      <w:lvlJc w:val="left"/>
      <w:lvlText w:val="(%1)"/>
      <w:numFmt w:val="lowerRoman"/>
      <w:start w:val="2"/>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
      <w:numFmt w:val="bullet"/>
      <w:start w:val="1"/>
    </w:lvl>
  </w:abstractNum>
  <w:abstractNum w:abstractNumId="106">
    <w:nsid w:val="175DFCF0"/>
    <w:multiLevelType w:val="hybridMultilevel"/>
    <w:lvl w:ilvl="0">
      <w:lvlJc w:val="left"/>
      <w:lvlText w:val="•"/>
      <w:numFmt w:val="bullet"/>
      <w:start w:val="1"/>
    </w:lvl>
  </w:abstractNum>
  <w:abstractNum w:abstractNumId="107">
    <w:nsid w:val="4F97E3E4"/>
    <w:multiLevelType w:val="hybridMultilevel"/>
    <w:lvl w:ilvl="0">
      <w:lvlJc w:val="left"/>
      <w:lvlText w:val="•"/>
      <w:numFmt w:val="bullet"/>
      <w:start w:val="1"/>
    </w:lvl>
  </w:abstractNum>
  <w:abstractNum w:abstractNumId="108">
    <w:nsid w:val="53B0A9E"/>
    <w:multiLevelType w:val="hybridMultilevel"/>
    <w:lvl w:ilvl="0">
      <w:lvlJc w:val="left"/>
      <w:lvlText w:val="•"/>
      <w:numFmt w:val="bullet"/>
      <w:start w:val="1"/>
    </w:lvl>
  </w:abstractNum>
  <w:abstractNum w:abstractNumId="109">
    <w:nsid w:val="34FD6B4F"/>
    <w:multiLevelType w:val="hybridMultilevel"/>
    <w:lvl w:ilvl="0">
      <w:lvlJc w:val="left"/>
      <w:lvlText w:val="(%1)"/>
      <w:numFmt w:val="lowerRoman"/>
      <w:start w:val="2"/>
    </w:lvl>
  </w:abstractNum>
  <w:abstractNum w:abstractNumId="110">
    <w:nsid w:val="5915FF32"/>
    <w:multiLevelType w:val="hybridMultilevel"/>
    <w:lvl w:ilvl="0">
      <w:lvlJc w:val="left"/>
      <w:lvlText w:val="(%1)"/>
      <w:numFmt w:val="lowerRoman"/>
      <w:start w:val="2"/>
    </w:lvl>
  </w:abstractNum>
  <w:abstractNum w:abstractNumId="111">
    <w:nsid w:val="56438D15"/>
    <w:multiLevelType w:val="hybridMultilevel"/>
    <w:lvl w:ilvl="0">
      <w:lvlJc w:val="left"/>
      <w:lvlText w:val="%1."/>
      <w:numFmt w:val="lowerRoman"/>
      <w:start w:val="1"/>
    </w:lvl>
  </w:abstractNum>
  <w:abstractNum w:abstractNumId="112">
    <w:nsid w:val="519E3149"/>
    <w:multiLevelType w:val="hybridMultilevel"/>
    <w:lvl w:ilvl="0">
      <w:lvlJc w:val="left"/>
      <w:lvlText w:val="%1."/>
      <w:numFmt w:val="lowerRoman"/>
      <w:start w:val="4"/>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1."/>
      <w:numFmt w:val="lowerRoman"/>
      <w:start w:val="1"/>
    </w:lvl>
  </w:abstractNum>
  <w:abstractNum w:abstractNumId="117">
    <w:nsid w:val="5D888A08"/>
    <w:multiLevelType w:val="hybridMultilevel"/>
    <w:lvl w:ilvl="0">
      <w:lvlJc w:val="left"/>
      <w:lvlText w:val="%1."/>
      <w:numFmt w:val="lowerRoman"/>
      <w:start w:val="1"/>
    </w:lvl>
  </w:abstractNum>
  <w:abstractNum w:abstractNumId="118">
    <w:nsid w:val="2A082C70"/>
    <w:multiLevelType w:val="hybridMultilevel"/>
    <w:lvl w:ilvl="0">
      <w:lvlJc w:val="left"/>
      <w:lvlText w:val="%1."/>
      <w:numFmt w:val="lowerRoman"/>
      <w:start w:val="1"/>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1"/>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Letter"/>
      <w:start w:val="1"/>
    </w:lvl>
  </w:abstractNum>
  <w:abstractNum w:abstractNumId="125">
    <w:nsid w:val="4427069A"/>
    <w:multiLevelType w:val="hybridMultilevel"/>
    <w:lvl w:ilvl="0">
      <w:lvlJc w:val="left"/>
      <w:lvlText w:val="(%1)"/>
      <w:numFmt w:val="lowerLetter"/>
      <w:start w:val="1"/>
    </w:lvl>
  </w:abstractNum>
  <w:abstractNum w:abstractNumId="126">
    <w:nsid w:val="B37E80A"/>
    <w:multiLevelType w:val="hybridMultilevel"/>
    <w:lvl w:ilvl="0">
      <w:lvlJc w:val="left"/>
      <w:lvlText w:val="%1."/>
      <w:numFmt w:val="decimal"/>
      <w:start w:val="1"/>
    </w:lvl>
  </w:abstractNum>
  <w:abstractNum w:abstractNumId="127">
    <w:nsid w:val="2157F6BC"/>
    <w:multiLevelType w:val="hybridMultilevel"/>
    <w:lvl w:ilvl="0">
      <w:lvlJc w:val="left"/>
      <w:lvlText w:val="%1."/>
      <w:numFmt w:val="decimal"/>
      <w:start w:val="2"/>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
      <w:numFmt w:val="bullet"/>
      <w:start w:val="1"/>
    </w:lvl>
  </w:abstractNum>
  <w:abstractNum w:abstractNumId="131">
    <w:nsid w:val="E3E47A8"/>
    <w:multiLevelType w:val="hybridMultilevel"/>
    <w:lvl w:ilvl="0">
      <w:lvlJc w:val="left"/>
      <w:lvlText w:val="%1)"/>
      <w:numFmt w:val="lowerRoman"/>
      <w:start w:val="1"/>
    </w:lvl>
  </w:abstractNum>
  <w:abstractNum w:abstractNumId="132">
    <w:nsid w:val="2E48F044"/>
    <w:multiLevelType w:val="hybridMultilevel"/>
    <w:lvl w:ilvl="0">
      <w:lvlJc w:val="left"/>
      <w:lvlText w:val="%1)"/>
      <w:numFmt w:val="lowerRoman"/>
      <w:start w:val="1"/>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endash "/>
      <w:numFmt w:val="bullet"/>
      <w:start w:val="1"/>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decimal"/>
      <w:start w:val="4"/>
    </w:lvl>
    <w:lvl w:ilvl="1">
      <w:lvlJc w:val="left"/>
      <w:lvlText w:val="\endash "/>
      <w:numFmt w:val="bullet"/>
      <w:start w:val="1"/>
    </w:lvl>
  </w:abstractNum>
  <w:abstractNum w:abstractNumId="137">
    <w:nsid w:val="634C574C"/>
    <w:multiLevelType w:val="hybridMultilevel"/>
    <w:lvl w:ilvl="0">
      <w:lvlJc w:val="left"/>
      <w:lvlText w:val="•"/>
      <w:numFmt w:val="bullet"/>
      <w:start w:val="1"/>
    </w:lvl>
  </w:abstractNum>
  <w:abstractNum w:abstractNumId="138">
    <w:nsid w:val="24E99DD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47" Type="http://schemas.openxmlformats.org/officeDocument/2006/relationships/hyperlink" Target="http://www.sec.gov/Archives/edgar/data/1830487/000119312521010126/d50231df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2021-02-08T15:37:35Z</dcterms:created>
  <dcterms:modified xsi:type="dcterms:W3CDTF">2021-02-08T15:37:35Z</dcterms:modified>
</cp:coreProperties>
</file>