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Pharvaris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Ordinary shares,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N69605108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February 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340" w:right="9400" w:firstLine="5"/>
        <w:spacing w:after="0" w:line="224" w:lineRule="exact"/>
        <w:tabs>
          <w:tab w:leader="none" w:pos="79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800" w:hanging="455"/>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682625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75" w:right="359" w:bottom="1440" w:gutter="0" w:footer="0" w:header="0"/>
        </w:sectPr>
      </w:pPr>
    </w:p>
    <w:bookmarkStart w:id="1" w:name="page2"/>
    <w:bookmarkEnd w:id="1"/>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N69605108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2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-124460</wp:posOffset>
            </wp:positionV>
            <wp:extent cx="14401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220" w:space="720"/>
            <w:col w:w="4640" w:space="720"/>
            <w:col w:w="940"/>
          </w:cols>
          <w:pgMar w:left="320" w:top="823" w:right="339" w:bottom="1440" w:gutter="0" w:footer="0" w:header="0"/>
        </w:sect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top w:val="single" w:sz="8" w:color="auto"/>
              <w:right w:val="single" w:sz="8" w:color="auto"/>
            </w:tcBorders>
          </w:tcPr>
          <w:p>
            <w:pPr>
              <w:spacing w:after="0"/>
              <w:rPr>
                <w:sz w:val="22"/>
                <w:szCs w:val="22"/>
                <w:color w:val="auto"/>
              </w:rPr>
            </w:pPr>
          </w:p>
        </w:tc>
        <w:tc>
          <w:tcPr>
            <w:tcW w:w="8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General Atlantic LLC</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auto"/>
            </w:tcBorders>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800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2,420,155</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2,420,155</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88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2,420,155</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7.3%</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type w:val="continuous"/>
        </w:sectPr>
      </w:pPr>
    </w:p>
    <w:bookmarkStart w:id="2" w:name="page3"/>
    <w:bookmarkEnd w:id="2"/>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N69605108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3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-124460</wp:posOffset>
            </wp:positionV>
            <wp:extent cx="14401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220" w:space="720"/>
            <w:col w:w="4640" w:space="720"/>
            <w:col w:w="940"/>
          </w:cols>
          <w:pgMar w:left="320" w:top="823" w:right="339" w:bottom="1440" w:gutter="0" w:footer="0" w:header="0"/>
        </w:sect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top w:val="single" w:sz="8" w:color="auto"/>
              <w:right w:val="single" w:sz="8" w:color="auto"/>
            </w:tcBorders>
          </w:tcPr>
          <w:p>
            <w:pPr>
              <w:spacing w:after="0"/>
              <w:rPr>
                <w:sz w:val="22"/>
                <w:szCs w:val="22"/>
                <w:color w:val="auto"/>
              </w:rPr>
            </w:pPr>
          </w:p>
        </w:tc>
        <w:tc>
          <w:tcPr>
            <w:tcW w:w="8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General Atlantic PH B.V.</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auto"/>
            </w:tcBorders>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800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The Netherlands</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2,420,155</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2,420,155</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88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2,420,155</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7.3%</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type w:val="continuous"/>
        </w:sectPr>
      </w:pPr>
    </w:p>
    <w:bookmarkStart w:id="3" w:name="page4"/>
    <w:bookmarkEnd w:id="3"/>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N69605108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4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-124460</wp:posOffset>
            </wp:positionV>
            <wp:extent cx="14401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220" w:space="720"/>
            <w:col w:w="4640" w:space="720"/>
            <w:col w:w="940"/>
          </w:cols>
          <w:pgMar w:left="320" w:top="823" w:right="339" w:bottom="1440" w:gutter="0" w:footer="0" w:header="0"/>
        </w:sect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top w:val="single" w:sz="8" w:color="auto"/>
              <w:right w:val="single" w:sz="8" w:color="auto"/>
            </w:tcBorders>
          </w:tcPr>
          <w:p>
            <w:pPr>
              <w:spacing w:after="0"/>
              <w:rPr>
                <w:sz w:val="22"/>
                <w:szCs w:val="22"/>
                <w:color w:val="auto"/>
              </w:rPr>
            </w:pPr>
          </w:p>
        </w:tc>
        <w:tc>
          <w:tcPr>
            <w:tcW w:w="8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General Atlantic Coöperatief U.A.</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auto"/>
            </w:tcBorders>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800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The Netherlands</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2,420,155</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2,420,155</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88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2,420,155</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7.3%</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type w:val="continuous"/>
        </w:sectPr>
      </w:pPr>
    </w:p>
    <w:bookmarkStart w:id="4" w:name="page5"/>
    <w:bookmarkEnd w:id="4"/>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N69605108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5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-124460</wp:posOffset>
            </wp:positionV>
            <wp:extent cx="14401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220" w:space="720"/>
            <w:col w:w="4640" w:space="720"/>
            <w:col w:w="940"/>
          </w:cols>
          <w:pgMar w:left="320" w:top="823" w:right="339" w:bottom="1440" w:gutter="0" w:footer="0" w:header="0"/>
        </w:sect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top w:val="single" w:sz="8" w:color="auto"/>
              <w:right w:val="single" w:sz="8" w:color="auto"/>
            </w:tcBorders>
          </w:tcPr>
          <w:p>
            <w:pPr>
              <w:spacing w:after="0"/>
              <w:rPr>
                <w:sz w:val="22"/>
                <w:szCs w:val="22"/>
                <w:color w:val="auto"/>
              </w:rPr>
            </w:pPr>
          </w:p>
        </w:tc>
        <w:tc>
          <w:tcPr>
            <w:tcW w:w="8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General Atlantic Partners (Bermuda) IV, L.P.</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auto"/>
            </w:tcBorders>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800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Bermuda</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2,420,155</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2,420,155</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88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2,420,155</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7.3%</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type w:val="continuous"/>
        </w:sectPr>
      </w:pPr>
    </w:p>
    <w:bookmarkStart w:id="5" w:name="page6"/>
    <w:bookmarkEnd w:id="5"/>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N69605108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6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-124460</wp:posOffset>
            </wp:positionV>
            <wp:extent cx="14401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220" w:space="720"/>
            <w:col w:w="4640" w:space="720"/>
            <w:col w:w="940"/>
          </w:cols>
          <w:pgMar w:left="320" w:top="823" w:right="339" w:bottom="1440" w:gutter="0" w:footer="0" w:header="0"/>
        </w:sect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top w:val="single" w:sz="8" w:color="auto"/>
              <w:right w:val="single" w:sz="8" w:color="auto"/>
            </w:tcBorders>
          </w:tcPr>
          <w:p>
            <w:pPr>
              <w:spacing w:after="0"/>
              <w:rPr>
                <w:sz w:val="22"/>
                <w:szCs w:val="22"/>
                <w:color w:val="auto"/>
              </w:rPr>
            </w:pPr>
          </w:p>
        </w:tc>
        <w:tc>
          <w:tcPr>
            <w:tcW w:w="8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General Atlantic Partners (Bermuda) EU, L.P.</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auto"/>
            </w:tcBorders>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800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Bermuda</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2,420,155</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2,420,155</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88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2,420,155</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7.3%</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7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type w:val="continuous"/>
        </w:sectPr>
      </w:pPr>
    </w:p>
    <w:bookmarkStart w:id="6" w:name="page7"/>
    <w:bookmarkEnd w:id="6"/>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N69605108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7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-124460</wp:posOffset>
            </wp:positionV>
            <wp:extent cx="14401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220" w:space="720"/>
            <w:col w:w="4640" w:space="720"/>
            <w:col w:w="940"/>
          </w:cols>
          <w:pgMar w:left="320" w:top="823" w:right="339" w:bottom="1440" w:gutter="0" w:footer="0" w:header="0"/>
        </w:sect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top w:val="single" w:sz="8" w:color="auto"/>
              <w:right w:val="single" w:sz="8" w:color="auto"/>
            </w:tcBorders>
          </w:tcPr>
          <w:p>
            <w:pPr>
              <w:spacing w:after="0"/>
              <w:rPr>
                <w:sz w:val="22"/>
                <w:szCs w:val="22"/>
                <w:color w:val="auto"/>
              </w:rPr>
            </w:pPr>
          </w:p>
        </w:tc>
        <w:tc>
          <w:tcPr>
            <w:tcW w:w="8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General Atlantic Partners (Lux) SCSp</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auto"/>
            </w:tcBorders>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800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Luxembourg</w:t>
            </w: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2,420,155</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2,420,155</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88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2,420,155</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7.3%</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7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type w:val="continuous"/>
        </w:sectPr>
      </w:pPr>
    </w:p>
    <w:bookmarkStart w:id="7" w:name="page8"/>
    <w:bookmarkEnd w:id="7"/>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N69605108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8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-124460</wp:posOffset>
            </wp:positionV>
            <wp:extent cx="14401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220" w:space="720"/>
            <w:col w:w="4640" w:space="720"/>
            <w:col w:w="940"/>
          </w:cols>
          <w:pgMar w:left="320" w:top="823" w:right="339" w:bottom="1440" w:gutter="0" w:footer="0" w:header="0"/>
        </w:sect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top w:val="single" w:sz="8" w:color="auto"/>
              <w:right w:val="single" w:sz="8" w:color="auto"/>
            </w:tcBorders>
          </w:tcPr>
          <w:p>
            <w:pPr>
              <w:spacing w:after="0"/>
              <w:rPr>
                <w:sz w:val="22"/>
                <w:szCs w:val="22"/>
                <w:color w:val="auto"/>
              </w:rPr>
            </w:pPr>
          </w:p>
        </w:tc>
        <w:tc>
          <w:tcPr>
            <w:tcW w:w="8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General Atlantic Coöperatief, L.P.</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auto"/>
            </w:tcBorders>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800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2,420,155</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2,420,155</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88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2,420,155</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7.3%</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type w:val="continuous"/>
        </w:sectPr>
      </w:pPr>
    </w:p>
    <w:bookmarkStart w:id="8" w:name="page9"/>
    <w:bookmarkEnd w:id="8"/>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N69605108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9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-124460</wp:posOffset>
            </wp:positionV>
            <wp:extent cx="14401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220" w:space="720"/>
            <w:col w:w="4640" w:space="720"/>
            <w:col w:w="940"/>
          </w:cols>
          <w:pgMar w:left="320" w:top="823" w:right="339" w:bottom="1440" w:gutter="0" w:footer="0" w:header="0"/>
        </w:sect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top w:val="single" w:sz="8" w:color="auto"/>
              <w:right w:val="single" w:sz="8" w:color="auto"/>
            </w:tcBorders>
          </w:tcPr>
          <w:p>
            <w:pPr>
              <w:spacing w:after="0"/>
              <w:rPr>
                <w:sz w:val="22"/>
                <w:szCs w:val="22"/>
                <w:color w:val="auto"/>
              </w:rPr>
            </w:pPr>
          </w:p>
        </w:tc>
        <w:tc>
          <w:tcPr>
            <w:tcW w:w="8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GAP Coinvestments III, LLC</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auto"/>
            </w:tcBorders>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800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2,420,155</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2,420,155</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88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2,420,155</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7.3%</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type w:val="continuous"/>
        </w:sectPr>
      </w:pPr>
    </w:p>
    <w:bookmarkStart w:id="9" w:name="page10"/>
    <w:bookmarkEnd w:id="9"/>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N69605108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10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-124460</wp:posOffset>
            </wp:positionV>
            <wp:extent cx="14401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220" w:space="720"/>
            <w:col w:w="4560" w:space="720"/>
            <w:col w:w="1020"/>
          </w:cols>
          <w:pgMar w:left="320" w:top="823" w:right="339" w:bottom="1440" w:gutter="0" w:footer="0" w:header="0"/>
        </w:sect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top w:val="single" w:sz="8" w:color="auto"/>
              <w:right w:val="single" w:sz="8" w:color="auto"/>
            </w:tcBorders>
          </w:tcPr>
          <w:p>
            <w:pPr>
              <w:spacing w:after="0"/>
              <w:rPr>
                <w:sz w:val="22"/>
                <w:szCs w:val="22"/>
                <w:color w:val="auto"/>
              </w:rPr>
            </w:pPr>
          </w:p>
        </w:tc>
        <w:tc>
          <w:tcPr>
            <w:tcW w:w="8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GAP Coinvestments IV, LLC</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auto"/>
            </w:tcBorders>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800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2,420,155</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2,420,155</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88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2,420,155</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7.3%</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type w:val="continuous"/>
        </w:sectPr>
      </w:pPr>
    </w:p>
    <w:bookmarkStart w:id="10" w:name="page11"/>
    <w:bookmarkEnd w:id="10"/>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N69605108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11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-124460</wp:posOffset>
            </wp:positionV>
            <wp:extent cx="14401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220" w:space="720"/>
            <w:col w:w="4560" w:space="720"/>
            <w:col w:w="1020"/>
          </w:cols>
          <w:pgMar w:left="320" w:top="823" w:right="339" w:bottom="1440" w:gutter="0" w:footer="0" w:header="0"/>
        </w:sect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top w:val="single" w:sz="8" w:color="auto"/>
              <w:right w:val="single" w:sz="8" w:color="auto"/>
            </w:tcBorders>
          </w:tcPr>
          <w:p>
            <w:pPr>
              <w:spacing w:after="0"/>
              <w:rPr>
                <w:sz w:val="22"/>
                <w:szCs w:val="22"/>
                <w:color w:val="auto"/>
              </w:rPr>
            </w:pPr>
          </w:p>
        </w:tc>
        <w:tc>
          <w:tcPr>
            <w:tcW w:w="8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GAP Coinvestments V, LLC</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auto"/>
            </w:tcBorders>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800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2,420,155</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2,420,155</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88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2,420,155</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7.3%</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7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type w:val="continuous"/>
        </w:sectPr>
      </w:pPr>
    </w:p>
    <w:bookmarkStart w:id="11" w:name="page12"/>
    <w:bookmarkEnd w:id="11"/>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N69605108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12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-124460</wp:posOffset>
            </wp:positionV>
            <wp:extent cx="144018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220" w:space="720"/>
            <w:col w:w="4560" w:space="720"/>
            <w:col w:w="1020"/>
          </w:cols>
          <w:pgMar w:left="320" w:top="823" w:right="339" w:bottom="1440" w:gutter="0" w:footer="0" w:header="0"/>
        </w:sect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top w:val="single" w:sz="8" w:color="auto"/>
              <w:right w:val="single" w:sz="8" w:color="auto"/>
            </w:tcBorders>
          </w:tcPr>
          <w:p>
            <w:pPr>
              <w:spacing w:after="0"/>
              <w:rPr>
                <w:sz w:val="22"/>
                <w:szCs w:val="22"/>
                <w:color w:val="auto"/>
              </w:rPr>
            </w:pPr>
          </w:p>
        </w:tc>
        <w:tc>
          <w:tcPr>
            <w:tcW w:w="8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GAP Coinvestments CDA, L.P.</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auto"/>
            </w:tcBorders>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800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2,420,155</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2,420,155</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88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2,420,155</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7.3%</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7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type w:val="continuous"/>
        </w:sectPr>
      </w:pPr>
    </w:p>
    <w:bookmarkStart w:id="12" w:name="page13"/>
    <w:bookmarkEnd w:id="12"/>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N69605108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13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-124460</wp:posOffset>
            </wp:positionV>
            <wp:extent cx="144018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220" w:space="720"/>
            <w:col w:w="4560" w:space="720"/>
            <w:col w:w="1020"/>
          </w:cols>
          <w:pgMar w:left="320" w:top="823" w:right="339" w:bottom="1440" w:gutter="0" w:footer="0" w:header="0"/>
        </w:sect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top w:val="single" w:sz="8" w:color="auto"/>
              <w:right w:val="single" w:sz="8" w:color="auto"/>
            </w:tcBorders>
          </w:tcPr>
          <w:p>
            <w:pPr>
              <w:spacing w:after="0"/>
              <w:rPr>
                <w:sz w:val="22"/>
                <w:szCs w:val="22"/>
                <w:color w:val="auto"/>
              </w:rPr>
            </w:pPr>
          </w:p>
        </w:tc>
        <w:tc>
          <w:tcPr>
            <w:tcW w:w="8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General Atlantic GenPar, (Lux) SCSp</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auto"/>
            </w:tcBorders>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800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Luxembourg</w:t>
            </w: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2,420,155</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2,420,155</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88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2,420,155</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7.3%</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7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type w:val="continuous"/>
        </w:sectPr>
      </w:pPr>
    </w:p>
    <w:bookmarkStart w:id="13" w:name="page14"/>
    <w:bookmarkEnd w:id="13"/>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N69605108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14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-124460</wp:posOffset>
            </wp:positionV>
            <wp:extent cx="144018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220" w:space="720"/>
            <w:col w:w="4560" w:space="720"/>
            <w:col w:w="1020"/>
          </w:cols>
          <w:pgMar w:left="320" w:top="823" w:right="339" w:bottom="1440" w:gutter="0" w:footer="0" w:header="0"/>
        </w:sect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top w:val="single" w:sz="8" w:color="auto"/>
              <w:right w:val="single" w:sz="8" w:color="auto"/>
            </w:tcBorders>
          </w:tcPr>
          <w:p>
            <w:pPr>
              <w:spacing w:after="0"/>
              <w:rPr>
                <w:sz w:val="22"/>
                <w:szCs w:val="22"/>
                <w:color w:val="auto"/>
              </w:rPr>
            </w:pPr>
          </w:p>
        </w:tc>
        <w:tc>
          <w:tcPr>
            <w:tcW w:w="8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General Atlantic (Lux) S.à r.l.</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auto"/>
            </w:tcBorders>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800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Luxembourg</w:t>
            </w: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2,420,155</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2,420,155</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88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2,420,155</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7.3%</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type w:val="continuous"/>
        </w:sectPr>
      </w:pPr>
    </w:p>
    <w:bookmarkStart w:id="14" w:name="page15"/>
    <w:bookmarkEnd w:id="14"/>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N69605108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15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-124460</wp:posOffset>
            </wp:positionV>
            <wp:extent cx="144018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220" w:space="720"/>
            <w:col w:w="4560" w:space="720"/>
            <w:col w:w="1020"/>
          </w:cols>
          <w:pgMar w:left="320" w:top="823" w:right="339" w:bottom="1440" w:gutter="0" w:footer="0" w:header="0"/>
        </w:sect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top w:val="single" w:sz="8" w:color="auto"/>
              <w:right w:val="single" w:sz="8" w:color="auto"/>
            </w:tcBorders>
          </w:tcPr>
          <w:p>
            <w:pPr>
              <w:spacing w:after="0"/>
              <w:rPr>
                <w:sz w:val="22"/>
                <w:szCs w:val="22"/>
                <w:color w:val="auto"/>
              </w:rPr>
            </w:pPr>
          </w:p>
        </w:tc>
        <w:tc>
          <w:tcPr>
            <w:tcW w:w="8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General Atlantic GenPar (Bermuda), L.P.</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auto"/>
            </w:tcBorders>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800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Bermuda</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2,420,155</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2,420,155</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88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2,420,155</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7.3%</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type w:val="continuous"/>
        </w:sectPr>
      </w:pPr>
    </w:p>
    <w:bookmarkStart w:id="15" w:name="page16"/>
    <w:bookmarkEnd w:id="15"/>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N69605108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16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-124460</wp:posOffset>
            </wp:positionV>
            <wp:extent cx="144018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220" w:space="720"/>
            <w:col w:w="4560" w:space="720"/>
            <w:col w:w="1020"/>
          </w:cols>
          <w:pgMar w:left="320" w:top="823" w:right="339" w:bottom="1440" w:gutter="0" w:footer="0" w:header="0"/>
        </w:sect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top w:val="single" w:sz="8" w:color="auto"/>
              <w:right w:val="single" w:sz="8" w:color="auto"/>
            </w:tcBorders>
          </w:tcPr>
          <w:p>
            <w:pPr>
              <w:spacing w:after="0"/>
              <w:rPr>
                <w:sz w:val="22"/>
                <w:szCs w:val="22"/>
                <w:color w:val="auto"/>
              </w:rPr>
            </w:pPr>
          </w:p>
        </w:tc>
        <w:tc>
          <w:tcPr>
            <w:tcW w:w="8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GAP (Bermuda) Limited</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auto"/>
            </w:tcBorders>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800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Bermuda</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2,420,155</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2,420,155</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88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2,420,155</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7.3%</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type w:val="continuous"/>
        </w:sectPr>
      </w:pPr>
    </w:p>
    <w:bookmarkStart w:id="16" w:name="page17"/>
    <w:bookmarkEnd w:id="16"/>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N69605108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17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-124460</wp:posOffset>
            </wp:positionV>
            <wp:extent cx="144018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220" w:space="720"/>
            <w:col w:w="4560" w:space="720"/>
            <w:col w:w="1000"/>
          </w:cols>
          <w:pgMar w:left="320" w:top="823" w:right="359" w:bottom="1440" w:gutter="0" w:footer="0" w:header="0"/>
        </w:sectPr>
      </w:pPr>
    </w:p>
    <w:p>
      <w:pPr>
        <w:spacing w:after="0" w:line="266" w:lineRule="exact"/>
        <w:rPr>
          <w:sz w:val="20"/>
          <w:szCs w:val="20"/>
          <w:color w:val="auto"/>
        </w:rPr>
      </w:pPr>
    </w:p>
    <w:p>
      <w:pPr>
        <w:spacing w:after="0"/>
        <w:tabs>
          <w:tab w:leader="none" w:pos="1120" w:val="left"/>
          <w:tab w:leader="none" w:pos="1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(a)</w:t>
      </w:r>
      <w:r>
        <w:rPr>
          <w:sz w:val="20"/>
          <w:szCs w:val="20"/>
          <w:color w:val="auto"/>
        </w:rPr>
        <w:tab/>
      </w:r>
      <w:r>
        <w:rPr>
          <w:rFonts w:ascii="Arial" w:cs="Arial" w:eastAsia="Arial" w:hAnsi="Arial"/>
          <w:sz w:val="17"/>
          <w:szCs w:val="17"/>
          <w:b w:val="1"/>
          <w:bCs w:val="1"/>
          <w:color w:val="auto"/>
        </w:rPr>
        <w:t>NAME OF ISSUER</w:t>
      </w:r>
    </w:p>
    <w:p>
      <w:pPr>
        <w:spacing w:after="0" w:line="16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Pharvaris N.V.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54" w:lineRule="exact"/>
        <w:rPr>
          <w:sz w:val="20"/>
          <w:szCs w:val="20"/>
          <w:color w:val="auto"/>
        </w:rPr>
      </w:pPr>
    </w:p>
    <w:p>
      <w:pPr>
        <w:ind w:left="1700" w:right="4560" w:hanging="558"/>
        <w:spacing w:after="0" w:line="447" w:lineRule="auto"/>
        <w:tabs>
          <w:tab w:leader="none" w:pos="170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ADDRESS OF ISSUER’S PRINCIPAL EXECUTIVE OFFICES </w:t>
      </w:r>
      <w:r>
        <w:rPr>
          <w:rFonts w:ascii="Arial" w:cs="Arial" w:eastAsia="Arial" w:hAnsi="Arial"/>
          <w:sz w:val="17"/>
          <w:szCs w:val="17"/>
          <w:color w:val="auto"/>
        </w:rPr>
        <w:t>J.H. Oortweg 21, 2333 CH Leiden, The Netherlands</w:t>
      </w:r>
    </w:p>
    <w:p>
      <w:pPr>
        <w:spacing w:after="0" w:line="1" w:lineRule="exact"/>
        <w:rPr>
          <w:sz w:val="20"/>
          <w:szCs w:val="20"/>
          <w:color w:val="auto"/>
        </w:rPr>
      </w:pPr>
    </w:p>
    <w:p>
      <w:pPr>
        <w:spacing w:after="0"/>
        <w:tabs>
          <w:tab w:leader="none" w:pos="1120" w:val="left"/>
          <w:tab w:leader="none" w:pos="1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(a)</w:t>
      </w:r>
      <w:r>
        <w:rPr>
          <w:sz w:val="20"/>
          <w:szCs w:val="20"/>
          <w:color w:val="auto"/>
        </w:rPr>
        <w:tab/>
      </w:r>
      <w:r>
        <w:rPr>
          <w:rFonts w:ascii="Arial" w:cs="Arial" w:eastAsia="Arial" w:hAnsi="Arial"/>
          <w:sz w:val="17"/>
          <w:szCs w:val="17"/>
          <w:b w:val="1"/>
          <w:bCs w:val="1"/>
          <w:color w:val="auto"/>
        </w:rPr>
        <w:t>NAMES OF PERSONS FILING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Statement is being filed on behalf of each of the following persons (collectively,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w:t>
      </w:r>
    </w:p>
    <w:p>
      <w:pPr>
        <w:spacing w:after="0" w:line="374" w:lineRule="exact"/>
        <w:rPr>
          <w:sz w:val="20"/>
          <w:szCs w:val="20"/>
          <w:color w:val="auto"/>
        </w:rPr>
      </w:pPr>
    </w:p>
    <w:p>
      <w:pPr>
        <w:ind w:left="1700" w:hanging="558"/>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Atlantic PH B.V. (“</w:t>
      </w:r>
      <w:r>
        <w:rPr>
          <w:rFonts w:ascii="Arial" w:cs="Arial" w:eastAsia="Arial" w:hAnsi="Arial"/>
          <w:sz w:val="18"/>
          <w:szCs w:val="18"/>
          <w:u w:val="single" w:color="auto"/>
          <w:color w:val="auto"/>
        </w:rPr>
        <w:t>GA PH</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1700" w:hanging="558"/>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Atlantic Coöperatief U.A. (“</w:t>
      </w:r>
      <w:r>
        <w:rPr>
          <w:rFonts w:ascii="Arial" w:cs="Arial" w:eastAsia="Arial" w:hAnsi="Arial"/>
          <w:sz w:val="18"/>
          <w:szCs w:val="18"/>
          <w:u w:val="single" w:color="auto"/>
          <w:color w:val="auto"/>
        </w:rPr>
        <w:t>GA Coop UA</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1700" w:hanging="558"/>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Atlantic Partners (Bermuda) IV, L.P. (“</w:t>
      </w:r>
      <w:r>
        <w:rPr>
          <w:rFonts w:ascii="Arial" w:cs="Arial" w:eastAsia="Arial" w:hAnsi="Arial"/>
          <w:sz w:val="18"/>
          <w:szCs w:val="18"/>
          <w:u w:val="single" w:color="auto"/>
          <w:color w:val="auto"/>
        </w:rPr>
        <w:t>GAP Bermuda IV</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1700" w:hanging="558"/>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Atlantic Partners (Bermuda) EU, L.P. (“</w:t>
      </w:r>
      <w:r>
        <w:rPr>
          <w:rFonts w:ascii="Arial" w:cs="Arial" w:eastAsia="Arial" w:hAnsi="Arial"/>
          <w:sz w:val="18"/>
          <w:szCs w:val="18"/>
          <w:u w:val="single" w:color="auto"/>
          <w:color w:val="auto"/>
        </w:rPr>
        <w:t>GAP Bermuda EU</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1700" w:hanging="558"/>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Atlantic Partners (Lux) SCSp (“</w:t>
      </w:r>
      <w:r>
        <w:rPr>
          <w:rFonts w:ascii="Arial" w:cs="Arial" w:eastAsia="Arial" w:hAnsi="Arial"/>
          <w:sz w:val="18"/>
          <w:szCs w:val="18"/>
          <w:u w:val="single" w:color="auto"/>
          <w:color w:val="auto"/>
        </w:rPr>
        <w:t>GAP Lux</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1700" w:hanging="558"/>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Atlantic Coöperatief, L.P. (“</w:t>
      </w:r>
      <w:r>
        <w:rPr>
          <w:rFonts w:ascii="Arial" w:cs="Arial" w:eastAsia="Arial" w:hAnsi="Arial"/>
          <w:sz w:val="18"/>
          <w:szCs w:val="18"/>
          <w:u w:val="single" w:color="auto"/>
          <w:color w:val="auto"/>
        </w:rPr>
        <w:t>GA Coop LP</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700" w:hanging="558"/>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GAP Coinvestments III, LLC (“</w:t>
      </w:r>
      <w:r>
        <w:rPr>
          <w:rFonts w:ascii="Arial" w:cs="Arial" w:eastAsia="Arial" w:hAnsi="Arial"/>
          <w:sz w:val="18"/>
          <w:szCs w:val="18"/>
          <w:u w:val="single" w:color="auto"/>
          <w:color w:val="auto"/>
        </w:rPr>
        <w:t>GAPCO III</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1700" w:hanging="558"/>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GAP Coinvestments IV, LLC (“</w:t>
      </w:r>
      <w:r>
        <w:rPr>
          <w:rFonts w:ascii="Arial" w:cs="Arial" w:eastAsia="Arial" w:hAnsi="Arial"/>
          <w:sz w:val="18"/>
          <w:szCs w:val="18"/>
          <w:u w:val="single" w:color="auto"/>
          <w:color w:val="auto"/>
        </w:rPr>
        <w:t>GAPCO IV</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1700" w:hanging="558"/>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GAP Coinvestments V, LLC (“</w:t>
      </w:r>
      <w:r>
        <w:rPr>
          <w:rFonts w:ascii="Arial" w:cs="Arial" w:eastAsia="Arial" w:hAnsi="Arial"/>
          <w:sz w:val="18"/>
          <w:szCs w:val="18"/>
          <w:u w:val="single" w:color="auto"/>
          <w:color w:val="auto"/>
        </w:rPr>
        <w:t>GAPCO V</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1700" w:hanging="558"/>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GAP Coinvestments CDA, L.P. (“</w:t>
      </w:r>
      <w:r>
        <w:rPr>
          <w:rFonts w:ascii="Arial" w:cs="Arial" w:eastAsia="Arial" w:hAnsi="Arial"/>
          <w:sz w:val="18"/>
          <w:szCs w:val="18"/>
          <w:u w:val="single" w:color="auto"/>
          <w:color w:val="auto"/>
        </w:rPr>
        <w:t>GAPCO CDA</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1700" w:hanging="558"/>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Atlantic GenPar, (Lux) SCSp (“</w:t>
      </w:r>
      <w:r>
        <w:rPr>
          <w:rFonts w:ascii="Arial" w:cs="Arial" w:eastAsia="Arial" w:hAnsi="Arial"/>
          <w:sz w:val="18"/>
          <w:szCs w:val="18"/>
          <w:u w:val="single" w:color="auto"/>
          <w:color w:val="auto"/>
        </w:rPr>
        <w:t>GA GenPar Lux</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1700" w:hanging="558"/>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Atlantic (Lux) S.à r.l. (“</w:t>
      </w:r>
      <w:r>
        <w:rPr>
          <w:rFonts w:ascii="Arial" w:cs="Arial" w:eastAsia="Arial" w:hAnsi="Arial"/>
          <w:sz w:val="18"/>
          <w:szCs w:val="18"/>
          <w:u w:val="single" w:color="auto"/>
          <w:color w:val="auto"/>
        </w:rPr>
        <w:t>GA Lux</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1700" w:hanging="558"/>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Atlantic GenPar (Bermuda), L.P. (“</w:t>
      </w:r>
      <w:r>
        <w:rPr>
          <w:rFonts w:ascii="Arial" w:cs="Arial" w:eastAsia="Arial" w:hAnsi="Arial"/>
          <w:sz w:val="18"/>
          <w:szCs w:val="18"/>
          <w:u w:val="single" w:color="auto"/>
          <w:color w:val="auto"/>
        </w:rPr>
        <w:t>GenPar Bermuda</w:t>
      </w:r>
      <w:r>
        <w:rPr>
          <w:rFonts w:ascii="Arial" w:cs="Arial" w:eastAsia="Arial" w:hAnsi="Arial"/>
          <w:sz w:val="18"/>
          <w:szCs w:val="18"/>
          <w:color w:val="auto"/>
        </w:rPr>
        <w:t>”); and</w:t>
      </w:r>
    </w:p>
    <w:p>
      <w:pPr>
        <w:spacing w:after="0" w:line="157" w:lineRule="exact"/>
        <w:rPr>
          <w:rFonts w:ascii="Arial" w:cs="Arial" w:eastAsia="Arial" w:hAnsi="Arial"/>
          <w:sz w:val="18"/>
          <w:szCs w:val="18"/>
          <w:color w:val="auto"/>
        </w:rPr>
      </w:pPr>
    </w:p>
    <w:p>
      <w:pPr>
        <w:ind w:left="1700" w:hanging="558"/>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GAP (Bermuda) Limited (“</w:t>
      </w:r>
      <w:r>
        <w:rPr>
          <w:rFonts w:ascii="Arial" w:cs="Arial" w:eastAsia="Arial" w:hAnsi="Arial"/>
          <w:sz w:val="18"/>
          <w:szCs w:val="18"/>
          <w:u w:val="single" w:color="auto"/>
          <w:color w:val="auto"/>
        </w:rPr>
        <w:t>GAP (Bermuda) Limited</w:t>
      </w:r>
      <w:r>
        <w:rPr>
          <w:rFonts w:ascii="Arial" w:cs="Arial" w:eastAsia="Arial" w:hAnsi="Arial"/>
          <w:sz w:val="18"/>
          <w:szCs w:val="18"/>
          <w:color w:val="auto"/>
        </w:rPr>
        <w:t>”)</w:t>
      </w:r>
    </w:p>
    <w:p>
      <w:pPr>
        <w:spacing w:after="0" w:line="21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GAP (Bermuda) IV, GAP (Bermuda) EU, GAP Lux, GA Coop LP collectively referred to as the “</w:t>
      </w:r>
      <w:r>
        <w:rPr>
          <w:rFonts w:ascii="Arial" w:cs="Arial" w:eastAsia="Arial" w:hAnsi="Arial"/>
          <w:sz w:val="18"/>
          <w:szCs w:val="18"/>
          <w:u w:val="single" w:color="auto"/>
          <w:color w:val="auto"/>
        </w:rPr>
        <w:t>GA Funds</w:t>
      </w:r>
      <w:r>
        <w:rPr>
          <w:rFonts w:ascii="Arial" w:cs="Arial" w:eastAsia="Arial" w:hAnsi="Arial"/>
          <w:sz w:val="18"/>
          <w:szCs w:val="18"/>
          <w:color w:val="auto"/>
        </w:rPr>
        <w:t>.” GAPCO III, GAPCO IV, GAPCO V and GAPCO CDA are collectively referred to as the “</w:t>
      </w:r>
      <w:r>
        <w:rPr>
          <w:rFonts w:ascii="Arial" w:cs="Arial" w:eastAsia="Arial" w:hAnsi="Arial"/>
          <w:sz w:val="18"/>
          <w:szCs w:val="18"/>
          <w:u w:val="single" w:color="auto"/>
          <w:color w:val="auto"/>
        </w:rPr>
        <w:t>Sponsor Coinvestment Funds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type w:val="continuous"/>
        </w:sectPr>
      </w:pPr>
    </w:p>
    <w:bookmarkStart w:id="17" w:name="page18"/>
    <w:bookmarkEnd w:id="17"/>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N69605108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18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-124460</wp:posOffset>
            </wp:positionV>
            <wp:extent cx="144018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220" w:space="720"/>
            <w:col w:w="4560" w:space="720"/>
            <w:col w:w="1000"/>
          </w:cols>
          <w:pgMar w:left="320" w:top="823" w:right="359" w:bottom="1440" w:gutter="0" w:footer="0" w:header="0"/>
        </w:sectPr>
      </w:pPr>
    </w:p>
    <w:p>
      <w:pPr>
        <w:spacing w:after="0" w:line="266" w:lineRule="exact"/>
        <w:rPr>
          <w:sz w:val="20"/>
          <w:szCs w:val="20"/>
          <w:color w:val="auto"/>
        </w:rPr>
      </w:pPr>
    </w:p>
    <w:p>
      <w:pPr>
        <w:ind w:left="1700" w:hanging="558"/>
        <w:spacing w:after="0"/>
        <w:tabs>
          <w:tab w:leader="none" w:pos="17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address of GA Coop LP, GAP Bermuda IV, GAP Bermuda EU, GenPar Bermuda, and GAP (Bermuda) Limited is Clarendon House, 2 Church Street, Hamilton HM 11, Bermuda. The address of GA Coop UA is Raamplein 1, 1016 XK, Amsterdam, The Netherlands. The address of GAP Lux, GA GenPar Lux and GA Lux is Luxembourg is 412F, Route d’Esch, L-2086 Luxembourg. The address of each of the Sponsor Coinvestment Funds is c/o General Atlantic Service Company, L.P., 55 East 52nd Street, 33rd Floor, New York, NY 10055.</w:t>
      </w:r>
    </w:p>
    <w:p>
      <w:pPr>
        <w:spacing w:after="0" w:line="183" w:lineRule="exact"/>
        <w:rPr>
          <w:sz w:val="20"/>
          <w:szCs w:val="20"/>
          <w:color w:val="auto"/>
        </w:rPr>
      </w:pPr>
    </w:p>
    <w:p>
      <w:pPr>
        <w:ind w:left="1700" w:hanging="558"/>
        <w:spacing w:after="0"/>
        <w:tabs>
          <w:tab w:leader="none" w:pos="17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162" w:lineRule="exact"/>
        <w:rPr>
          <w:sz w:val="20"/>
          <w:szCs w:val="20"/>
          <w:color w:val="auto"/>
        </w:rPr>
      </w:pPr>
    </w:p>
    <w:p>
      <w:pPr>
        <w:ind w:left="1700" w:hanging="558"/>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 PH – The Netherlands</w:t>
      </w:r>
    </w:p>
    <w:p>
      <w:pPr>
        <w:spacing w:after="0" w:line="157" w:lineRule="exact"/>
        <w:rPr>
          <w:rFonts w:ascii="Arial" w:cs="Arial" w:eastAsia="Arial" w:hAnsi="Arial"/>
          <w:sz w:val="18"/>
          <w:szCs w:val="18"/>
          <w:color w:val="auto"/>
        </w:rPr>
      </w:pPr>
    </w:p>
    <w:p>
      <w:pPr>
        <w:ind w:left="1700" w:hanging="558"/>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 Coop UA - The Netherlands</w:t>
      </w:r>
    </w:p>
    <w:p>
      <w:pPr>
        <w:spacing w:after="0" w:line="157" w:lineRule="exact"/>
        <w:rPr>
          <w:rFonts w:ascii="Arial" w:cs="Arial" w:eastAsia="Arial" w:hAnsi="Arial"/>
          <w:sz w:val="18"/>
          <w:szCs w:val="18"/>
          <w:color w:val="auto"/>
        </w:rPr>
      </w:pPr>
    </w:p>
    <w:p>
      <w:pPr>
        <w:ind w:left="1700" w:hanging="558"/>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GAP Bermuda IV - Bermuda</w:t>
      </w:r>
    </w:p>
    <w:p>
      <w:pPr>
        <w:spacing w:after="0" w:line="157" w:lineRule="exact"/>
        <w:rPr>
          <w:rFonts w:ascii="Arial" w:cs="Arial" w:eastAsia="Arial" w:hAnsi="Arial"/>
          <w:sz w:val="18"/>
          <w:szCs w:val="18"/>
          <w:color w:val="auto"/>
        </w:rPr>
      </w:pPr>
    </w:p>
    <w:p>
      <w:pPr>
        <w:ind w:left="1700" w:hanging="558"/>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GAP Bermuda EU – Bermuda</w:t>
      </w:r>
    </w:p>
    <w:p>
      <w:pPr>
        <w:spacing w:after="0" w:line="157" w:lineRule="exact"/>
        <w:rPr>
          <w:rFonts w:ascii="Arial" w:cs="Arial" w:eastAsia="Arial" w:hAnsi="Arial"/>
          <w:sz w:val="18"/>
          <w:szCs w:val="18"/>
          <w:color w:val="auto"/>
        </w:rPr>
      </w:pPr>
    </w:p>
    <w:p>
      <w:pPr>
        <w:ind w:left="1700" w:hanging="558"/>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GAP Lux - Luxembourg</w:t>
      </w:r>
    </w:p>
    <w:p>
      <w:pPr>
        <w:spacing w:after="0" w:line="252" w:lineRule="exact"/>
        <w:rPr>
          <w:rFonts w:ascii="Arial" w:cs="Arial" w:eastAsia="Arial" w:hAnsi="Arial"/>
          <w:sz w:val="18"/>
          <w:szCs w:val="18"/>
          <w:color w:val="auto"/>
        </w:rPr>
      </w:pPr>
    </w:p>
    <w:p>
      <w:pPr>
        <w:ind w:left="1700" w:hanging="558"/>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 Coop LP - Bermuda</w:t>
      </w:r>
    </w:p>
    <w:p>
      <w:pPr>
        <w:spacing w:after="0" w:line="279" w:lineRule="exact"/>
        <w:rPr>
          <w:rFonts w:ascii="Arial" w:cs="Arial" w:eastAsia="Arial" w:hAnsi="Arial"/>
          <w:sz w:val="18"/>
          <w:szCs w:val="18"/>
          <w:color w:val="auto"/>
        </w:rPr>
      </w:pPr>
    </w:p>
    <w:p>
      <w:pPr>
        <w:ind w:left="1700" w:hanging="558"/>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GAPCO III - Delaware</w:t>
      </w:r>
    </w:p>
    <w:p>
      <w:pPr>
        <w:spacing w:after="0" w:line="279" w:lineRule="exact"/>
        <w:rPr>
          <w:rFonts w:ascii="Arial" w:cs="Arial" w:eastAsia="Arial" w:hAnsi="Arial"/>
          <w:sz w:val="18"/>
          <w:szCs w:val="18"/>
          <w:color w:val="auto"/>
        </w:rPr>
      </w:pPr>
    </w:p>
    <w:p>
      <w:pPr>
        <w:ind w:left="1700" w:hanging="558"/>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GAPCO IV - Delaware</w:t>
      </w:r>
    </w:p>
    <w:p>
      <w:pPr>
        <w:spacing w:after="0" w:line="279" w:lineRule="exact"/>
        <w:rPr>
          <w:rFonts w:ascii="Arial" w:cs="Arial" w:eastAsia="Arial" w:hAnsi="Arial"/>
          <w:sz w:val="18"/>
          <w:szCs w:val="18"/>
          <w:color w:val="auto"/>
        </w:rPr>
      </w:pPr>
    </w:p>
    <w:p>
      <w:pPr>
        <w:ind w:left="1700" w:hanging="558"/>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GAPCO V - Delaware</w:t>
      </w:r>
    </w:p>
    <w:p>
      <w:pPr>
        <w:spacing w:after="0" w:line="279" w:lineRule="exact"/>
        <w:rPr>
          <w:rFonts w:ascii="Arial" w:cs="Arial" w:eastAsia="Arial" w:hAnsi="Arial"/>
          <w:sz w:val="18"/>
          <w:szCs w:val="18"/>
          <w:color w:val="auto"/>
        </w:rPr>
      </w:pPr>
    </w:p>
    <w:p>
      <w:pPr>
        <w:ind w:left="1700" w:hanging="558"/>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GAPCO CDA - Delaware</w:t>
      </w:r>
    </w:p>
    <w:p>
      <w:pPr>
        <w:spacing w:after="0" w:line="279" w:lineRule="exact"/>
        <w:rPr>
          <w:rFonts w:ascii="Arial" w:cs="Arial" w:eastAsia="Arial" w:hAnsi="Arial"/>
          <w:sz w:val="18"/>
          <w:szCs w:val="18"/>
          <w:color w:val="auto"/>
        </w:rPr>
      </w:pPr>
    </w:p>
    <w:p>
      <w:pPr>
        <w:ind w:left="1700" w:hanging="558"/>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 GenPar Lux - Luxembourg</w:t>
      </w:r>
    </w:p>
    <w:p>
      <w:pPr>
        <w:spacing w:after="0" w:line="184" w:lineRule="exact"/>
        <w:rPr>
          <w:rFonts w:ascii="Arial" w:cs="Arial" w:eastAsia="Arial" w:hAnsi="Arial"/>
          <w:sz w:val="18"/>
          <w:szCs w:val="18"/>
          <w:color w:val="auto"/>
        </w:rPr>
      </w:pPr>
    </w:p>
    <w:p>
      <w:pPr>
        <w:ind w:left="1700" w:hanging="558"/>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 Lux - Luxembourg</w:t>
      </w:r>
    </w:p>
    <w:p>
      <w:pPr>
        <w:spacing w:after="0" w:line="157" w:lineRule="exact"/>
        <w:rPr>
          <w:rFonts w:ascii="Arial" w:cs="Arial" w:eastAsia="Arial" w:hAnsi="Arial"/>
          <w:sz w:val="18"/>
          <w:szCs w:val="18"/>
          <w:color w:val="auto"/>
        </w:rPr>
      </w:pPr>
    </w:p>
    <w:p>
      <w:pPr>
        <w:ind w:left="1700" w:hanging="558"/>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GenPar Bermuda - Bermuda</w:t>
      </w:r>
    </w:p>
    <w:p>
      <w:pPr>
        <w:spacing w:after="0" w:line="157" w:lineRule="exact"/>
        <w:rPr>
          <w:rFonts w:ascii="Arial" w:cs="Arial" w:eastAsia="Arial" w:hAnsi="Arial"/>
          <w:sz w:val="18"/>
          <w:szCs w:val="18"/>
          <w:color w:val="auto"/>
        </w:rPr>
      </w:pPr>
    </w:p>
    <w:p>
      <w:pPr>
        <w:ind w:left="1700" w:hanging="558"/>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GAP (Bermuda) Limited – Bermuda</w:t>
      </w:r>
    </w:p>
    <w:p>
      <w:pPr>
        <w:spacing w:after="0" w:line="248" w:lineRule="exact"/>
        <w:rPr>
          <w:sz w:val="20"/>
          <w:szCs w:val="20"/>
          <w:color w:val="auto"/>
        </w:rPr>
      </w:pPr>
    </w:p>
    <w:p>
      <w:pPr>
        <w:ind w:left="1700" w:hanging="558"/>
        <w:spacing w:after="0"/>
        <w:tabs>
          <w:tab w:leader="none" w:pos="17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Ordinary shares, par value €0.01 per share (the “</w:t>
      </w:r>
      <w:r>
        <w:rPr>
          <w:rFonts w:ascii="Arial" w:cs="Arial" w:eastAsia="Arial" w:hAnsi="Arial"/>
          <w:sz w:val="18"/>
          <w:szCs w:val="18"/>
          <w:u w:val="single" w:color="auto"/>
          <w:color w:val="auto"/>
        </w:rPr>
        <w:t>ordinary shares</w:t>
      </w:r>
      <w:r>
        <w:rPr>
          <w:rFonts w:ascii="Arial" w:cs="Arial" w:eastAsia="Arial" w:hAnsi="Arial"/>
          <w:sz w:val="18"/>
          <w:szCs w:val="18"/>
          <w:color w:val="auto"/>
        </w:rPr>
        <w:t>”)</w:t>
      </w:r>
    </w:p>
    <w:p>
      <w:pPr>
        <w:spacing w:after="0" w:line="221" w:lineRule="exact"/>
        <w:rPr>
          <w:sz w:val="20"/>
          <w:szCs w:val="20"/>
          <w:color w:val="auto"/>
        </w:rPr>
      </w:pPr>
    </w:p>
    <w:p>
      <w:pPr>
        <w:ind w:left="1700" w:hanging="558"/>
        <w:spacing w:after="0"/>
        <w:tabs>
          <w:tab w:leader="none" w:pos="17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CUSIP NUMBER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N69605108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type w:val="continuous"/>
        </w:sectPr>
      </w:pPr>
    </w:p>
    <w:bookmarkStart w:id="18" w:name="page19"/>
    <w:bookmarkEnd w:id="18"/>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N69605108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19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-124460</wp:posOffset>
            </wp:positionV>
            <wp:extent cx="144018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220" w:space="720"/>
            <w:col w:w="4560" w:space="720"/>
            <w:col w:w="1000"/>
          </w:cols>
          <w:pgMar w:left="320" w:top="823" w:right="359" w:bottom="1440" w:gutter="0" w:footer="0" w:header="0"/>
        </w:sectPr>
      </w:pPr>
    </w:p>
    <w:p>
      <w:pPr>
        <w:spacing w:after="0" w:line="293" w:lineRule="exact"/>
        <w:rPr>
          <w:sz w:val="20"/>
          <w:szCs w:val="20"/>
          <w:color w:val="auto"/>
        </w:rPr>
      </w:pPr>
    </w:p>
    <w:p>
      <w:pPr>
        <w:ind w:left="1140" w:right="28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RULES 13d-1(b) OR 13d-2(b) OR (c), CHECK WHETHER THE PERSON FILING 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9, 2021, the Reporting Persons owned the following number of the Company’s common stock:</w:t>
      </w:r>
    </w:p>
    <w:p>
      <w:pPr>
        <w:spacing w:after="0" w:line="225" w:lineRule="exact"/>
        <w:rPr>
          <w:sz w:val="20"/>
          <w:szCs w:val="20"/>
          <w:color w:val="auto"/>
        </w:rPr>
      </w:pPr>
    </w:p>
    <w:p>
      <w:pPr>
        <w:ind w:left="1700" w:hanging="558"/>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 PH owned of record 2,420,155 ordinary shares or 7.3% of the issued and outstanding ordinary shares</w:t>
      </w:r>
    </w:p>
    <w:p>
      <w:pPr>
        <w:spacing w:after="0" w:line="157" w:lineRule="exact"/>
        <w:rPr>
          <w:rFonts w:ascii="Arial" w:cs="Arial" w:eastAsia="Arial" w:hAnsi="Arial"/>
          <w:sz w:val="18"/>
          <w:szCs w:val="18"/>
          <w:color w:val="auto"/>
        </w:rPr>
      </w:pPr>
    </w:p>
    <w:p>
      <w:pPr>
        <w:ind w:left="1700" w:hanging="558"/>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 Coop UA owned of record no ordinary shares or 0.0% of the issued and outstanding ordinary shares</w:t>
      </w:r>
    </w:p>
    <w:p>
      <w:pPr>
        <w:spacing w:after="0" w:line="157" w:lineRule="exact"/>
        <w:rPr>
          <w:rFonts w:ascii="Arial" w:cs="Arial" w:eastAsia="Arial" w:hAnsi="Arial"/>
          <w:sz w:val="18"/>
          <w:szCs w:val="18"/>
          <w:color w:val="auto"/>
        </w:rPr>
      </w:pPr>
    </w:p>
    <w:p>
      <w:pPr>
        <w:ind w:left="1700" w:hanging="558"/>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GAP Bermuda IV owned of record no ordinary shares or 0.0% of the issued and outstanding ordinary shares</w:t>
      </w:r>
    </w:p>
    <w:p>
      <w:pPr>
        <w:spacing w:after="0" w:line="157" w:lineRule="exact"/>
        <w:rPr>
          <w:rFonts w:ascii="Arial" w:cs="Arial" w:eastAsia="Arial" w:hAnsi="Arial"/>
          <w:sz w:val="18"/>
          <w:szCs w:val="18"/>
          <w:color w:val="auto"/>
        </w:rPr>
      </w:pPr>
    </w:p>
    <w:p>
      <w:pPr>
        <w:ind w:left="1700" w:hanging="558"/>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GAP Bermuda EU owned of record no ordinary shares or 0.0% of the issued and outstanding ordinary shares</w:t>
      </w:r>
    </w:p>
    <w:p>
      <w:pPr>
        <w:spacing w:after="0" w:line="157" w:lineRule="exact"/>
        <w:rPr>
          <w:rFonts w:ascii="Arial" w:cs="Arial" w:eastAsia="Arial" w:hAnsi="Arial"/>
          <w:sz w:val="18"/>
          <w:szCs w:val="18"/>
          <w:color w:val="auto"/>
        </w:rPr>
      </w:pPr>
    </w:p>
    <w:p>
      <w:pPr>
        <w:ind w:left="1700" w:hanging="558"/>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GAP Lux owned of record no ordinary shares or 0.0% of the issued and outstanding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type w:val="continuous"/>
        </w:sectPr>
      </w:pPr>
    </w:p>
    <w:bookmarkStart w:id="19" w:name="page20"/>
    <w:bookmarkEnd w:id="19"/>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N69605108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20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-124460</wp:posOffset>
            </wp:positionV>
            <wp:extent cx="144018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220" w:space="720"/>
            <w:col w:w="4560" w:space="720"/>
            <w:col w:w="1000"/>
          </w:cols>
          <w:pgMar w:left="320" w:top="823" w:right="359" w:bottom="1440" w:gutter="0" w:footer="0" w:header="0"/>
        </w:sectPr>
      </w:pPr>
    </w:p>
    <w:p>
      <w:pPr>
        <w:spacing w:after="0" w:line="270" w:lineRule="exact"/>
        <w:rPr>
          <w:sz w:val="20"/>
          <w:szCs w:val="20"/>
          <w:color w:val="auto"/>
        </w:rPr>
      </w:pPr>
    </w:p>
    <w:p>
      <w:pPr>
        <w:ind w:left="1700" w:hanging="558"/>
        <w:spacing w:after="0"/>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GA Coop LP owned of record no ordinary shares or 0.0% of the issued and outstanding ordinary shares</w:t>
      </w:r>
    </w:p>
    <w:p>
      <w:pPr>
        <w:spacing w:after="0" w:line="157" w:lineRule="exact"/>
        <w:rPr>
          <w:rFonts w:ascii="Arial" w:cs="Arial" w:eastAsia="Arial" w:hAnsi="Arial"/>
          <w:sz w:val="18"/>
          <w:szCs w:val="18"/>
          <w:color w:val="auto"/>
        </w:rPr>
      </w:pPr>
    </w:p>
    <w:p>
      <w:pPr>
        <w:ind w:left="1700" w:hanging="558"/>
        <w:spacing w:after="0"/>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GAPCO III owned of record no ordinary shares or 0.0% of the issued and outstanding ordinary shares</w:t>
      </w:r>
    </w:p>
    <w:p>
      <w:pPr>
        <w:spacing w:after="0" w:line="157" w:lineRule="exact"/>
        <w:rPr>
          <w:rFonts w:ascii="Arial" w:cs="Arial" w:eastAsia="Arial" w:hAnsi="Arial"/>
          <w:sz w:val="18"/>
          <w:szCs w:val="18"/>
          <w:color w:val="auto"/>
        </w:rPr>
      </w:pPr>
    </w:p>
    <w:p>
      <w:pPr>
        <w:ind w:left="1700" w:hanging="558"/>
        <w:spacing w:after="0"/>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GAPCO IV owned of record no ordinary shares or 0.0% of the issued and outstanding ordinary shares</w:t>
      </w:r>
    </w:p>
    <w:p>
      <w:pPr>
        <w:spacing w:after="0" w:line="157" w:lineRule="exact"/>
        <w:rPr>
          <w:rFonts w:ascii="Arial" w:cs="Arial" w:eastAsia="Arial" w:hAnsi="Arial"/>
          <w:sz w:val="18"/>
          <w:szCs w:val="18"/>
          <w:color w:val="auto"/>
        </w:rPr>
      </w:pPr>
    </w:p>
    <w:p>
      <w:pPr>
        <w:ind w:left="1700" w:hanging="558"/>
        <w:spacing w:after="0"/>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GAPCO V owned of record no ordinary shares or 0.0% of the issued and outstanding ordinary shares</w:t>
      </w:r>
    </w:p>
    <w:p>
      <w:pPr>
        <w:spacing w:after="0" w:line="157" w:lineRule="exact"/>
        <w:rPr>
          <w:rFonts w:ascii="Arial" w:cs="Arial" w:eastAsia="Arial" w:hAnsi="Arial"/>
          <w:sz w:val="18"/>
          <w:szCs w:val="18"/>
          <w:color w:val="auto"/>
        </w:rPr>
      </w:pPr>
    </w:p>
    <w:p>
      <w:pPr>
        <w:ind w:left="1700" w:hanging="558"/>
        <w:spacing w:after="0"/>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GAPCO CDA owned of record no ordinary shares or 0.0% of the issued and outstanding ordinary shares</w:t>
      </w:r>
    </w:p>
    <w:p>
      <w:pPr>
        <w:spacing w:after="0" w:line="157" w:lineRule="exact"/>
        <w:rPr>
          <w:rFonts w:ascii="Arial" w:cs="Arial" w:eastAsia="Arial" w:hAnsi="Arial"/>
          <w:sz w:val="18"/>
          <w:szCs w:val="18"/>
          <w:color w:val="auto"/>
        </w:rPr>
      </w:pPr>
    </w:p>
    <w:p>
      <w:pPr>
        <w:ind w:left="1700" w:hanging="558"/>
        <w:spacing w:after="0"/>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GA GenPar Lux owned of record no ordinary shares or 0.0% of the issued and outstanding ordinary shares</w:t>
      </w:r>
    </w:p>
    <w:p>
      <w:pPr>
        <w:spacing w:after="0" w:line="157" w:lineRule="exact"/>
        <w:rPr>
          <w:rFonts w:ascii="Arial" w:cs="Arial" w:eastAsia="Arial" w:hAnsi="Arial"/>
          <w:sz w:val="18"/>
          <w:szCs w:val="18"/>
          <w:color w:val="auto"/>
        </w:rPr>
      </w:pPr>
    </w:p>
    <w:p>
      <w:pPr>
        <w:ind w:left="1700" w:hanging="558"/>
        <w:spacing w:after="0"/>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GA Lux owned of record no ordinary shares or 0.0% of the issued and outstanding ordinary shares</w:t>
      </w:r>
    </w:p>
    <w:p>
      <w:pPr>
        <w:spacing w:after="0" w:line="157" w:lineRule="exact"/>
        <w:rPr>
          <w:rFonts w:ascii="Arial" w:cs="Arial" w:eastAsia="Arial" w:hAnsi="Arial"/>
          <w:sz w:val="18"/>
          <w:szCs w:val="18"/>
          <w:color w:val="auto"/>
        </w:rPr>
      </w:pPr>
    </w:p>
    <w:p>
      <w:pPr>
        <w:ind w:left="1700" w:hanging="558"/>
        <w:spacing w:after="0"/>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GenPar Bermuda owned of record no ordinary shares or 0.0% of the issued and outstanding ordinary shares</w:t>
      </w:r>
    </w:p>
    <w:p>
      <w:pPr>
        <w:spacing w:after="0" w:line="158" w:lineRule="exact"/>
        <w:rPr>
          <w:sz w:val="20"/>
          <w:szCs w:val="20"/>
          <w:color w:val="auto"/>
        </w:rPr>
      </w:pPr>
    </w:p>
    <w:p>
      <w:pPr>
        <w:jc w:val="center"/>
        <w:ind w:left="1020"/>
        <w:spacing w:after="0"/>
        <w:tabs>
          <w:tab w:leader="none" w:pos="180" w:val="left"/>
        </w:tabs>
        <w:rPr>
          <w:sz w:val="20"/>
          <w:szCs w:val="20"/>
          <w:color w:val="auto"/>
        </w:rPr>
      </w:pPr>
      <w:r>
        <w:rPr>
          <w:rFonts w:ascii="Arial" w:cs="Arial" w:eastAsia="Arial" w:hAnsi="Arial"/>
          <w:sz w:val="18"/>
          <w:szCs w:val="18"/>
          <w:color w:val="auto"/>
        </w:rPr>
        <w:t>(ixv)</w:t>
        <w:tab/>
        <w:t>GAP (Bermuda) Limited owned of record no ordinary shares or 0.0% of the issued and outstanding ordinary shares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GA Funds and the Sponsor Coinvestment Funds share beneficial ownership of the shares of common stock held of record by GA PH. GA LLC is the managing member of GAPCO III, GAPCO IV and GAPCO V and the general partner of GAPCO CDA. GA PH is a wholly owned subsidiary of GA Coop UA. The members that share beneficial ownership of the shares held by GA PH through GA Coop UA are the following GA Funds: GAP Bermuda IV, GAP Bermuda EU, GAP Lux and GA Coop LP. The general partner of GAP Lux is GA GenPar Lux and the general partner of GA GenPar Lux is GA Lux. The general partner of GAP Bermuda IV and GAP Bermuda EU and the sole shareholder of GA Lux is GenPar Bermuda. GAP (Bermuda) Limited is the general partner of GenPar Bermuda and GA Coop LP. As of the date hereof, there are nine members of the management committee of GA LLC (the “</w:t>
      </w:r>
      <w:r>
        <w:rPr>
          <w:rFonts w:ascii="Arial" w:cs="Arial" w:eastAsia="Arial" w:hAnsi="Arial"/>
          <w:sz w:val="16"/>
          <w:szCs w:val="16"/>
          <w:u w:val="single" w:color="auto"/>
          <w:color w:val="auto"/>
        </w:rPr>
        <w:t>GA</w:t>
      </w:r>
      <w:r>
        <w:rPr>
          <w:rFonts w:ascii="Arial" w:cs="Arial" w:eastAsia="Arial" w:hAnsi="Arial"/>
          <w:sz w:val="16"/>
          <w:szCs w:val="16"/>
          <w:color w:val="auto"/>
        </w:rPr>
        <w:t xml:space="preserve"> </w:t>
      </w:r>
      <w:r>
        <w:rPr>
          <w:rFonts w:ascii="Arial" w:cs="Arial" w:eastAsia="Arial" w:hAnsi="Arial"/>
          <w:sz w:val="16"/>
          <w:szCs w:val="16"/>
          <w:u w:val="single" w:color="auto"/>
          <w:color w:val="auto"/>
        </w:rPr>
        <w:t>Management Committee</w:t>
      </w:r>
      <w:r>
        <w:rPr>
          <w:rFonts w:ascii="Arial" w:cs="Arial" w:eastAsia="Arial" w:hAnsi="Arial"/>
          <w:sz w:val="16"/>
          <w:szCs w:val="16"/>
          <w:color w:val="auto"/>
        </w:rPr>
        <w:t>”). The members of the GA Management Committee are also the members of the management committee of GAP (Bermuda) Limited. By virtue of the foregoing, the Reporting Persons may be deemed to share voting power and the power to direct the disposition of the shares that each owns of record. Each of the members of the GA Management Committee disclaims ownership of the ordinary shares reported herein except to the extent he or she has a pecuniary interest therein. The name, the business address and the citizenship of each of the members of the GA Management Committee as of the date hereof is attached hereto as Schedule A and is hereby incorporated by reference.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virtue of the relationship described above, each of the Reporting Persons may be deemed to beneficially own 2,420,155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type w:val="continuous"/>
        </w:sectPr>
      </w:pPr>
    </w:p>
    <w:bookmarkStart w:id="20" w:name="page21"/>
    <w:bookmarkEnd w:id="20"/>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N69605108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21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-124460</wp:posOffset>
            </wp:positionV>
            <wp:extent cx="144018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220" w:space="720"/>
            <w:col w:w="4560" w:space="720"/>
            <w:col w:w="1000"/>
          </w:cols>
          <w:pgMar w:left="320" w:top="823" w:right="359" w:bottom="1440" w:gutter="0" w:footer="0" w:header="0"/>
        </w:sect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Percentage Owned</w:t>
      </w:r>
      <w:r>
        <w:rPr>
          <w:rFonts w:ascii="Arial" w:cs="Arial" w:eastAsia="Arial" w:hAnsi="Arial"/>
          <w:sz w:val="18"/>
          <w:szCs w:val="18"/>
          <w:color w:val="auto"/>
        </w:rPr>
        <w:t>:</w:t>
      </w:r>
    </w:p>
    <w:p>
      <w:pPr>
        <w:spacing w:after="0" w:line="225"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All calculation of percentage ownership herein are based on an aggregate of 33,080,351 ordinary shares reported by the Company to be outstanding as of February 1, 2020 as reflected in the Company’s prospectus filed under Rule 424(b)(4), filed with the U.S. Securities and Exchange Commission on February 8, 2021, after giving effect to the exercise in full of the underwriters’ over-allotment option as reported by the Company on February 9, 2021.</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Number of Shares as to Which Such Person Has Sole/Shared Power to Vote or to Direct the Vote and Sole/Shared Power to Dispose or to Direct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Disposition of</w:t>
      </w:r>
      <w:r>
        <w:rPr>
          <w:rFonts w:ascii="Arial" w:cs="Arial" w:eastAsia="Arial" w:hAnsi="Arial"/>
          <w:sz w:val="18"/>
          <w:szCs w:val="18"/>
          <w:color w:val="auto"/>
        </w:rPr>
        <w:t>:</w:t>
      </w:r>
    </w:p>
    <w:p>
      <w:pPr>
        <w:spacing w:after="0" w:line="238" w:lineRule="exact"/>
        <w:rPr>
          <w:sz w:val="20"/>
          <w:szCs w:val="20"/>
          <w:color w:val="auto"/>
        </w:rPr>
      </w:pPr>
    </w:p>
    <w:p>
      <w:pPr>
        <w:ind w:left="660" w:right="180" w:hanging="65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of the Reporting Persons may be deemed to have the sole power to direct the voting and dispositions of the ordinary shares as indicated on such Reporting Person’s cover page included herein.</w:t>
      </w:r>
    </w:p>
    <w:p>
      <w:pPr>
        <w:spacing w:after="0" w:line="197" w:lineRule="exact"/>
        <w:rPr>
          <w:rFonts w:ascii="Arial" w:cs="Arial" w:eastAsia="Arial" w:hAnsi="Arial"/>
          <w:sz w:val="18"/>
          <w:szCs w:val="18"/>
          <w:color w:val="auto"/>
        </w:rPr>
      </w:pPr>
    </w:p>
    <w:p>
      <w:pPr>
        <w:ind w:left="660" w:right="180" w:hanging="65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of the Reporting Persons may be deemed to share the power to direct the voting and dispositions of the 2,240,155 ordinary shares that may be deemed to be owned beneficially by each of them.</w:t>
      </w:r>
    </w:p>
    <w:p>
      <w:pPr>
        <w:spacing w:after="0" w:line="1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type w:val="continuous"/>
        </w:sectPr>
      </w:pPr>
    </w:p>
    <w:bookmarkStart w:id="21" w:name="page22"/>
    <w:bookmarkEnd w:id="21"/>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N69605108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22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-124460</wp:posOffset>
            </wp:positionV>
            <wp:extent cx="144018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220" w:space="720"/>
            <w:col w:w="4560" w:space="720"/>
            <w:col w:w="1000"/>
          </w:cols>
          <w:pgMar w:left="320" w:top="823" w:right="359" w:bottom="1440" w:gutter="0" w:footer="0" w:header="0"/>
        </w:sectPr>
      </w:pPr>
    </w:p>
    <w:p>
      <w:pPr>
        <w:spacing w:after="0" w:line="2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140" w:right="92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Item 4, which states the identity of the members of the group filing this Schedule 13G.</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type w:val="continuous"/>
        </w:sectPr>
      </w:pPr>
    </w:p>
    <w:bookmarkStart w:id="22" w:name="page23"/>
    <w:bookmarkEnd w:id="22"/>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N69605108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23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-124460</wp:posOffset>
            </wp:positionV>
            <wp:extent cx="144018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220" w:space="720"/>
            <w:col w:w="4560" w:space="720"/>
            <w:col w:w="1000"/>
          </w:cols>
          <w:pgMar w:left="320" w:top="823" w:right="359" w:bottom="1440" w:gutter="0" w:footer="0" w:header="0"/>
        </w:sect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9" w:lineRule="exact"/>
        <w:rPr>
          <w:sz w:val="20"/>
          <w:szCs w:val="20"/>
          <w:color w:val="auto"/>
        </w:rPr>
      </w:pPr>
    </w:p>
    <w:p>
      <w:pPr>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Exhibit 1.</w:t>
      </w:r>
      <w:r>
        <w:rPr>
          <w:sz w:val="20"/>
          <w:szCs w:val="20"/>
          <w:color w:val="auto"/>
        </w:rPr>
        <w:tab/>
      </w:r>
      <w:hyperlink w:anchor="page30">
        <w:r>
          <w:rPr>
            <w:rFonts w:ascii="Arial" w:cs="Arial" w:eastAsia="Arial" w:hAnsi="Arial"/>
            <w:sz w:val="16"/>
            <w:szCs w:val="16"/>
            <w:u w:val="single" w:color="auto"/>
            <w:color w:val="0000EE"/>
          </w:rPr>
          <w:t>Joint Filing Agreement as required by Rule 13d-1(k)(1) under the Securities Exchange Act of 2834, as amended.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631825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type w:val="continuous"/>
        </w:sectPr>
      </w:pPr>
    </w:p>
    <w:bookmarkStart w:id="23" w:name="page24"/>
    <w:bookmarkEnd w:id="23"/>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N69605108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24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-124460</wp:posOffset>
            </wp:positionV>
            <wp:extent cx="144018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220" w:space="720"/>
            <w:col w:w="4560" w:space="720"/>
            <w:col w:w="1000"/>
          </w:cols>
          <w:pgMar w:left="320" w:top="823" w:right="359" w:bottom="1440" w:gutter="0" w:footer="0" w:header="0"/>
        </w:sect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60" w:firstLine="129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as of February 18, 2021</w:t>
      </w:r>
    </w:p>
    <w:p>
      <w:pPr>
        <w:spacing w:after="0" w:line="221"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GENERAL ATLANTIC PH B.V.</w:t>
      </w:r>
    </w:p>
    <w:p>
      <w:pPr>
        <w:spacing w:after="0" w:line="310" w:lineRule="exact"/>
        <w:rPr>
          <w:sz w:val="20"/>
          <w:szCs w:val="20"/>
          <w:color w:val="auto"/>
        </w:rPr>
      </w:pPr>
    </w:p>
    <w:tbl>
      <w:tblPr>
        <w:tblLayout w:type="fixed"/>
        <w:tblInd w:w="57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I.M. van der Hoorn</w:t>
            </w:r>
          </w:p>
        </w:tc>
      </w:tr>
      <w:tr>
        <w:trPr>
          <w:trHeight w:val="195"/>
        </w:trPr>
        <w:tc>
          <w:tcPr>
            <w:tcW w:w="580" w:type="dxa"/>
            <w:vAlign w:val="bottom"/>
          </w:tcPr>
          <w:p>
            <w:pPr>
              <w:spacing w:after="0"/>
              <w:rPr>
                <w:sz w:val="16"/>
                <w:szCs w:val="16"/>
                <w:color w:val="auto"/>
              </w:rPr>
            </w:pPr>
          </w:p>
        </w:tc>
        <w:tc>
          <w:tcPr>
            <w:tcW w:w="3920" w:type="dxa"/>
            <w:vAlign w:val="bottom"/>
            <w:gridSpan w:val="2"/>
          </w:tcPr>
          <w:p>
            <w:pPr>
              <w:spacing w:after="0" w:line="195" w:lineRule="exact"/>
              <w:rPr>
                <w:sz w:val="20"/>
                <w:szCs w:val="20"/>
                <w:color w:val="auto"/>
              </w:rPr>
            </w:pPr>
            <w:r>
              <w:rPr>
                <w:rFonts w:ascii="Arial" w:cs="Arial" w:eastAsia="Arial" w:hAnsi="Arial"/>
                <w:sz w:val="18"/>
                <w:szCs w:val="18"/>
                <w:color w:val="auto"/>
              </w:rPr>
              <w:t>Name: I.M. van der Hoorn</w:t>
            </w:r>
          </w:p>
        </w:tc>
      </w:tr>
      <w:tr>
        <w:trPr>
          <w:trHeight w:val="230"/>
        </w:trPr>
        <w:tc>
          <w:tcPr>
            <w:tcW w:w="58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3460" w:type="dxa"/>
            <w:vAlign w:val="bottom"/>
          </w:tcPr>
          <w:p>
            <w:pPr>
              <w:ind w:left="100"/>
              <w:spacing w:after="0"/>
              <w:rPr>
                <w:sz w:val="20"/>
                <w:szCs w:val="20"/>
                <w:color w:val="auto"/>
              </w:rPr>
            </w:pPr>
            <w:r>
              <w:rPr>
                <w:rFonts w:ascii="Arial" w:cs="Arial" w:eastAsia="Arial" w:hAnsi="Arial"/>
                <w:sz w:val="18"/>
                <w:szCs w:val="18"/>
                <w:color w:val="auto"/>
              </w:rPr>
              <w:t>Director A</w:t>
            </w:r>
          </w:p>
        </w:tc>
      </w:tr>
      <w:tr>
        <w:trPr>
          <w:trHeight w:val="36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gridSpan w:val="2"/>
          </w:tcPr>
          <w:p>
            <w:pPr>
              <w:spacing w:after="0"/>
              <w:rPr>
                <w:sz w:val="20"/>
                <w:szCs w:val="20"/>
                <w:color w:val="auto"/>
              </w:rPr>
            </w:pPr>
            <w:r>
              <w:rPr>
                <w:rFonts w:ascii="Arial" w:cs="Arial" w:eastAsia="Arial" w:hAnsi="Arial"/>
                <w:sz w:val="18"/>
                <w:szCs w:val="18"/>
                <w:color w:val="auto"/>
              </w:rPr>
              <w:t>/s/ Wolbert Kamphuijs</w:t>
            </w:r>
          </w:p>
        </w:tc>
      </w:tr>
      <w:tr>
        <w:trPr>
          <w:trHeight w:val="27"/>
        </w:trPr>
        <w:tc>
          <w:tcPr>
            <w:tcW w:w="580" w:type="dxa"/>
            <w:vAlign w:val="bottom"/>
          </w:tcPr>
          <w:p>
            <w:pPr>
              <w:spacing w:after="0"/>
              <w:rPr>
                <w:sz w:val="2"/>
                <w:szCs w:val="2"/>
                <w:color w:val="auto"/>
              </w:rPr>
            </w:pPr>
          </w:p>
        </w:tc>
        <w:tc>
          <w:tcPr>
            <w:tcW w:w="3920" w:type="dxa"/>
            <w:vAlign w:val="bottom"/>
            <w:tcBorders>
              <w:bottom w:val="single" w:sz="8" w:color="auto"/>
            </w:tcBorders>
            <w:gridSpan w:val="2"/>
          </w:tcPr>
          <w:p>
            <w:pPr>
              <w:spacing w:after="0"/>
              <w:rPr>
                <w:sz w:val="2"/>
                <w:szCs w:val="2"/>
                <w:color w:val="auto"/>
              </w:rPr>
            </w:pPr>
          </w:p>
        </w:tc>
      </w:tr>
      <w:tr>
        <w:trPr>
          <w:trHeight w:val="209"/>
        </w:trPr>
        <w:tc>
          <w:tcPr>
            <w:tcW w:w="58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Name: Wolbert Kamphuijs</w:t>
            </w:r>
          </w:p>
        </w:tc>
      </w:tr>
      <w:tr>
        <w:trPr>
          <w:trHeight w:val="230"/>
        </w:trPr>
        <w:tc>
          <w:tcPr>
            <w:tcW w:w="58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3460" w:type="dxa"/>
            <w:vAlign w:val="bottom"/>
          </w:tcPr>
          <w:p>
            <w:pPr>
              <w:ind w:left="100"/>
              <w:spacing w:after="0"/>
              <w:rPr>
                <w:sz w:val="20"/>
                <w:szCs w:val="20"/>
                <w:color w:val="auto"/>
              </w:rPr>
            </w:pPr>
            <w:r>
              <w:rPr>
                <w:rFonts w:ascii="Arial" w:cs="Arial" w:eastAsia="Arial" w:hAnsi="Arial"/>
                <w:sz w:val="18"/>
                <w:szCs w:val="18"/>
                <w:color w:val="auto"/>
              </w:rPr>
              <w:t>Director B</w:t>
            </w:r>
          </w:p>
        </w:tc>
      </w:tr>
    </w:tbl>
    <w:p>
      <w:pPr>
        <w:spacing w:after="0" w:line="252"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GENERAL ATLANTIC COÖPERATIEF U.A.</w:t>
      </w:r>
    </w:p>
    <w:p>
      <w:pPr>
        <w:spacing w:after="0" w:line="310" w:lineRule="exact"/>
        <w:rPr>
          <w:sz w:val="20"/>
          <w:szCs w:val="20"/>
          <w:color w:val="auto"/>
        </w:rPr>
      </w:pPr>
    </w:p>
    <w:tbl>
      <w:tblPr>
        <w:tblLayout w:type="fixed"/>
        <w:tblInd w:w="57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I.M. van der Hoorn</w:t>
            </w:r>
          </w:p>
        </w:tc>
      </w:tr>
      <w:tr>
        <w:trPr>
          <w:trHeight w:val="195"/>
        </w:trPr>
        <w:tc>
          <w:tcPr>
            <w:tcW w:w="580" w:type="dxa"/>
            <w:vAlign w:val="bottom"/>
          </w:tcPr>
          <w:p>
            <w:pPr>
              <w:spacing w:after="0"/>
              <w:rPr>
                <w:sz w:val="16"/>
                <w:szCs w:val="16"/>
                <w:color w:val="auto"/>
              </w:rPr>
            </w:pPr>
          </w:p>
        </w:tc>
        <w:tc>
          <w:tcPr>
            <w:tcW w:w="3920" w:type="dxa"/>
            <w:vAlign w:val="bottom"/>
            <w:gridSpan w:val="2"/>
          </w:tcPr>
          <w:p>
            <w:pPr>
              <w:spacing w:after="0" w:line="195" w:lineRule="exact"/>
              <w:rPr>
                <w:sz w:val="20"/>
                <w:szCs w:val="20"/>
                <w:color w:val="auto"/>
              </w:rPr>
            </w:pPr>
            <w:r>
              <w:rPr>
                <w:rFonts w:ascii="Arial" w:cs="Arial" w:eastAsia="Arial" w:hAnsi="Arial"/>
                <w:sz w:val="18"/>
                <w:szCs w:val="18"/>
                <w:color w:val="auto"/>
              </w:rPr>
              <w:t>Name: I.M. van der Hoorn</w:t>
            </w:r>
          </w:p>
        </w:tc>
      </w:tr>
      <w:tr>
        <w:trPr>
          <w:trHeight w:val="230"/>
        </w:trPr>
        <w:tc>
          <w:tcPr>
            <w:tcW w:w="58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3460" w:type="dxa"/>
            <w:vAlign w:val="bottom"/>
          </w:tcPr>
          <w:p>
            <w:pPr>
              <w:ind w:left="100"/>
              <w:spacing w:after="0"/>
              <w:rPr>
                <w:sz w:val="20"/>
                <w:szCs w:val="20"/>
                <w:color w:val="auto"/>
              </w:rPr>
            </w:pPr>
            <w:r>
              <w:rPr>
                <w:rFonts w:ascii="Arial" w:cs="Arial" w:eastAsia="Arial" w:hAnsi="Arial"/>
                <w:sz w:val="18"/>
                <w:szCs w:val="18"/>
                <w:color w:val="auto"/>
              </w:rPr>
              <w:t>Director A</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gridSpan w:val="2"/>
          </w:tcPr>
          <w:p>
            <w:pPr>
              <w:spacing w:after="0"/>
              <w:rPr>
                <w:sz w:val="20"/>
                <w:szCs w:val="20"/>
                <w:color w:val="auto"/>
              </w:rPr>
            </w:pPr>
            <w:r>
              <w:rPr>
                <w:rFonts w:ascii="Arial" w:cs="Arial" w:eastAsia="Arial" w:hAnsi="Arial"/>
                <w:sz w:val="18"/>
                <w:szCs w:val="18"/>
                <w:color w:val="auto"/>
              </w:rPr>
              <w:t>/s/ Wolbert Kamphuijs</w:t>
            </w:r>
          </w:p>
        </w:tc>
      </w:tr>
      <w:tr>
        <w:trPr>
          <w:trHeight w:val="27"/>
        </w:trPr>
        <w:tc>
          <w:tcPr>
            <w:tcW w:w="580" w:type="dxa"/>
            <w:vAlign w:val="bottom"/>
          </w:tcPr>
          <w:p>
            <w:pPr>
              <w:spacing w:after="0"/>
              <w:rPr>
                <w:sz w:val="2"/>
                <w:szCs w:val="2"/>
                <w:color w:val="auto"/>
              </w:rPr>
            </w:pPr>
          </w:p>
        </w:tc>
        <w:tc>
          <w:tcPr>
            <w:tcW w:w="3920" w:type="dxa"/>
            <w:vAlign w:val="bottom"/>
            <w:tcBorders>
              <w:bottom w:val="single" w:sz="8" w:color="auto"/>
            </w:tcBorders>
            <w:gridSpan w:val="2"/>
          </w:tcPr>
          <w:p>
            <w:pPr>
              <w:spacing w:after="0"/>
              <w:rPr>
                <w:sz w:val="2"/>
                <w:szCs w:val="2"/>
                <w:color w:val="auto"/>
              </w:rPr>
            </w:pPr>
          </w:p>
        </w:tc>
      </w:tr>
      <w:tr>
        <w:trPr>
          <w:trHeight w:val="209"/>
        </w:trPr>
        <w:tc>
          <w:tcPr>
            <w:tcW w:w="58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Name: Wolbert Kamphuijs</w:t>
            </w:r>
          </w:p>
        </w:tc>
      </w:tr>
      <w:tr>
        <w:trPr>
          <w:trHeight w:val="230"/>
        </w:trPr>
        <w:tc>
          <w:tcPr>
            <w:tcW w:w="58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3460" w:type="dxa"/>
            <w:vAlign w:val="bottom"/>
          </w:tcPr>
          <w:p>
            <w:pPr>
              <w:ind w:left="100"/>
              <w:spacing w:after="0"/>
              <w:rPr>
                <w:sz w:val="20"/>
                <w:szCs w:val="20"/>
                <w:color w:val="auto"/>
              </w:rPr>
            </w:pPr>
            <w:r>
              <w:rPr>
                <w:rFonts w:ascii="Arial" w:cs="Arial" w:eastAsia="Arial" w:hAnsi="Arial"/>
                <w:sz w:val="18"/>
                <w:szCs w:val="18"/>
                <w:color w:val="auto"/>
              </w:rPr>
              <w:t>Director B</w:t>
            </w:r>
          </w:p>
        </w:tc>
      </w:tr>
    </w:tbl>
    <w:p>
      <w:pPr>
        <w:spacing w:after="0" w:line="252"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GENERAL ATLANTIC PARTNERS (BERMUDA) IV,</w:t>
      </w:r>
    </w:p>
    <w:p>
      <w:pPr>
        <w:spacing w:after="0" w:line="2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L.P.</w:t>
      </w:r>
    </w:p>
    <w:p>
      <w:pPr>
        <w:spacing w:after="0" w:line="143"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ATLANTIC GENPAR (BERMUDA),</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L.P., its general partner</w:t>
      </w:r>
    </w:p>
    <w:p>
      <w:pPr>
        <w:spacing w:after="0" w:line="143"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GAP (BERMUDA) LIMITED, its general partner</w:t>
      </w:r>
    </w:p>
    <w:p>
      <w:pPr>
        <w:spacing w:after="0" w:line="158"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24942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6320"/>
        <w:spacing w:after="0"/>
        <w:tabs>
          <w:tab w:leader="none" w:pos="6860" w:val="left"/>
        </w:tabs>
        <w:rPr>
          <w:sz w:val="20"/>
          <w:szCs w:val="20"/>
          <w:color w:val="auto"/>
        </w:rPr>
      </w:pPr>
      <w:r>
        <w:rPr>
          <w:rFonts w:ascii="Arial" w:cs="Arial" w:eastAsia="Arial" w:hAnsi="Arial"/>
          <w:sz w:val="18"/>
          <w:szCs w:val="18"/>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type w:val="continuous"/>
        </w:sectPr>
      </w:pPr>
    </w:p>
    <w:bookmarkStart w:id="24" w:name="page25"/>
    <w:bookmarkEnd w:id="24"/>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CUSIP No. N69605108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40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7"/>
              </w:rPr>
              <w:t>Page 25 of 28</w:t>
            </w:r>
          </w:p>
        </w:tc>
      </w:tr>
    </w:tbl>
    <w:p>
      <w:pPr>
        <w:spacing w:after="0" w:line="200" w:lineRule="exact"/>
        <w:rPr>
          <w:sz w:val="20"/>
          <w:szCs w:val="20"/>
          <w:color w:val="auto"/>
        </w:rPr>
      </w:pPr>
    </w:p>
    <w:p>
      <w:pPr>
        <w:spacing w:after="0" w:line="21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GENERAL ATLANTIC PARTNERS (BERMUDA) EU,</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L.P.</w:t>
      </w:r>
    </w:p>
    <w:p>
      <w:pPr>
        <w:spacing w:after="0" w:line="143" w:lineRule="exact"/>
        <w:rPr>
          <w:sz w:val="20"/>
          <w:szCs w:val="20"/>
          <w:color w:val="auto"/>
        </w:rPr>
      </w:pPr>
    </w:p>
    <w:p>
      <w:pPr>
        <w:ind w:left="920"/>
        <w:spacing w:after="0"/>
        <w:tabs>
          <w:tab w:leader="none" w:pos="1360" w:val="left"/>
        </w:tabs>
        <w:rPr>
          <w:sz w:val="20"/>
          <w:szCs w:val="20"/>
          <w:color w:val="auto"/>
        </w:rPr>
      </w:pPr>
      <w:r>
        <w:rPr>
          <w:rFonts w:ascii="Arial" w:cs="Arial" w:eastAsia="Arial" w:hAnsi="Arial"/>
          <w:sz w:val="18"/>
          <w:szCs w:val="18"/>
          <w:color w:val="auto"/>
        </w:rPr>
        <w:t>By:</w:t>
        <w:tab/>
        <w:t>GENERAL ATLANTIC GENPAR (BERMUDA),</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L.P., its general partner</w:t>
      </w:r>
    </w:p>
    <w:p>
      <w:pPr>
        <w:spacing w:after="0" w:line="143" w:lineRule="exact"/>
        <w:rPr>
          <w:sz w:val="20"/>
          <w:szCs w:val="20"/>
          <w:color w:val="auto"/>
        </w:rPr>
      </w:pPr>
    </w:p>
    <w:p>
      <w:pPr>
        <w:ind w:left="920"/>
        <w:spacing w:after="0"/>
        <w:tabs>
          <w:tab w:leader="none" w:pos="1360" w:val="left"/>
        </w:tabs>
        <w:rPr>
          <w:sz w:val="20"/>
          <w:szCs w:val="20"/>
          <w:color w:val="auto"/>
        </w:rPr>
      </w:pPr>
      <w:r>
        <w:rPr>
          <w:rFonts w:ascii="Arial" w:cs="Arial" w:eastAsia="Arial" w:hAnsi="Arial"/>
          <w:sz w:val="18"/>
          <w:szCs w:val="18"/>
          <w:color w:val="auto"/>
        </w:rPr>
        <w:t>By:</w:t>
        <w:tab/>
        <w:t>GAP (BERMUDA) LIMITED, its general partner</w:t>
      </w:r>
    </w:p>
    <w:p>
      <w:pPr>
        <w:spacing w:after="0" w:line="158" w:lineRule="exact"/>
        <w:rPr>
          <w:sz w:val="20"/>
          <w:szCs w:val="20"/>
          <w:color w:val="auto"/>
        </w:rPr>
      </w:pPr>
    </w:p>
    <w:p>
      <w:pPr>
        <w:ind w:left="920"/>
        <w:spacing w:after="0"/>
        <w:tabs>
          <w:tab w:leader="none" w:pos="1360" w:val="left"/>
        </w:tabs>
        <w:rPr>
          <w:sz w:val="20"/>
          <w:szCs w:val="20"/>
          <w:color w:val="auto"/>
        </w:rPr>
      </w:pPr>
      <w:r>
        <w:rPr>
          <w:rFonts w:ascii="Arial" w:cs="Arial" w:eastAsia="Arial" w:hAnsi="Arial"/>
          <w:sz w:val="18"/>
          <w:szCs w:val="18"/>
          <w:color w:val="auto"/>
        </w:rPr>
        <w:t>By:</w:t>
        <w:tab/>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14605</wp:posOffset>
            </wp:positionV>
            <wp:extent cx="24942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1380"/>
        <w:spacing w:after="0"/>
        <w:tabs>
          <w:tab w:leader="none" w:pos="1920" w:val="left"/>
        </w:tabs>
        <w:rPr>
          <w:sz w:val="20"/>
          <w:szCs w:val="20"/>
          <w:color w:val="auto"/>
        </w:rPr>
      </w:pPr>
      <w:r>
        <w:rPr>
          <w:rFonts w:ascii="Arial" w:cs="Arial" w:eastAsia="Arial" w:hAnsi="Arial"/>
          <w:sz w:val="18"/>
          <w:szCs w:val="18"/>
          <w:color w:val="auto"/>
        </w:rPr>
        <w:t>Title:</w:t>
        <w:tab/>
        <w:t>Managing Director</w:t>
      </w:r>
    </w:p>
    <w:p>
      <w:pPr>
        <w:spacing w:after="0" w:line="38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GENERAL ATLANTIC PARTNERS (LUX) SCSP</w:t>
      </w:r>
    </w:p>
    <w:p>
      <w:pPr>
        <w:spacing w:after="0" w:line="162" w:lineRule="exact"/>
        <w:rPr>
          <w:sz w:val="20"/>
          <w:szCs w:val="20"/>
          <w:color w:val="auto"/>
        </w:rPr>
      </w:pPr>
    </w:p>
    <w:p>
      <w:pPr>
        <w:ind w:left="920"/>
        <w:spacing w:after="0"/>
        <w:tabs>
          <w:tab w:leader="none" w:pos="1360" w:val="left"/>
        </w:tabs>
        <w:rPr>
          <w:sz w:val="20"/>
          <w:szCs w:val="20"/>
          <w:color w:val="auto"/>
        </w:rPr>
      </w:pPr>
      <w:r>
        <w:rPr>
          <w:rFonts w:ascii="Arial" w:cs="Arial" w:eastAsia="Arial" w:hAnsi="Arial"/>
          <w:sz w:val="18"/>
          <w:szCs w:val="18"/>
          <w:color w:val="auto"/>
        </w:rPr>
        <w:t>By:</w:t>
        <w:tab/>
        <w:t>GENERAL ATLANTIC GENPAR (LUX) SCSP, its</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general partner</w:t>
      </w:r>
    </w:p>
    <w:p>
      <w:pPr>
        <w:spacing w:after="0" w:line="143" w:lineRule="exact"/>
        <w:rPr>
          <w:sz w:val="20"/>
          <w:szCs w:val="20"/>
          <w:color w:val="auto"/>
        </w:rPr>
      </w:pPr>
    </w:p>
    <w:p>
      <w:pPr>
        <w:ind w:left="920"/>
        <w:spacing w:after="0"/>
        <w:tabs>
          <w:tab w:leader="none" w:pos="1360" w:val="left"/>
        </w:tabs>
        <w:rPr>
          <w:sz w:val="20"/>
          <w:szCs w:val="20"/>
          <w:color w:val="auto"/>
        </w:rPr>
      </w:pPr>
      <w:r>
        <w:rPr>
          <w:rFonts w:ascii="Arial" w:cs="Arial" w:eastAsia="Arial" w:hAnsi="Arial"/>
          <w:sz w:val="18"/>
          <w:szCs w:val="18"/>
          <w:color w:val="auto"/>
        </w:rPr>
        <w:t>By:</w:t>
        <w:tab/>
        <w:t>GENERAL ATLANTIC (LUX) S.À R.L.</w:t>
      </w:r>
    </w:p>
    <w:p>
      <w:pPr>
        <w:spacing w:after="0" w:line="279" w:lineRule="exact"/>
        <w:rPr>
          <w:sz w:val="20"/>
          <w:szCs w:val="20"/>
          <w:color w:val="auto"/>
        </w:rPr>
      </w:pPr>
    </w:p>
    <w:p>
      <w:pPr>
        <w:ind w:left="920"/>
        <w:spacing w:after="0"/>
        <w:tabs>
          <w:tab w:leader="none" w:pos="1360" w:val="left"/>
        </w:tabs>
        <w:rPr>
          <w:sz w:val="20"/>
          <w:szCs w:val="20"/>
          <w:color w:val="auto"/>
        </w:rPr>
      </w:pPr>
      <w:r>
        <w:rPr>
          <w:rFonts w:ascii="Arial" w:cs="Arial" w:eastAsia="Arial" w:hAnsi="Arial"/>
          <w:sz w:val="18"/>
          <w:szCs w:val="18"/>
          <w:color w:val="auto"/>
        </w:rPr>
        <w:t>By:</w:t>
        <w:tab/>
        <w:t>/s/ Ingrid van der Hoorn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14605</wp:posOffset>
            </wp:positionV>
            <wp:extent cx="24942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Name: Ingrid van der Hoorn</w:t>
      </w:r>
    </w:p>
    <w:p>
      <w:pPr>
        <w:spacing w:after="0" w:line="23" w:lineRule="exact"/>
        <w:rPr>
          <w:sz w:val="20"/>
          <w:szCs w:val="20"/>
          <w:color w:val="auto"/>
        </w:rPr>
      </w:pPr>
    </w:p>
    <w:p>
      <w:pPr>
        <w:ind w:left="1380"/>
        <w:spacing w:after="0"/>
        <w:tabs>
          <w:tab w:leader="none" w:pos="1920" w:val="left"/>
        </w:tabs>
        <w:rPr>
          <w:sz w:val="20"/>
          <w:szCs w:val="20"/>
          <w:color w:val="auto"/>
        </w:rPr>
      </w:pPr>
      <w:r>
        <w:rPr>
          <w:rFonts w:ascii="Arial" w:cs="Arial" w:eastAsia="Arial" w:hAnsi="Arial"/>
          <w:sz w:val="18"/>
          <w:szCs w:val="18"/>
          <w:color w:val="auto"/>
        </w:rPr>
        <w:t>Title:</w:t>
        <w:tab/>
        <w:t>Manager A</w:t>
      </w:r>
    </w:p>
    <w:p>
      <w:pPr>
        <w:spacing w:after="0" w:line="14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 William Blackwell</w:t>
      </w:r>
    </w:p>
    <w:p>
      <w:pPr>
        <w:spacing w:after="0" w:line="5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Name: William Blackwell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-130175</wp:posOffset>
            </wp:positionV>
            <wp:extent cx="24942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1380"/>
        <w:spacing w:after="0"/>
        <w:tabs>
          <w:tab w:leader="none" w:pos="1920" w:val="left"/>
        </w:tabs>
        <w:rPr>
          <w:sz w:val="20"/>
          <w:szCs w:val="20"/>
          <w:color w:val="auto"/>
        </w:rPr>
      </w:pPr>
      <w:r>
        <w:rPr>
          <w:rFonts w:ascii="Arial" w:cs="Arial" w:eastAsia="Arial" w:hAnsi="Arial"/>
          <w:sz w:val="18"/>
          <w:szCs w:val="18"/>
          <w:color w:val="auto"/>
        </w:rPr>
        <w:t>Title:</w:t>
        <w:tab/>
        <w:t>Manager B</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GENERAL ATLANTIC COÖPERATIEF, L.P.</w:t>
      </w:r>
    </w:p>
    <w:p>
      <w:pPr>
        <w:spacing w:after="0" w:line="162" w:lineRule="exact"/>
        <w:rPr>
          <w:sz w:val="20"/>
          <w:szCs w:val="20"/>
          <w:color w:val="auto"/>
        </w:rPr>
      </w:pPr>
    </w:p>
    <w:p>
      <w:pPr>
        <w:ind w:left="920"/>
        <w:spacing w:after="0"/>
        <w:tabs>
          <w:tab w:leader="none" w:pos="1360" w:val="left"/>
        </w:tabs>
        <w:rPr>
          <w:sz w:val="20"/>
          <w:szCs w:val="20"/>
          <w:color w:val="auto"/>
        </w:rPr>
      </w:pPr>
      <w:r>
        <w:rPr>
          <w:rFonts w:ascii="Arial" w:cs="Arial" w:eastAsia="Arial" w:hAnsi="Arial"/>
          <w:sz w:val="18"/>
          <w:szCs w:val="18"/>
          <w:color w:val="auto"/>
        </w:rPr>
        <w:t>By:</w:t>
        <w:tab/>
        <w:t>GAP (BERMUDA) LIMITED, its general partner</w:t>
      </w:r>
    </w:p>
    <w:p>
      <w:pPr>
        <w:spacing w:after="0" w:line="279" w:lineRule="exact"/>
        <w:rPr>
          <w:sz w:val="20"/>
          <w:szCs w:val="20"/>
          <w:color w:val="auto"/>
        </w:rPr>
      </w:pPr>
    </w:p>
    <w:p>
      <w:pPr>
        <w:ind w:left="920"/>
        <w:spacing w:after="0"/>
        <w:tabs>
          <w:tab w:leader="none" w:pos="1360" w:val="left"/>
        </w:tabs>
        <w:rPr>
          <w:sz w:val="20"/>
          <w:szCs w:val="20"/>
          <w:color w:val="auto"/>
        </w:rPr>
      </w:pPr>
      <w:r>
        <w:rPr>
          <w:rFonts w:ascii="Arial" w:cs="Arial" w:eastAsia="Arial" w:hAnsi="Arial"/>
          <w:sz w:val="18"/>
          <w:szCs w:val="18"/>
          <w:color w:val="auto"/>
        </w:rPr>
        <w:t>By:</w:t>
        <w:tab/>
        <w:t>/s/ Michael Gosk</w:t>
      </w:r>
    </w:p>
    <w:p>
      <w:pPr>
        <w:spacing w:after="0" w:line="5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Name: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-130175</wp:posOffset>
            </wp:positionV>
            <wp:extent cx="24942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1380"/>
        <w:spacing w:after="0"/>
        <w:tabs>
          <w:tab w:leader="none" w:pos="1920" w:val="left"/>
        </w:tabs>
        <w:rPr>
          <w:sz w:val="20"/>
          <w:szCs w:val="20"/>
          <w:color w:val="auto"/>
        </w:rPr>
      </w:pPr>
      <w:r>
        <w:rPr>
          <w:rFonts w:ascii="Arial" w:cs="Arial" w:eastAsia="Arial" w:hAnsi="Arial"/>
          <w:sz w:val="18"/>
          <w:szCs w:val="18"/>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528955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180" w:space="720"/>
            <w:col w:w="6300"/>
          </w:cols>
          <w:pgMar w:left="360" w:top="794" w:right="339" w:bottom="1440" w:gutter="0" w:footer="0" w:header="0"/>
        </w:sectPr>
      </w:pPr>
    </w:p>
    <w:bookmarkStart w:id="25" w:name="page26"/>
    <w:bookmarkEnd w:id="25"/>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CUSIP No. N69605108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40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7"/>
              </w:rPr>
              <w:t>Page 26 of 28</w:t>
            </w:r>
          </w:p>
        </w:tc>
      </w:tr>
    </w:tbl>
    <w:p>
      <w:pPr>
        <w:spacing w:after="0" w:line="200" w:lineRule="exact"/>
        <w:rPr>
          <w:sz w:val="20"/>
          <w:szCs w:val="20"/>
          <w:color w:val="auto"/>
        </w:rPr>
      </w:pPr>
    </w:p>
    <w:p>
      <w:pPr>
        <w:spacing w:after="0" w:line="21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GAP COINVESTMENTS III, LLC</w:t>
      </w:r>
    </w:p>
    <w:p>
      <w:pPr>
        <w:spacing w:after="0" w:line="162" w:lineRule="exact"/>
        <w:rPr>
          <w:sz w:val="20"/>
          <w:szCs w:val="20"/>
          <w:color w:val="auto"/>
        </w:rPr>
      </w:pPr>
    </w:p>
    <w:p>
      <w:pPr>
        <w:ind w:left="920"/>
        <w:spacing w:after="0"/>
        <w:tabs>
          <w:tab w:leader="none" w:pos="1360" w:val="left"/>
        </w:tabs>
        <w:rPr>
          <w:sz w:val="20"/>
          <w:szCs w:val="20"/>
          <w:color w:val="auto"/>
        </w:rPr>
      </w:pPr>
      <w:r>
        <w:rPr>
          <w:rFonts w:ascii="Arial" w:cs="Arial" w:eastAsia="Arial" w:hAnsi="Arial"/>
          <w:sz w:val="18"/>
          <w:szCs w:val="18"/>
          <w:color w:val="auto"/>
        </w:rPr>
        <w:t>By:</w:t>
        <w:tab/>
        <w:t>GENERAL ATLANTIC LLC, its managing member</w:t>
      </w:r>
    </w:p>
    <w:p>
      <w:pPr>
        <w:spacing w:after="0" w:line="158" w:lineRule="exact"/>
        <w:rPr>
          <w:sz w:val="20"/>
          <w:szCs w:val="20"/>
          <w:color w:val="auto"/>
        </w:rPr>
      </w:pPr>
    </w:p>
    <w:p>
      <w:pPr>
        <w:ind w:left="920"/>
        <w:spacing w:after="0"/>
        <w:tabs>
          <w:tab w:leader="none" w:pos="1360" w:val="left"/>
        </w:tabs>
        <w:rPr>
          <w:sz w:val="20"/>
          <w:szCs w:val="20"/>
          <w:color w:val="auto"/>
        </w:rPr>
      </w:pPr>
      <w:r>
        <w:rPr>
          <w:rFonts w:ascii="Arial" w:cs="Arial" w:eastAsia="Arial" w:hAnsi="Arial"/>
          <w:sz w:val="18"/>
          <w:szCs w:val="18"/>
          <w:color w:val="auto"/>
        </w:rPr>
        <w:t>By:</w:t>
        <w:tab/>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14605</wp:posOffset>
            </wp:positionV>
            <wp:extent cx="24942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1380"/>
        <w:spacing w:after="0"/>
        <w:tabs>
          <w:tab w:leader="none" w:pos="1920" w:val="left"/>
        </w:tabs>
        <w:rPr>
          <w:sz w:val="20"/>
          <w:szCs w:val="20"/>
          <w:color w:val="auto"/>
        </w:rPr>
      </w:pPr>
      <w:r>
        <w:rPr>
          <w:rFonts w:ascii="Arial" w:cs="Arial" w:eastAsia="Arial" w:hAnsi="Arial"/>
          <w:sz w:val="18"/>
          <w:szCs w:val="18"/>
          <w:color w:val="auto"/>
        </w:rPr>
        <w:t>Title:</w:t>
        <w:tab/>
        <w:t>Managing Director</w:t>
      </w:r>
    </w:p>
    <w:p>
      <w:pPr>
        <w:spacing w:after="0" w:line="28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GAP COINVESTMENTS IV, LLC</w:t>
      </w:r>
    </w:p>
    <w:p>
      <w:pPr>
        <w:spacing w:after="0" w:line="162" w:lineRule="exact"/>
        <w:rPr>
          <w:sz w:val="20"/>
          <w:szCs w:val="20"/>
          <w:color w:val="auto"/>
        </w:rPr>
      </w:pPr>
    </w:p>
    <w:p>
      <w:pPr>
        <w:ind w:left="920"/>
        <w:spacing w:after="0"/>
        <w:tabs>
          <w:tab w:leader="none" w:pos="1360" w:val="left"/>
        </w:tabs>
        <w:rPr>
          <w:sz w:val="20"/>
          <w:szCs w:val="20"/>
          <w:color w:val="auto"/>
        </w:rPr>
      </w:pPr>
      <w:r>
        <w:rPr>
          <w:rFonts w:ascii="Arial" w:cs="Arial" w:eastAsia="Arial" w:hAnsi="Arial"/>
          <w:sz w:val="18"/>
          <w:szCs w:val="18"/>
          <w:color w:val="auto"/>
        </w:rPr>
        <w:t>By:</w:t>
        <w:tab/>
        <w:t>GENERAL ATLANTIC LLC, its managing member</w:t>
      </w:r>
    </w:p>
    <w:p>
      <w:pPr>
        <w:spacing w:after="0" w:line="158" w:lineRule="exact"/>
        <w:rPr>
          <w:sz w:val="20"/>
          <w:szCs w:val="20"/>
          <w:color w:val="auto"/>
        </w:rPr>
      </w:pPr>
    </w:p>
    <w:p>
      <w:pPr>
        <w:ind w:left="920"/>
        <w:spacing w:after="0"/>
        <w:tabs>
          <w:tab w:leader="none" w:pos="1360" w:val="left"/>
        </w:tabs>
        <w:rPr>
          <w:sz w:val="20"/>
          <w:szCs w:val="20"/>
          <w:color w:val="auto"/>
        </w:rPr>
      </w:pPr>
      <w:r>
        <w:rPr>
          <w:rFonts w:ascii="Arial" w:cs="Arial" w:eastAsia="Arial" w:hAnsi="Arial"/>
          <w:sz w:val="18"/>
          <w:szCs w:val="18"/>
          <w:color w:val="auto"/>
        </w:rPr>
        <w:t>By:</w:t>
        <w:tab/>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14605</wp:posOffset>
            </wp:positionV>
            <wp:extent cx="24942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1380"/>
        <w:spacing w:after="0"/>
        <w:tabs>
          <w:tab w:leader="none" w:pos="1920" w:val="left"/>
        </w:tabs>
        <w:rPr>
          <w:sz w:val="20"/>
          <w:szCs w:val="20"/>
          <w:color w:val="auto"/>
        </w:rPr>
      </w:pPr>
      <w:r>
        <w:rPr>
          <w:rFonts w:ascii="Arial" w:cs="Arial" w:eastAsia="Arial" w:hAnsi="Arial"/>
          <w:sz w:val="18"/>
          <w:szCs w:val="18"/>
          <w:color w:val="auto"/>
        </w:rPr>
        <w:t>Title:</w:t>
        <w:tab/>
        <w:t>Managing Director</w:t>
      </w:r>
    </w:p>
    <w:p>
      <w:pPr>
        <w:spacing w:after="0" w:line="28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GAP COINVESTMENTS V, LLC</w:t>
      </w:r>
    </w:p>
    <w:p>
      <w:pPr>
        <w:spacing w:after="0" w:line="162" w:lineRule="exact"/>
        <w:rPr>
          <w:sz w:val="20"/>
          <w:szCs w:val="20"/>
          <w:color w:val="auto"/>
        </w:rPr>
      </w:pPr>
    </w:p>
    <w:p>
      <w:pPr>
        <w:ind w:left="920"/>
        <w:spacing w:after="0"/>
        <w:tabs>
          <w:tab w:leader="none" w:pos="1360" w:val="left"/>
        </w:tabs>
        <w:rPr>
          <w:sz w:val="20"/>
          <w:szCs w:val="20"/>
          <w:color w:val="auto"/>
        </w:rPr>
      </w:pPr>
      <w:r>
        <w:rPr>
          <w:rFonts w:ascii="Arial" w:cs="Arial" w:eastAsia="Arial" w:hAnsi="Arial"/>
          <w:sz w:val="18"/>
          <w:szCs w:val="18"/>
          <w:color w:val="auto"/>
        </w:rPr>
        <w:t>By:</w:t>
        <w:tab/>
        <w:t>GENERAL ATLANTIC LLC, its managing member</w:t>
      </w:r>
    </w:p>
    <w:p>
      <w:pPr>
        <w:spacing w:after="0" w:line="158" w:lineRule="exact"/>
        <w:rPr>
          <w:sz w:val="20"/>
          <w:szCs w:val="20"/>
          <w:color w:val="auto"/>
        </w:rPr>
      </w:pPr>
    </w:p>
    <w:p>
      <w:pPr>
        <w:ind w:left="920"/>
        <w:spacing w:after="0"/>
        <w:tabs>
          <w:tab w:leader="none" w:pos="1360" w:val="left"/>
        </w:tabs>
        <w:rPr>
          <w:sz w:val="20"/>
          <w:szCs w:val="20"/>
          <w:color w:val="auto"/>
        </w:rPr>
      </w:pPr>
      <w:r>
        <w:rPr>
          <w:rFonts w:ascii="Arial" w:cs="Arial" w:eastAsia="Arial" w:hAnsi="Arial"/>
          <w:sz w:val="18"/>
          <w:szCs w:val="18"/>
          <w:color w:val="auto"/>
        </w:rPr>
        <w:t>By:</w:t>
        <w:tab/>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14605</wp:posOffset>
            </wp:positionV>
            <wp:extent cx="24942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1380"/>
        <w:spacing w:after="0"/>
        <w:tabs>
          <w:tab w:leader="none" w:pos="1920" w:val="left"/>
        </w:tabs>
        <w:rPr>
          <w:sz w:val="20"/>
          <w:szCs w:val="20"/>
          <w:color w:val="auto"/>
        </w:rPr>
      </w:pPr>
      <w:r>
        <w:rPr>
          <w:rFonts w:ascii="Arial" w:cs="Arial" w:eastAsia="Arial" w:hAnsi="Arial"/>
          <w:sz w:val="18"/>
          <w:szCs w:val="18"/>
          <w:color w:val="auto"/>
        </w:rPr>
        <w:t>Title:</w:t>
        <w:tab/>
        <w:t>Managing Director</w:t>
      </w:r>
    </w:p>
    <w:p>
      <w:pPr>
        <w:spacing w:after="0" w:line="35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GAP COINVESTMENTS CDA, L.P.</w:t>
      </w:r>
    </w:p>
    <w:p>
      <w:pPr>
        <w:spacing w:after="0" w:line="162" w:lineRule="exact"/>
        <w:rPr>
          <w:sz w:val="20"/>
          <w:szCs w:val="20"/>
          <w:color w:val="auto"/>
        </w:rPr>
      </w:pPr>
    </w:p>
    <w:p>
      <w:pPr>
        <w:ind w:left="920"/>
        <w:spacing w:after="0"/>
        <w:tabs>
          <w:tab w:leader="none" w:pos="1360" w:val="left"/>
        </w:tabs>
        <w:rPr>
          <w:sz w:val="20"/>
          <w:szCs w:val="20"/>
          <w:color w:val="auto"/>
        </w:rPr>
      </w:pPr>
      <w:r>
        <w:rPr>
          <w:rFonts w:ascii="Arial" w:cs="Arial" w:eastAsia="Arial" w:hAnsi="Arial"/>
          <w:sz w:val="18"/>
          <w:szCs w:val="18"/>
          <w:color w:val="auto"/>
        </w:rPr>
        <w:t>By:</w:t>
        <w:tab/>
        <w:t>GENERAL ATLANTIC LLC, its general partner</w:t>
      </w:r>
    </w:p>
    <w:p>
      <w:pPr>
        <w:spacing w:after="0" w:line="158" w:lineRule="exact"/>
        <w:rPr>
          <w:sz w:val="20"/>
          <w:szCs w:val="20"/>
          <w:color w:val="auto"/>
        </w:rPr>
      </w:pPr>
    </w:p>
    <w:p>
      <w:pPr>
        <w:ind w:left="920"/>
        <w:spacing w:after="0"/>
        <w:tabs>
          <w:tab w:leader="none" w:pos="1360" w:val="left"/>
        </w:tabs>
        <w:rPr>
          <w:sz w:val="20"/>
          <w:szCs w:val="20"/>
          <w:color w:val="auto"/>
        </w:rPr>
      </w:pPr>
      <w:r>
        <w:rPr>
          <w:rFonts w:ascii="Arial" w:cs="Arial" w:eastAsia="Arial" w:hAnsi="Arial"/>
          <w:sz w:val="18"/>
          <w:szCs w:val="18"/>
          <w:color w:val="auto"/>
        </w:rPr>
        <w:t>By:</w:t>
        <w:tab/>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14605</wp:posOffset>
            </wp:positionV>
            <wp:extent cx="24942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1380"/>
        <w:spacing w:after="0"/>
        <w:tabs>
          <w:tab w:leader="none" w:pos="1920" w:val="left"/>
        </w:tabs>
        <w:rPr>
          <w:sz w:val="20"/>
          <w:szCs w:val="20"/>
          <w:color w:val="auto"/>
        </w:rPr>
      </w:pPr>
      <w:r>
        <w:rPr>
          <w:rFonts w:ascii="Arial" w:cs="Arial" w:eastAsia="Arial" w:hAnsi="Arial"/>
          <w:sz w:val="18"/>
          <w:szCs w:val="18"/>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485775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180" w:space="720"/>
            <w:col w:w="6300"/>
          </w:cols>
          <w:pgMar w:left="360" w:top="794" w:right="339" w:bottom="1440" w:gutter="0" w:footer="0" w:header="0"/>
        </w:sectPr>
      </w:pPr>
    </w:p>
    <w:bookmarkStart w:id="26" w:name="page27"/>
    <w:bookmarkEnd w:id="26"/>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CUSIP No. N69605108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40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7"/>
              </w:rPr>
              <w:t>Page 27 of 28</w:t>
            </w:r>
          </w:p>
        </w:tc>
      </w:tr>
    </w:tbl>
    <w:p>
      <w:pPr>
        <w:spacing w:after="0" w:line="200" w:lineRule="exact"/>
        <w:rPr>
          <w:sz w:val="20"/>
          <w:szCs w:val="20"/>
          <w:color w:val="auto"/>
        </w:rPr>
      </w:pPr>
    </w:p>
    <w:p>
      <w:pPr>
        <w:spacing w:after="0" w:line="21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GENERAL ATLANTIC GENPAR, (LUX) SCSP</w:t>
      </w:r>
    </w:p>
    <w:p>
      <w:pPr>
        <w:spacing w:after="0" w:line="162" w:lineRule="exact"/>
        <w:rPr>
          <w:sz w:val="20"/>
          <w:szCs w:val="20"/>
          <w:color w:val="auto"/>
        </w:rPr>
      </w:pPr>
    </w:p>
    <w:p>
      <w:pPr>
        <w:ind w:left="920"/>
        <w:spacing w:after="0"/>
        <w:tabs>
          <w:tab w:leader="none" w:pos="1360" w:val="left"/>
        </w:tabs>
        <w:rPr>
          <w:sz w:val="20"/>
          <w:szCs w:val="20"/>
          <w:color w:val="auto"/>
        </w:rPr>
      </w:pPr>
      <w:r>
        <w:rPr>
          <w:rFonts w:ascii="Arial" w:cs="Arial" w:eastAsia="Arial" w:hAnsi="Arial"/>
          <w:sz w:val="18"/>
          <w:szCs w:val="18"/>
          <w:color w:val="auto"/>
        </w:rPr>
        <w:t>By:</w:t>
        <w:tab/>
        <w:t>GENERAL ATLANTIC (LUX)</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S.À R.L.</w:t>
      </w:r>
    </w:p>
    <w:p>
      <w:pPr>
        <w:spacing w:after="0" w:line="143" w:lineRule="exact"/>
        <w:rPr>
          <w:sz w:val="20"/>
          <w:szCs w:val="20"/>
          <w:color w:val="auto"/>
        </w:rPr>
      </w:pPr>
    </w:p>
    <w:p>
      <w:pPr>
        <w:ind w:left="920"/>
        <w:spacing w:after="0"/>
        <w:tabs>
          <w:tab w:leader="none" w:pos="1360" w:val="left"/>
        </w:tabs>
        <w:rPr>
          <w:sz w:val="20"/>
          <w:szCs w:val="20"/>
          <w:color w:val="auto"/>
        </w:rPr>
      </w:pPr>
      <w:r>
        <w:rPr>
          <w:rFonts w:ascii="Arial" w:cs="Arial" w:eastAsia="Arial" w:hAnsi="Arial"/>
          <w:sz w:val="18"/>
          <w:szCs w:val="18"/>
          <w:color w:val="auto"/>
        </w:rPr>
        <w:t>By:</w:t>
        <w:tab/>
        <w:t>/s/ Ingrid van der Hoorn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14605</wp:posOffset>
            </wp:positionV>
            <wp:extent cx="24942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Name: Ingrid van der Hoorn</w:t>
      </w:r>
    </w:p>
    <w:p>
      <w:pPr>
        <w:spacing w:after="0" w:line="23" w:lineRule="exact"/>
        <w:rPr>
          <w:sz w:val="20"/>
          <w:szCs w:val="20"/>
          <w:color w:val="auto"/>
        </w:rPr>
      </w:pPr>
    </w:p>
    <w:p>
      <w:pPr>
        <w:ind w:left="1380"/>
        <w:spacing w:after="0"/>
        <w:tabs>
          <w:tab w:leader="none" w:pos="1920" w:val="left"/>
        </w:tabs>
        <w:rPr>
          <w:sz w:val="20"/>
          <w:szCs w:val="20"/>
          <w:color w:val="auto"/>
        </w:rPr>
      </w:pPr>
      <w:r>
        <w:rPr>
          <w:rFonts w:ascii="Arial" w:cs="Arial" w:eastAsia="Arial" w:hAnsi="Arial"/>
          <w:sz w:val="18"/>
          <w:szCs w:val="18"/>
          <w:color w:val="auto"/>
        </w:rPr>
        <w:t>Title:</w:t>
        <w:tab/>
        <w:t>Manager A</w:t>
      </w:r>
    </w:p>
    <w:p>
      <w:pPr>
        <w:spacing w:after="0" w:line="143" w:lineRule="exact"/>
        <w:rPr>
          <w:sz w:val="20"/>
          <w:szCs w:val="20"/>
          <w:color w:val="auto"/>
        </w:rPr>
      </w:pPr>
    </w:p>
    <w:p>
      <w:pPr>
        <w:ind w:left="920"/>
        <w:spacing w:after="0"/>
        <w:tabs>
          <w:tab w:leader="none" w:pos="1360" w:val="left"/>
        </w:tabs>
        <w:rPr>
          <w:sz w:val="20"/>
          <w:szCs w:val="20"/>
          <w:color w:val="auto"/>
        </w:rPr>
      </w:pPr>
      <w:r>
        <w:rPr>
          <w:rFonts w:ascii="Arial" w:cs="Arial" w:eastAsia="Arial" w:hAnsi="Arial"/>
          <w:sz w:val="18"/>
          <w:szCs w:val="18"/>
          <w:color w:val="auto"/>
        </w:rPr>
        <w:t>By:</w:t>
        <w:tab/>
        <w:t>William Blackwell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14605</wp:posOffset>
            </wp:positionV>
            <wp:extent cx="24942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Name: William Blackwell</w:t>
      </w:r>
    </w:p>
    <w:p>
      <w:pPr>
        <w:spacing w:after="0" w:line="23" w:lineRule="exact"/>
        <w:rPr>
          <w:sz w:val="20"/>
          <w:szCs w:val="20"/>
          <w:color w:val="auto"/>
        </w:rPr>
      </w:pPr>
    </w:p>
    <w:p>
      <w:pPr>
        <w:ind w:left="1380"/>
        <w:spacing w:after="0"/>
        <w:tabs>
          <w:tab w:leader="none" w:pos="1920" w:val="left"/>
        </w:tabs>
        <w:rPr>
          <w:sz w:val="20"/>
          <w:szCs w:val="20"/>
          <w:color w:val="auto"/>
        </w:rPr>
      </w:pPr>
      <w:r>
        <w:rPr>
          <w:rFonts w:ascii="Arial" w:cs="Arial" w:eastAsia="Arial" w:hAnsi="Arial"/>
          <w:sz w:val="18"/>
          <w:szCs w:val="18"/>
          <w:color w:val="auto"/>
        </w:rPr>
        <w:t>Title:</w:t>
        <w:tab/>
        <w:t>Manager B</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GENERAL ATLANTIC (LUX) S.À R.L.</w:t>
      </w:r>
    </w:p>
    <w:p>
      <w:pPr>
        <w:spacing w:after="0" w:line="310" w:lineRule="exact"/>
        <w:rPr>
          <w:sz w:val="20"/>
          <w:szCs w:val="20"/>
          <w:color w:val="auto"/>
        </w:rPr>
      </w:pPr>
    </w:p>
    <w:p>
      <w:pPr>
        <w:ind w:left="920"/>
        <w:spacing w:after="0"/>
        <w:tabs>
          <w:tab w:leader="none" w:pos="1360" w:val="left"/>
        </w:tabs>
        <w:rPr>
          <w:sz w:val="20"/>
          <w:szCs w:val="20"/>
          <w:color w:val="auto"/>
        </w:rPr>
      </w:pPr>
      <w:r>
        <w:rPr>
          <w:rFonts w:ascii="Arial" w:cs="Arial" w:eastAsia="Arial" w:hAnsi="Arial"/>
          <w:sz w:val="18"/>
          <w:szCs w:val="18"/>
          <w:color w:val="auto"/>
        </w:rPr>
        <w:t>By:</w:t>
        <w:tab/>
        <w:t>/s/ Ingrid van der Hoorn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14605</wp:posOffset>
            </wp:positionV>
            <wp:extent cx="24942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Name: Ingrid van der Hoorn</w:t>
      </w:r>
    </w:p>
    <w:p>
      <w:pPr>
        <w:spacing w:after="0" w:line="23" w:lineRule="exact"/>
        <w:rPr>
          <w:sz w:val="20"/>
          <w:szCs w:val="20"/>
          <w:color w:val="auto"/>
        </w:rPr>
      </w:pPr>
    </w:p>
    <w:p>
      <w:pPr>
        <w:ind w:left="1380"/>
        <w:spacing w:after="0"/>
        <w:tabs>
          <w:tab w:leader="none" w:pos="1920" w:val="left"/>
        </w:tabs>
        <w:rPr>
          <w:sz w:val="20"/>
          <w:szCs w:val="20"/>
          <w:color w:val="auto"/>
        </w:rPr>
      </w:pPr>
      <w:r>
        <w:rPr>
          <w:rFonts w:ascii="Arial" w:cs="Arial" w:eastAsia="Arial" w:hAnsi="Arial"/>
          <w:sz w:val="18"/>
          <w:szCs w:val="18"/>
          <w:color w:val="auto"/>
        </w:rPr>
        <w:t>Title:</w:t>
        <w:tab/>
        <w:t>Manager A</w:t>
      </w:r>
    </w:p>
    <w:p>
      <w:pPr>
        <w:spacing w:after="0" w:line="143" w:lineRule="exact"/>
        <w:rPr>
          <w:sz w:val="20"/>
          <w:szCs w:val="20"/>
          <w:color w:val="auto"/>
        </w:rPr>
      </w:pPr>
    </w:p>
    <w:p>
      <w:pPr>
        <w:ind w:left="920"/>
        <w:spacing w:after="0"/>
        <w:tabs>
          <w:tab w:leader="none" w:pos="1360" w:val="left"/>
        </w:tabs>
        <w:rPr>
          <w:sz w:val="20"/>
          <w:szCs w:val="20"/>
          <w:color w:val="auto"/>
        </w:rPr>
      </w:pPr>
      <w:r>
        <w:rPr>
          <w:rFonts w:ascii="Arial" w:cs="Arial" w:eastAsia="Arial" w:hAnsi="Arial"/>
          <w:sz w:val="18"/>
          <w:szCs w:val="18"/>
          <w:color w:val="auto"/>
        </w:rPr>
        <w:t>By:</w:t>
        <w:tab/>
        <w:t>/s/ William Blackwell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14605</wp:posOffset>
            </wp:positionV>
            <wp:extent cx="24942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Name: William Blackwell</w:t>
      </w:r>
    </w:p>
    <w:p>
      <w:pPr>
        <w:spacing w:after="0" w:line="23" w:lineRule="exact"/>
        <w:rPr>
          <w:sz w:val="20"/>
          <w:szCs w:val="20"/>
          <w:color w:val="auto"/>
        </w:rPr>
      </w:pPr>
    </w:p>
    <w:p>
      <w:pPr>
        <w:ind w:left="1380"/>
        <w:spacing w:after="0"/>
        <w:tabs>
          <w:tab w:leader="none" w:pos="1920" w:val="left"/>
        </w:tabs>
        <w:rPr>
          <w:sz w:val="20"/>
          <w:szCs w:val="20"/>
          <w:color w:val="auto"/>
        </w:rPr>
      </w:pPr>
      <w:r>
        <w:rPr>
          <w:rFonts w:ascii="Arial" w:cs="Arial" w:eastAsia="Arial" w:hAnsi="Arial"/>
          <w:sz w:val="18"/>
          <w:szCs w:val="18"/>
          <w:color w:val="auto"/>
        </w:rPr>
        <w:t>Title:</w:t>
        <w:tab/>
        <w:t>Manager B</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GENERAL ATLANTIC GENPAR (BERMUDA), L.P.</w:t>
      </w:r>
    </w:p>
    <w:p>
      <w:pPr>
        <w:spacing w:after="0" w:line="162" w:lineRule="exact"/>
        <w:rPr>
          <w:sz w:val="20"/>
          <w:szCs w:val="20"/>
          <w:color w:val="auto"/>
        </w:rPr>
      </w:pPr>
    </w:p>
    <w:p>
      <w:pPr>
        <w:ind w:left="920"/>
        <w:spacing w:after="0"/>
        <w:tabs>
          <w:tab w:leader="none" w:pos="1360" w:val="left"/>
        </w:tabs>
        <w:rPr>
          <w:sz w:val="20"/>
          <w:szCs w:val="20"/>
          <w:color w:val="auto"/>
        </w:rPr>
      </w:pPr>
      <w:r>
        <w:rPr>
          <w:rFonts w:ascii="Arial" w:cs="Arial" w:eastAsia="Arial" w:hAnsi="Arial"/>
          <w:sz w:val="18"/>
          <w:szCs w:val="18"/>
          <w:color w:val="auto"/>
        </w:rPr>
        <w:t>By:</w:t>
        <w:tab/>
        <w:t>GAP (BERMUDA) LMITED, its general partner</w:t>
      </w:r>
    </w:p>
    <w:p>
      <w:pPr>
        <w:spacing w:after="0" w:line="158" w:lineRule="exact"/>
        <w:rPr>
          <w:sz w:val="20"/>
          <w:szCs w:val="20"/>
          <w:color w:val="auto"/>
        </w:rPr>
      </w:pPr>
    </w:p>
    <w:p>
      <w:pPr>
        <w:ind w:left="920"/>
        <w:spacing w:after="0"/>
        <w:tabs>
          <w:tab w:leader="none" w:pos="1360" w:val="left"/>
        </w:tabs>
        <w:rPr>
          <w:sz w:val="20"/>
          <w:szCs w:val="20"/>
          <w:color w:val="auto"/>
        </w:rPr>
      </w:pPr>
      <w:r>
        <w:rPr>
          <w:rFonts w:ascii="Arial" w:cs="Arial" w:eastAsia="Arial" w:hAnsi="Arial"/>
          <w:sz w:val="18"/>
          <w:szCs w:val="18"/>
          <w:color w:val="auto"/>
        </w:rPr>
        <w:t>By:</w:t>
        <w:tab/>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14605</wp:posOffset>
            </wp:positionV>
            <wp:extent cx="24942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1380"/>
        <w:spacing w:after="0"/>
        <w:tabs>
          <w:tab w:leader="none" w:pos="1920" w:val="left"/>
        </w:tabs>
        <w:rPr>
          <w:sz w:val="20"/>
          <w:szCs w:val="20"/>
          <w:color w:val="auto"/>
        </w:rPr>
      </w:pPr>
      <w:r>
        <w:rPr>
          <w:rFonts w:ascii="Arial" w:cs="Arial" w:eastAsia="Arial" w:hAnsi="Arial"/>
          <w:sz w:val="18"/>
          <w:szCs w:val="18"/>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485775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180" w:space="720"/>
            <w:col w:w="6300"/>
          </w:cols>
          <w:pgMar w:left="360" w:top="794"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N69605108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SCHEDULE 13G</w:t>
      </w:r>
    </w:p>
    <w:p>
      <w:pPr>
        <w:spacing w:after="0" w:line="200" w:lineRule="exact"/>
        <w:rPr>
          <w:sz w:val="20"/>
          <w:szCs w:val="20"/>
          <w:color w:val="auto"/>
        </w:rPr>
      </w:pPr>
    </w:p>
    <w:p>
      <w:pPr>
        <w:spacing w:after="0" w:line="25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GAP (BERMUDA) LIMITED</w:t>
      </w:r>
    </w:p>
    <w:p>
      <w:pPr>
        <w:spacing w:after="0" w:line="310" w:lineRule="exact"/>
        <w:rPr>
          <w:sz w:val="20"/>
          <w:szCs w:val="20"/>
          <w:color w:val="auto"/>
        </w:rPr>
      </w:pPr>
    </w:p>
    <w:p>
      <w:pPr>
        <w:ind w:left="920"/>
        <w:spacing w:after="0"/>
        <w:tabs>
          <w:tab w:leader="none" w:pos="1360" w:val="left"/>
        </w:tabs>
        <w:rPr>
          <w:sz w:val="20"/>
          <w:szCs w:val="20"/>
          <w:color w:val="auto"/>
        </w:rPr>
      </w:pPr>
      <w:r>
        <w:rPr>
          <w:rFonts w:ascii="Arial" w:cs="Arial" w:eastAsia="Arial" w:hAnsi="Arial"/>
          <w:sz w:val="18"/>
          <w:szCs w:val="18"/>
          <w:color w:val="auto"/>
        </w:rPr>
        <w:t>By:</w:t>
        <w:tab/>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14605</wp:posOffset>
            </wp:positionV>
            <wp:extent cx="25628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1380"/>
        <w:spacing w:after="0"/>
        <w:tabs>
          <w:tab w:leader="none" w:pos="2020" w:val="left"/>
        </w:tabs>
        <w:rPr>
          <w:sz w:val="20"/>
          <w:szCs w:val="20"/>
          <w:color w:val="auto"/>
        </w:rPr>
      </w:pPr>
      <w:r>
        <w:rPr>
          <w:rFonts w:ascii="Arial" w:cs="Arial" w:eastAsia="Arial" w:hAnsi="Arial"/>
          <w:sz w:val="18"/>
          <w:szCs w:val="18"/>
          <w:color w:val="auto"/>
        </w:rPr>
        <w:t>Name:</w:t>
        <w:tab/>
        <w:t>Michael Gosk</w:t>
      </w:r>
    </w:p>
    <w:p>
      <w:pPr>
        <w:spacing w:after="0" w:line="23" w:lineRule="exact"/>
        <w:rPr>
          <w:sz w:val="20"/>
          <w:szCs w:val="20"/>
          <w:color w:val="auto"/>
        </w:rPr>
      </w:pPr>
    </w:p>
    <w:p>
      <w:pPr>
        <w:jc w:val="both"/>
        <w:ind w:left="1380"/>
        <w:spacing w:after="0"/>
        <w:tabs>
          <w:tab w:leader="none" w:pos="2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674370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28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-124460</wp:posOffset>
            </wp:positionV>
            <wp:extent cx="144018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ectPr>
          <w:pgSz w:w="11900" w:h="16838" w:orient="portrait"/>
          <w:cols w:equalWidth="0" w:num="3">
            <w:col w:w="4180" w:space="720"/>
            <w:col w:w="4560" w:space="720"/>
            <w:col w:w="1000"/>
          </w:cols>
          <w:pgMar w:left="360" w:top="823" w:right="359" w:bottom="1440" w:gutter="0" w:footer="0" w:header="0"/>
        </w:sectPr>
      </w:pPr>
    </w:p>
    <w:bookmarkStart w:id="28" w:name="page29"/>
    <w:bookmarkEnd w:id="28"/>
    <w:tbl>
      <w:tblPr>
        <w:tblLayout w:type="fixed"/>
        <w:tblInd w:w="10" w:type="dxa"/>
        <w:tblCellMar>
          <w:top w:w="0" w:type="dxa"/>
          <w:left w:w="0" w:type="dxa"/>
          <w:bottom w:w="0" w:type="dxa"/>
          <w:right w:w="0" w:type="dxa"/>
        </w:tblCellMar>
      </w:tblPr>
      <w:tr>
        <w:trPr>
          <w:trHeight w:val="207"/>
        </w:trPr>
        <w:tc>
          <w:tcPr>
            <w:tcW w:w="2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520" w:type="dxa"/>
            <w:vAlign w:val="bottom"/>
            <w:gridSpan w:val="2"/>
          </w:tcPr>
          <w:p>
            <w:pPr>
              <w:jc w:val="center"/>
              <w:ind w:right="1360"/>
              <w:spacing w:after="0"/>
              <w:rPr>
                <w:sz w:val="20"/>
                <w:szCs w:val="20"/>
                <w:color w:val="auto"/>
              </w:rPr>
            </w:pPr>
            <w:r>
              <w:rPr>
                <w:rFonts w:ascii="Arial" w:cs="Arial" w:eastAsia="Arial" w:hAnsi="Arial"/>
                <w:sz w:val="18"/>
                <w:szCs w:val="18"/>
                <w:b w:val="1"/>
                <w:bCs w:val="1"/>
                <w:color w:val="auto"/>
                <w:w w:val="99"/>
              </w:rPr>
              <w:t>SCHEDULE A</w:t>
            </w:r>
          </w:p>
        </w:tc>
        <w:tc>
          <w:tcPr>
            <w:tcW w:w="3680" w:type="dxa"/>
            <w:vAlign w:val="bottom"/>
          </w:tcPr>
          <w:p>
            <w:pPr>
              <w:spacing w:after="0"/>
              <w:rPr>
                <w:sz w:val="17"/>
                <w:szCs w:val="17"/>
                <w:color w:val="auto"/>
              </w:rPr>
            </w:pPr>
          </w:p>
        </w:tc>
      </w:tr>
      <w:tr>
        <w:trPr>
          <w:trHeight w:val="20"/>
        </w:trPr>
        <w:tc>
          <w:tcPr>
            <w:tcW w:w="250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r>
      <w:tr>
        <w:trPr>
          <w:trHeight w:val="453"/>
        </w:trPr>
        <w:tc>
          <w:tcPr>
            <w:tcW w:w="2500" w:type="dxa"/>
            <w:vAlign w:val="bottom"/>
          </w:tcPr>
          <w:p>
            <w:pPr>
              <w:spacing w:after="0"/>
              <w:rPr>
                <w:sz w:val="24"/>
                <w:szCs w:val="24"/>
                <w:color w:val="auto"/>
              </w:rPr>
            </w:pPr>
          </w:p>
        </w:tc>
        <w:tc>
          <w:tcPr>
            <w:tcW w:w="8740" w:type="dxa"/>
            <w:vAlign w:val="bottom"/>
            <w:gridSpan w:val="5"/>
          </w:tcPr>
          <w:p>
            <w:pPr>
              <w:jc w:val="center"/>
              <w:ind w:right="2410"/>
              <w:spacing w:after="0"/>
              <w:rPr>
                <w:sz w:val="20"/>
                <w:szCs w:val="20"/>
                <w:color w:val="auto"/>
              </w:rPr>
            </w:pPr>
            <w:r>
              <w:rPr>
                <w:rFonts w:ascii="Arial" w:cs="Arial" w:eastAsia="Arial" w:hAnsi="Arial"/>
                <w:sz w:val="18"/>
                <w:szCs w:val="18"/>
                <w:b w:val="1"/>
                <w:bCs w:val="1"/>
                <w:i w:val="1"/>
                <w:iCs w:val="1"/>
                <w:color w:val="auto"/>
                <w:w w:val="87"/>
              </w:rPr>
              <w:t>Members of the GA Management Committee (as of the date hereof)</w:t>
            </w:r>
          </w:p>
        </w:tc>
      </w:tr>
      <w:tr>
        <w:trPr>
          <w:trHeight w:val="223"/>
        </w:trPr>
        <w:tc>
          <w:tcPr>
            <w:tcW w:w="25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spacing w:after="0"/>
              <w:rPr>
                <w:sz w:val="19"/>
                <w:szCs w:val="19"/>
                <w:color w:val="auto"/>
              </w:rPr>
            </w:pPr>
          </w:p>
        </w:tc>
      </w:tr>
      <w:tr>
        <w:trPr>
          <w:trHeight w:val="223"/>
        </w:trPr>
        <w:tc>
          <w:tcPr>
            <w:tcW w:w="25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1240" w:type="dxa"/>
            <w:vAlign w:val="bottom"/>
            <w:tcBorders>
              <w:bottom w:val="single" w:sz="8" w:color="auto"/>
              <w:right w:val="single" w:sz="8" w:color="auto"/>
            </w:tcBorders>
          </w:tcPr>
          <w:p>
            <w:pPr>
              <w:spacing w:after="0"/>
              <w:rPr>
                <w:sz w:val="19"/>
                <w:szCs w:val="19"/>
                <w:color w:val="auto"/>
              </w:rPr>
            </w:pPr>
          </w:p>
        </w:tc>
        <w:tc>
          <w:tcPr>
            <w:tcW w:w="38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Business Address</w:t>
            </w:r>
          </w:p>
        </w:tc>
        <w:tc>
          <w:tcPr>
            <w:tcW w:w="3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Citizenship</w:t>
            </w:r>
          </w:p>
        </w:tc>
      </w:tr>
      <w:tr>
        <w:trPr>
          <w:trHeight w:val="202"/>
        </w:trPr>
        <w:tc>
          <w:tcPr>
            <w:tcW w:w="2500" w:type="dxa"/>
            <w:vAlign w:val="bottom"/>
            <w:tcBorders>
              <w:left w:val="single" w:sz="8" w:color="auto"/>
            </w:tcBorders>
            <w:shd w:val="clear" w:color="auto" w:fill="C6F4F9"/>
          </w:tcPr>
          <w:p>
            <w:pPr>
              <w:ind w:left="40"/>
              <w:spacing w:after="0" w:line="201" w:lineRule="exact"/>
              <w:rPr>
                <w:sz w:val="20"/>
                <w:szCs w:val="20"/>
                <w:color w:val="auto"/>
              </w:rPr>
            </w:pPr>
            <w:r>
              <w:rPr>
                <w:rFonts w:ascii="Arial" w:cs="Arial" w:eastAsia="Arial" w:hAnsi="Arial"/>
                <w:sz w:val="18"/>
                <w:szCs w:val="18"/>
                <w:color w:val="auto"/>
              </w:rPr>
              <w:t>William E. Ford</w:t>
            </w:r>
          </w:p>
        </w:tc>
        <w:tc>
          <w:tcPr>
            <w:tcW w:w="1240" w:type="dxa"/>
            <w:vAlign w:val="bottom"/>
            <w:tcBorders>
              <w:right w:val="single" w:sz="8" w:color="auto"/>
            </w:tcBorders>
            <w:shd w:val="clear" w:color="auto" w:fill="C6F4F9"/>
          </w:tcPr>
          <w:p>
            <w:pPr>
              <w:spacing w:after="0"/>
              <w:rPr>
                <w:sz w:val="17"/>
                <w:szCs w:val="17"/>
                <w:color w:val="auto"/>
              </w:rPr>
            </w:pPr>
          </w:p>
        </w:tc>
        <w:tc>
          <w:tcPr>
            <w:tcW w:w="3820" w:type="dxa"/>
            <w:vAlign w:val="bottom"/>
            <w:tcBorders>
              <w:right w:val="single" w:sz="8" w:color="auto"/>
            </w:tcBorders>
            <w:gridSpan w:val="3"/>
            <w:shd w:val="clear" w:color="auto" w:fill="C6F4F9"/>
          </w:tcPr>
          <w:p>
            <w:pPr>
              <w:spacing w:after="0" w:line="201" w:lineRule="exact"/>
              <w:rPr>
                <w:sz w:val="20"/>
                <w:szCs w:val="20"/>
                <w:color w:val="auto"/>
              </w:rPr>
            </w:pPr>
            <w:r>
              <w:rPr>
                <w:rFonts w:ascii="Arial" w:cs="Arial" w:eastAsia="Arial" w:hAnsi="Arial"/>
                <w:sz w:val="18"/>
                <w:szCs w:val="18"/>
                <w:color w:val="auto"/>
              </w:rPr>
              <w:t>55 East 52nd Street</w:t>
            </w:r>
          </w:p>
        </w:tc>
        <w:tc>
          <w:tcPr>
            <w:tcW w:w="3680" w:type="dxa"/>
            <w:vAlign w:val="bottom"/>
            <w:tcBorders>
              <w:right w:val="single" w:sz="8" w:color="auto"/>
            </w:tcBorders>
            <w:shd w:val="clear" w:color="auto" w:fill="C6F4F9"/>
          </w:tcPr>
          <w:p>
            <w:pPr>
              <w:spacing w:after="0" w:line="201" w:lineRule="exact"/>
              <w:rPr>
                <w:sz w:val="20"/>
                <w:szCs w:val="20"/>
                <w:color w:val="auto"/>
              </w:rPr>
            </w:pPr>
            <w:r>
              <w:rPr>
                <w:rFonts w:ascii="Arial" w:cs="Arial" w:eastAsia="Arial" w:hAnsi="Arial"/>
                <w:sz w:val="18"/>
                <w:szCs w:val="18"/>
                <w:color w:val="auto"/>
              </w:rPr>
              <w:t>United States</w:t>
            </w:r>
          </w:p>
        </w:tc>
      </w:tr>
      <w:tr>
        <w:trPr>
          <w:trHeight w:val="216"/>
        </w:trPr>
        <w:tc>
          <w:tcPr>
            <w:tcW w:w="2500" w:type="dxa"/>
            <w:vAlign w:val="bottom"/>
            <w:tcBorders>
              <w:left w:val="single" w:sz="8" w:color="auto"/>
            </w:tcBorders>
            <w:shd w:val="clear" w:color="auto" w:fill="C6F4F9"/>
          </w:tcPr>
          <w:p>
            <w:pPr>
              <w:ind w:left="40"/>
              <w:spacing w:after="0"/>
              <w:rPr>
                <w:sz w:val="20"/>
                <w:szCs w:val="20"/>
                <w:color w:val="auto"/>
              </w:rPr>
            </w:pPr>
            <w:r>
              <w:rPr>
                <w:rFonts w:ascii="Arial" w:cs="Arial" w:eastAsia="Arial" w:hAnsi="Arial"/>
                <w:sz w:val="18"/>
                <w:szCs w:val="18"/>
                <w:color w:val="auto"/>
              </w:rPr>
              <w:t>(Chief Executive Officer)</w:t>
            </w:r>
          </w:p>
        </w:tc>
        <w:tc>
          <w:tcPr>
            <w:tcW w:w="1240" w:type="dxa"/>
            <w:vAlign w:val="bottom"/>
            <w:tcBorders>
              <w:right w:val="single" w:sz="8" w:color="auto"/>
            </w:tcBorders>
            <w:shd w:val="clear" w:color="auto" w:fill="C6F4F9"/>
          </w:tcPr>
          <w:p>
            <w:pPr>
              <w:spacing w:after="0"/>
              <w:rPr>
                <w:sz w:val="18"/>
                <w:szCs w:val="18"/>
                <w:color w:val="auto"/>
              </w:rPr>
            </w:pPr>
          </w:p>
        </w:tc>
        <w:tc>
          <w:tcPr>
            <w:tcW w:w="3820" w:type="dxa"/>
            <w:vAlign w:val="bottom"/>
            <w:tcBorders>
              <w:right w:val="single" w:sz="8" w:color="auto"/>
            </w:tcBorders>
            <w:gridSpan w:val="3"/>
            <w:shd w:val="clear" w:color="auto" w:fill="C6F4F9"/>
          </w:tcPr>
          <w:p>
            <w:pPr>
              <w:spacing w:after="0"/>
              <w:rPr>
                <w:sz w:val="20"/>
                <w:szCs w:val="20"/>
                <w:color w:val="auto"/>
              </w:rPr>
            </w:pPr>
            <w:r>
              <w:rPr>
                <w:rFonts w:ascii="Arial" w:cs="Arial" w:eastAsia="Arial" w:hAnsi="Arial"/>
                <w:sz w:val="18"/>
                <w:szCs w:val="18"/>
                <w:color w:val="auto"/>
              </w:rPr>
              <w:t>33rd Floor</w:t>
            </w:r>
          </w:p>
        </w:tc>
        <w:tc>
          <w:tcPr>
            <w:tcW w:w="3680" w:type="dxa"/>
            <w:vAlign w:val="bottom"/>
            <w:tcBorders>
              <w:right w:val="single" w:sz="8" w:color="auto"/>
            </w:tcBorders>
            <w:shd w:val="clear" w:color="auto" w:fill="C6F4F9"/>
          </w:tcPr>
          <w:p>
            <w:pPr>
              <w:spacing w:after="0"/>
              <w:rPr>
                <w:sz w:val="18"/>
                <w:szCs w:val="18"/>
                <w:color w:val="auto"/>
              </w:rPr>
            </w:pPr>
          </w:p>
        </w:tc>
      </w:tr>
      <w:tr>
        <w:trPr>
          <w:trHeight w:val="237"/>
        </w:trPr>
        <w:tc>
          <w:tcPr>
            <w:tcW w:w="2500" w:type="dxa"/>
            <w:vAlign w:val="bottom"/>
            <w:tcBorders>
              <w:left w:val="single" w:sz="8" w:color="auto"/>
              <w:bottom w:val="single" w:sz="8" w:color="auto"/>
            </w:tcBorders>
            <w:shd w:val="clear" w:color="auto" w:fill="C6F4F9"/>
          </w:tcPr>
          <w:p>
            <w:pPr>
              <w:spacing w:after="0"/>
              <w:rPr>
                <w:sz w:val="20"/>
                <w:szCs w:val="20"/>
                <w:color w:val="auto"/>
              </w:rPr>
            </w:pPr>
          </w:p>
        </w:tc>
        <w:tc>
          <w:tcPr>
            <w:tcW w:w="1240" w:type="dxa"/>
            <w:vAlign w:val="bottom"/>
            <w:tcBorders>
              <w:bottom w:val="single" w:sz="8" w:color="auto"/>
              <w:right w:val="single" w:sz="8" w:color="auto"/>
            </w:tcBorders>
            <w:shd w:val="clear" w:color="auto" w:fill="C6F4F9"/>
          </w:tcPr>
          <w:p>
            <w:pPr>
              <w:spacing w:after="0"/>
              <w:rPr>
                <w:sz w:val="20"/>
                <w:szCs w:val="20"/>
                <w:color w:val="auto"/>
              </w:rPr>
            </w:pPr>
          </w:p>
        </w:tc>
        <w:tc>
          <w:tcPr>
            <w:tcW w:w="3820" w:type="dxa"/>
            <w:vAlign w:val="bottom"/>
            <w:tcBorders>
              <w:bottom w:val="single" w:sz="8" w:color="auto"/>
              <w:right w:val="single" w:sz="8" w:color="auto"/>
            </w:tcBorders>
            <w:gridSpan w:val="3"/>
            <w:shd w:val="clear" w:color="auto" w:fill="C6F4F9"/>
          </w:tcPr>
          <w:p>
            <w:pPr>
              <w:spacing w:after="0"/>
              <w:rPr>
                <w:sz w:val="20"/>
                <w:szCs w:val="20"/>
                <w:color w:val="auto"/>
              </w:rPr>
            </w:pPr>
            <w:r>
              <w:rPr>
                <w:rFonts w:ascii="Arial" w:cs="Arial" w:eastAsia="Arial" w:hAnsi="Arial"/>
                <w:sz w:val="18"/>
                <w:szCs w:val="18"/>
                <w:color w:val="auto"/>
              </w:rPr>
              <w:t>New York, New York 10055</w:t>
            </w:r>
          </w:p>
        </w:tc>
        <w:tc>
          <w:tcPr>
            <w:tcW w:w="3680" w:type="dxa"/>
            <w:vAlign w:val="bottom"/>
            <w:tcBorders>
              <w:bottom w:val="single" w:sz="8" w:color="auto"/>
              <w:right w:val="single" w:sz="8" w:color="auto"/>
            </w:tcBorders>
            <w:shd w:val="clear" w:color="auto" w:fill="C6F4F9"/>
          </w:tcPr>
          <w:p>
            <w:pPr>
              <w:spacing w:after="0"/>
              <w:rPr>
                <w:sz w:val="20"/>
                <w:szCs w:val="20"/>
                <w:color w:val="auto"/>
              </w:rPr>
            </w:pPr>
          </w:p>
        </w:tc>
      </w:tr>
      <w:tr>
        <w:trPr>
          <w:trHeight w:val="202"/>
        </w:trPr>
        <w:tc>
          <w:tcPr>
            <w:tcW w:w="250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Gabriel Caillaux</w:t>
            </w:r>
          </w:p>
        </w:tc>
        <w:tc>
          <w:tcPr>
            <w:tcW w:w="1240" w:type="dxa"/>
            <w:vAlign w:val="bottom"/>
            <w:tcBorders>
              <w:right w:val="single" w:sz="8" w:color="auto"/>
            </w:tcBorders>
          </w:tcPr>
          <w:p>
            <w:pPr>
              <w:spacing w:after="0"/>
              <w:rPr>
                <w:sz w:val="17"/>
                <w:szCs w:val="17"/>
                <w:color w:val="auto"/>
              </w:rPr>
            </w:pPr>
          </w:p>
        </w:tc>
        <w:tc>
          <w:tcPr>
            <w:tcW w:w="3820" w:type="dxa"/>
            <w:vAlign w:val="bottom"/>
            <w:tcBorders>
              <w:right w:val="single" w:sz="8" w:color="auto"/>
            </w:tcBorders>
            <w:gridSpan w:val="3"/>
          </w:tcPr>
          <w:p>
            <w:pPr>
              <w:spacing w:after="0" w:line="201" w:lineRule="exact"/>
              <w:rPr>
                <w:sz w:val="20"/>
                <w:szCs w:val="20"/>
                <w:color w:val="auto"/>
              </w:rPr>
            </w:pPr>
            <w:r>
              <w:rPr>
                <w:rFonts w:ascii="Arial" w:cs="Arial" w:eastAsia="Arial" w:hAnsi="Arial"/>
                <w:sz w:val="18"/>
                <w:szCs w:val="18"/>
                <w:color w:val="auto"/>
              </w:rPr>
              <w:t>23 Savile Row</w:t>
            </w:r>
          </w:p>
        </w:tc>
        <w:tc>
          <w:tcPr>
            <w:tcW w:w="368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France</w:t>
            </w:r>
          </w:p>
        </w:tc>
      </w:tr>
      <w:tr>
        <w:trPr>
          <w:trHeight w:val="216"/>
        </w:trPr>
        <w:tc>
          <w:tcPr>
            <w:tcW w:w="250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London W1S 2ET</w:t>
            </w:r>
          </w:p>
        </w:tc>
        <w:tc>
          <w:tcPr>
            <w:tcW w:w="3680" w:type="dxa"/>
            <w:vAlign w:val="bottom"/>
            <w:tcBorders>
              <w:right w:val="single" w:sz="8" w:color="auto"/>
            </w:tcBorders>
          </w:tcPr>
          <w:p>
            <w:pPr>
              <w:spacing w:after="0"/>
              <w:rPr>
                <w:sz w:val="18"/>
                <w:szCs w:val="18"/>
                <w:color w:val="auto"/>
              </w:rPr>
            </w:pPr>
          </w:p>
        </w:tc>
      </w:tr>
      <w:tr>
        <w:trPr>
          <w:trHeight w:val="237"/>
        </w:trPr>
        <w:tc>
          <w:tcPr>
            <w:tcW w:w="2500" w:type="dxa"/>
            <w:vAlign w:val="bottom"/>
            <w:tcBorders>
              <w:left w:val="single" w:sz="8" w:color="auto"/>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United Kingdom</w:t>
            </w:r>
          </w:p>
        </w:tc>
        <w:tc>
          <w:tcPr>
            <w:tcW w:w="3680" w:type="dxa"/>
            <w:vAlign w:val="bottom"/>
            <w:tcBorders>
              <w:bottom w:val="single" w:sz="8" w:color="auto"/>
              <w:right w:val="single" w:sz="8" w:color="auto"/>
            </w:tcBorders>
          </w:tcPr>
          <w:p>
            <w:pPr>
              <w:spacing w:after="0"/>
              <w:rPr>
                <w:sz w:val="20"/>
                <w:szCs w:val="20"/>
                <w:color w:val="auto"/>
              </w:rPr>
            </w:pPr>
          </w:p>
        </w:tc>
      </w:tr>
      <w:tr>
        <w:trPr>
          <w:trHeight w:val="202"/>
        </w:trPr>
        <w:tc>
          <w:tcPr>
            <w:tcW w:w="2500" w:type="dxa"/>
            <w:vAlign w:val="bottom"/>
            <w:tcBorders>
              <w:left w:val="single" w:sz="8" w:color="auto"/>
            </w:tcBorders>
            <w:shd w:val="clear" w:color="auto" w:fill="C6F4F9"/>
          </w:tcPr>
          <w:p>
            <w:pPr>
              <w:ind w:left="40"/>
              <w:spacing w:after="0" w:line="201" w:lineRule="exact"/>
              <w:rPr>
                <w:sz w:val="20"/>
                <w:szCs w:val="20"/>
                <w:color w:val="auto"/>
              </w:rPr>
            </w:pPr>
            <w:r>
              <w:rPr>
                <w:rFonts w:ascii="Arial" w:cs="Arial" w:eastAsia="Arial" w:hAnsi="Arial"/>
                <w:sz w:val="18"/>
                <w:szCs w:val="18"/>
                <w:color w:val="auto"/>
              </w:rPr>
              <w:t>Andrew Crawford</w:t>
            </w:r>
          </w:p>
        </w:tc>
        <w:tc>
          <w:tcPr>
            <w:tcW w:w="1240" w:type="dxa"/>
            <w:vAlign w:val="bottom"/>
            <w:tcBorders>
              <w:right w:val="single" w:sz="8" w:color="auto"/>
            </w:tcBorders>
            <w:shd w:val="clear" w:color="auto" w:fill="C6F4F9"/>
          </w:tcPr>
          <w:p>
            <w:pPr>
              <w:spacing w:after="0"/>
              <w:rPr>
                <w:sz w:val="17"/>
                <w:szCs w:val="17"/>
                <w:color w:val="auto"/>
              </w:rPr>
            </w:pPr>
          </w:p>
        </w:tc>
        <w:tc>
          <w:tcPr>
            <w:tcW w:w="3820" w:type="dxa"/>
            <w:vAlign w:val="bottom"/>
            <w:tcBorders>
              <w:right w:val="single" w:sz="8" w:color="auto"/>
            </w:tcBorders>
            <w:gridSpan w:val="3"/>
            <w:shd w:val="clear" w:color="auto" w:fill="C6F4F9"/>
          </w:tcPr>
          <w:p>
            <w:pPr>
              <w:spacing w:after="0" w:line="201" w:lineRule="exact"/>
              <w:rPr>
                <w:sz w:val="20"/>
                <w:szCs w:val="20"/>
                <w:color w:val="auto"/>
              </w:rPr>
            </w:pPr>
            <w:r>
              <w:rPr>
                <w:rFonts w:ascii="Arial" w:cs="Arial" w:eastAsia="Arial" w:hAnsi="Arial"/>
                <w:sz w:val="18"/>
                <w:szCs w:val="18"/>
                <w:color w:val="auto"/>
              </w:rPr>
              <w:t>55 East 52nd Street</w:t>
            </w:r>
          </w:p>
        </w:tc>
        <w:tc>
          <w:tcPr>
            <w:tcW w:w="3680" w:type="dxa"/>
            <w:vAlign w:val="bottom"/>
            <w:tcBorders>
              <w:right w:val="single" w:sz="8" w:color="auto"/>
            </w:tcBorders>
            <w:shd w:val="clear" w:color="auto" w:fill="C6F4F9"/>
          </w:tcPr>
          <w:p>
            <w:pPr>
              <w:spacing w:after="0" w:line="201" w:lineRule="exact"/>
              <w:rPr>
                <w:sz w:val="20"/>
                <w:szCs w:val="20"/>
                <w:color w:val="auto"/>
              </w:rPr>
            </w:pPr>
            <w:r>
              <w:rPr>
                <w:rFonts w:ascii="Arial" w:cs="Arial" w:eastAsia="Arial" w:hAnsi="Arial"/>
                <w:sz w:val="18"/>
                <w:szCs w:val="18"/>
                <w:color w:val="auto"/>
              </w:rPr>
              <w:t>United States</w:t>
            </w:r>
          </w:p>
        </w:tc>
      </w:tr>
      <w:tr>
        <w:trPr>
          <w:trHeight w:val="216"/>
        </w:trPr>
        <w:tc>
          <w:tcPr>
            <w:tcW w:w="2500" w:type="dxa"/>
            <w:vAlign w:val="bottom"/>
            <w:tcBorders>
              <w:left w:val="single" w:sz="8" w:color="auto"/>
            </w:tcBorders>
            <w:shd w:val="clear" w:color="auto" w:fill="C6F4F9"/>
          </w:tcPr>
          <w:p>
            <w:pPr>
              <w:spacing w:after="0"/>
              <w:rPr>
                <w:sz w:val="18"/>
                <w:szCs w:val="18"/>
                <w:color w:val="auto"/>
              </w:rPr>
            </w:pPr>
          </w:p>
        </w:tc>
        <w:tc>
          <w:tcPr>
            <w:tcW w:w="1240" w:type="dxa"/>
            <w:vAlign w:val="bottom"/>
            <w:tcBorders>
              <w:right w:val="single" w:sz="8" w:color="auto"/>
            </w:tcBorders>
            <w:shd w:val="clear" w:color="auto" w:fill="C6F4F9"/>
          </w:tcPr>
          <w:p>
            <w:pPr>
              <w:spacing w:after="0"/>
              <w:rPr>
                <w:sz w:val="18"/>
                <w:szCs w:val="18"/>
                <w:color w:val="auto"/>
              </w:rPr>
            </w:pPr>
          </w:p>
        </w:tc>
        <w:tc>
          <w:tcPr>
            <w:tcW w:w="3820" w:type="dxa"/>
            <w:vAlign w:val="bottom"/>
            <w:tcBorders>
              <w:right w:val="single" w:sz="8" w:color="auto"/>
            </w:tcBorders>
            <w:gridSpan w:val="3"/>
            <w:shd w:val="clear" w:color="auto" w:fill="C6F4F9"/>
          </w:tcPr>
          <w:p>
            <w:pPr>
              <w:spacing w:after="0"/>
              <w:rPr>
                <w:sz w:val="20"/>
                <w:szCs w:val="20"/>
                <w:color w:val="auto"/>
              </w:rPr>
            </w:pPr>
            <w:r>
              <w:rPr>
                <w:rFonts w:ascii="Arial" w:cs="Arial" w:eastAsia="Arial" w:hAnsi="Arial"/>
                <w:sz w:val="18"/>
                <w:szCs w:val="18"/>
                <w:color w:val="auto"/>
              </w:rPr>
              <w:t>33rd Floor</w:t>
            </w:r>
          </w:p>
        </w:tc>
        <w:tc>
          <w:tcPr>
            <w:tcW w:w="3680" w:type="dxa"/>
            <w:vAlign w:val="bottom"/>
            <w:tcBorders>
              <w:right w:val="single" w:sz="8" w:color="auto"/>
            </w:tcBorders>
            <w:shd w:val="clear" w:color="auto" w:fill="C6F4F9"/>
          </w:tcPr>
          <w:p>
            <w:pPr>
              <w:spacing w:after="0"/>
              <w:rPr>
                <w:sz w:val="18"/>
                <w:szCs w:val="18"/>
                <w:color w:val="auto"/>
              </w:rPr>
            </w:pPr>
          </w:p>
        </w:tc>
      </w:tr>
      <w:tr>
        <w:trPr>
          <w:trHeight w:val="237"/>
        </w:trPr>
        <w:tc>
          <w:tcPr>
            <w:tcW w:w="2500" w:type="dxa"/>
            <w:vAlign w:val="bottom"/>
            <w:tcBorders>
              <w:left w:val="single" w:sz="8" w:color="auto"/>
              <w:bottom w:val="single" w:sz="8" w:color="auto"/>
            </w:tcBorders>
            <w:shd w:val="clear" w:color="auto" w:fill="C6F4F9"/>
          </w:tcPr>
          <w:p>
            <w:pPr>
              <w:spacing w:after="0"/>
              <w:rPr>
                <w:sz w:val="20"/>
                <w:szCs w:val="20"/>
                <w:color w:val="auto"/>
              </w:rPr>
            </w:pPr>
          </w:p>
        </w:tc>
        <w:tc>
          <w:tcPr>
            <w:tcW w:w="1240" w:type="dxa"/>
            <w:vAlign w:val="bottom"/>
            <w:tcBorders>
              <w:bottom w:val="single" w:sz="8" w:color="auto"/>
              <w:right w:val="single" w:sz="8" w:color="auto"/>
            </w:tcBorders>
            <w:shd w:val="clear" w:color="auto" w:fill="C6F4F9"/>
          </w:tcPr>
          <w:p>
            <w:pPr>
              <w:spacing w:after="0"/>
              <w:rPr>
                <w:sz w:val="20"/>
                <w:szCs w:val="20"/>
                <w:color w:val="auto"/>
              </w:rPr>
            </w:pPr>
          </w:p>
        </w:tc>
        <w:tc>
          <w:tcPr>
            <w:tcW w:w="3820" w:type="dxa"/>
            <w:vAlign w:val="bottom"/>
            <w:tcBorders>
              <w:bottom w:val="single" w:sz="8" w:color="auto"/>
              <w:right w:val="single" w:sz="8" w:color="auto"/>
            </w:tcBorders>
            <w:gridSpan w:val="3"/>
            <w:shd w:val="clear" w:color="auto" w:fill="C6F4F9"/>
          </w:tcPr>
          <w:p>
            <w:pPr>
              <w:spacing w:after="0"/>
              <w:rPr>
                <w:sz w:val="20"/>
                <w:szCs w:val="20"/>
                <w:color w:val="auto"/>
              </w:rPr>
            </w:pPr>
            <w:r>
              <w:rPr>
                <w:rFonts w:ascii="Arial" w:cs="Arial" w:eastAsia="Arial" w:hAnsi="Arial"/>
                <w:sz w:val="18"/>
                <w:szCs w:val="18"/>
                <w:color w:val="auto"/>
              </w:rPr>
              <w:t>New York, New York 10055</w:t>
            </w:r>
          </w:p>
        </w:tc>
        <w:tc>
          <w:tcPr>
            <w:tcW w:w="3680" w:type="dxa"/>
            <w:vAlign w:val="bottom"/>
            <w:tcBorders>
              <w:bottom w:val="single" w:sz="8" w:color="auto"/>
              <w:right w:val="single" w:sz="8" w:color="auto"/>
            </w:tcBorders>
            <w:shd w:val="clear" w:color="auto" w:fill="C6F4F9"/>
          </w:tcPr>
          <w:p>
            <w:pPr>
              <w:spacing w:after="0"/>
              <w:rPr>
                <w:sz w:val="20"/>
                <w:szCs w:val="20"/>
                <w:color w:val="auto"/>
              </w:rPr>
            </w:pPr>
          </w:p>
        </w:tc>
      </w:tr>
      <w:tr>
        <w:trPr>
          <w:trHeight w:val="202"/>
        </w:trPr>
        <w:tc>
          <w:tcPr>
            <w:tcW w:w="250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Martin Escobari</w:t>
            </w:r>
          </w:p>
        </w:tc>
        <w:tc>
          <w:tcPr>
            <w:tcW w:w="1240" w:type="dxa"/>
            <w:vAlign w:val="bottom"/>
            <w:tcBorders>
              <w:right w:val="single" w:sz="8" w:color="auto"/>
            </w:tcBorders>
          </w:tcPr>
          <w:p>
            <w:pPr>
              <w:spacing w:after="0"/>
              <w:rPr>
                <w:sz w:val="17"/>
                <w:szCs w:val="17"/>
                <w:color w:val="auto"/>
              </w:rPr>
            </w:pPr>
          </w:p>
        </w:tc>
        <w:tc>
          <w:tcPr>
            <w:tcW w:w="3820" w:type="dxa"/>
            <w:vAlign w:val="bottom"/>
            <w:tcBorders>
              <w:right w:val="single" w:sz="8" w:color="auto"/>
            </w:tcBorders>
            <w:gridSpan w:val="3"/>
          </w:tcPr>
          <w:p>
            <w:pPr>
              <w:spacing w:after="0" w:line="201" w:lineRule="exact"/>
              <w:rPr>
                <w:sz w:val="20"/>
                <w:szCs w:val="20"/>
                <w:color w:val="auto"/>
              </w:rPr>
            </w:pPr>
            <w:r>
              <w:rPr>
                <w:rFonts w:ascii="Arial" w:cs="Arial" w:eastAsia="Arial" w:hAnsi="Arial"/>
                <w:sz w:val="18"/>
                <w:szCs w:val="18"/>
                <w:color w:val="auto"/>
              </w:rPr>
              <w:t>55 East 52nd Street</w:t>
            </w:r>
          </w:p>
        </w:tc>
        <w:tc>
          <w:tcPr>
            <w:tcW w:w="368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Bolivia and Brazil</w:t>
            </w:r>
          </w:p>
        </w:tc>
      </w:tr>
      <w:tr>
        <w:trPr>
          <w:trHeight w:val="216"/>
        </w:trPr>
        <w:tc>
          <w:tcPr>
            <w:tcW w:w="250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33rd Floor</w:t>
            </w:r>
          </w:p>
        </w:tc>
        <w:tc>
          <w:tcPr>
            <w:tcW w:w="3680" w:type="dxa"/>
            <w:vAlign w:val="bottom"/>
            <w:tcBorders>
              <w:right w:val="single" w:sz="8" w:color="auto"/>
            </w:tcBorders>
          </w:tcPr>
          <w:p>
            <w:pPr>
              <w:spacing w:after="0"/>
              <w:rPr>
                <w:sz w:val="18"/>
                <w:szCs w:val="18"/>
                <w:color w:val="auto"/>
              </w:rPr>
            </w:pPr>
          </w:p>
        </w:tc>
      </w:tr>
      <w:tr>
        <w:trPr>
          <w:trHeight w:val="237"/>
        </w:trPr>
        <w:tc>
          <w:tcPr>
            <w:tcW w:w="2500" w:type="dxa"/>
            <w:vAlign w:val="bottom"/>
            <w:tcBorders>
              <w:left w:val="single" w:sz="8" w:color="auto"/>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New York, New York 10055</w:t>
            </w:r>
          </w:p>
        </w:tc>
        <w:tc>
          <w:tcPr>
            <w:tcW w:w="3680" w:type="dxa"/>
            <w:vAlign w:val="bottom"/>
            <w:tcBorders>
              <w:bottom w:val="single" w:sz="8" w:color="auto"/>
              <w:right w:val="single" w:sz="8" w:color="auto"/>
            </w:tcBorders>
          </w:tcPr>
          <w:p>
            <w:pPr>
              <w:spacing w:after="0"/>
              <w:rPr>
                <w:sz w:val="20"/>
                <w:szCs w:val="20"/>
                <w:color w:val="auto"/>
              </w:rPr>
            </w:pPr>
          </w:p>
        </w:tc>
      </w:tr>
      <w:tr>
        <w:trPr>
          <w:trHeight w:val="202"/>
        </w:trPr>
        <w:tc>
          <w:tcPr>
            <w:tcW w:w="2500" w:type="dxa"/>
            <w:vAlign w:val="bottom"/>
            <w:tcBorders>
              <w:left w:val="single" w:sz="8" w:color="auto"/>
            </w:tcBorders>
            <w:shd w:val="clear" w:color="auto" w:fill="C6F4F9"/>
          </w:tcPr>
          <w:p>
            <w:pPr>
              <w:ind w:left="40"/>
              <w:spacing w:after="0" w:line="201" w:lineRule="exact"/>
              <w:rPr>
                <w:sz w:val="20"/>
                <w:szCs w:val="20"/>
                <w:color w:val="auto"/>
              </w:rPr>
            </w:pPr>
            <w:r>
              <w:rPr>
                <w:rFonts w:ascii="Arial" w:cs="Arial" w:eastAsia="Arial" w:hAnsi="Arial"/>
                <w:sz w:val="18"/>
                <w:szCs w:val="18"/>
                <w:color w:val="auto"/>
              </w:rPr>
              <w:t>Anton J. Levy</w:t>
            </w:r>
          </w:p>
        </w:tc>
        <w:tc>
          <w:tcPr>
            <w:tcW w:w="1240" w:type="dxa"/>
            <w:vAlign w:val="bottom"/>
            <w:tcBorders>
              <w:right w:val="single" w:sz="8" w:color="auto"/>
            </w:tcBorders>
            <w:shd w:val="clear" w:color="auto" w:fill="C6F4F9"/>
          </w:tcPr>
          <w:p>
            <w:pPr>
              <w:spacing w:after="0"/>
              <w:rPr>
                <w:sz w:val="17"/>
                <w:szCs w:val="17"/>
                <w:color w:val="auto"/>
              </w:rPr>
            </w:pPr>
          </w:p>
        </w:tc>
        <w:tc>
          <w:tcPr>
            <w:tcW w:w="3820" w:type="dxa"/>
            <w:vAlign w:val="bottom"/>
            <w:tcBorders>
              <w:right w:val="single" w:sz="8" w:color="auto"/>
            </w:tcBorders>
            <w:gridSpan w:val="3"/>
            <w:shd w:val="clear" w:color="auto" w:fill="C6F4F9"/>
          </w:tcPr>
          <w:p>
            <w:pPr>
              <w:spacing w:after="0" w:line="201" w:lineRule="exact"/>
              <w:rPr>
                <w:sz w:val="20"/>
                <w:szCs w:val="20"/>
                <w:color w:val="auto"/>
              </w:rPr>
            </w:pPr>
            <w:r>
              <w:rPr>
                <w:rFonts w:ascii="Arial" w:cs="Arial" w:eastAsia="Arial" w:hAnsi="Arial"/>
                <w:sz w:val="18"/>
                <w:szCs w:val="18"/>
                <w:color w:val="auto"/>
              </w:rPr>
              <w:t>55 East 52nd Street</w:t>
            </w:r>
          </w:p>
        </w:tc>
        <w:tc>
          <w:tcPr>
            <w:tcW w:w="3680" w:type="dxa"/>
            <w:vAlign w:val="bottom"/>
            <w:tcBorders>
              <w:right w:val="single" w:sz="8" w:color="auto"/>
            </w:tcBorders>
            <w:shd w:val="clear" w:color="auto" w:fill="C6F4F9"/>
          </w:tcPr>
          <w:p>
            <w:pPr>
              <w:spacing w:after="0" w:line="201" w:lineRule="exact"/>
              <w:rPr>
                <w:sz w:val="20"/>
                <w:szCs w:val="20"/>
                <w:color w:val="auto"/>
              </w:rPr>
            </w:pPr>
            <w:r>
              <w:rPr>
                <w:rFonts w:ascii="Arial" w:cs="Arial" w:eastAsia="Arial" w:hAnsi="Arial"/>
                <w:sz w:val="18"/>
                <w:szCs w:val="18"/>
                <w:color w:val="auto"/>
              </w:rPr>
              <w:t>United States</w:t>
            </w:r>
          </w:p>
        </w:tc>
      </w:tr>
      <w:tr>
        <w:trPr>
          <w:trHeight w:val="216"/>
        </w:trPr>
        <w:tc>
          <w:tcPr>
            <w:tcW w:w="2500" w:type="dxa"/>
            <w:vAlign w:val="bottom"/>
            <w:tcBorders>
              <w:left w:val="single" w:sz="8" w:color="auto"/>
            </w:tcBorders>
            <w:shd w:val="clear" w:color="auto" w:fill="C6F4F9"/>
          </w:tcPr>
          <w:p>
            <w:pPr>
              <w:spacing w:after="0"/>
              <w:rPr>
                <w:sz w:val="18"/>
                <w:szCs w:val="18"/>
                <w:color w:val="auto"/>
              </w:rPr>
            </w:pPr>
          </w:p>
        </w:tc>
        <w:tc>
          <w:tcPr>
            <w:tcW w:w="1240" w:type="dxa"/>
            <w:vAlign w:val="bottom"/>
            <w:tcBorders>
              <w:right w:val="single" w:sz="8" w:color="auto"/>
            </w:tcBorders>
            <w:shd w:val="clear" w:color="auto" w:fill="C6F4F9"/>
          </w:tcPr>
          <w:p>
            <w:pPr>
              <w:spacing w:after="0"/>
              <w:rPr>
                <w:sz w:val="18"/>
                <w:szCs w:val="18"/>
                <w:color w:val="auto"/>
              </w:rPr>
            </w:pPr>
          </w:p>
        </w:tc>
        <w:tc>
          <w:tcPr>
            <w:tcW w:w="3820" w:type="dxa"/>
            <w:vAlign w:val="bottom"/>
            <w:tcBorders>
              <w:right w:val="single" w:sz="8" w:color="auto"/>
            </w:tcBorders>
            <w:gridSpan w:val="3"/>
            <w:shd w:val="clear" w:color="auto" w:fill="C6F4F9"/>
          </w:tcPr>
          <w:p>
            <w:pPr>
              <w:spacing w:after="0"/>
              <w:rPr>
                <w:sz w:val="20"/>
                <w:szCs w:val="20"/>
                <w:color w:val="auto"/>
              </w:rPr>
            </w:pPr>
            <w:r>
              <w:rPr>
                <w:rFonts w:ascii="Arial" w:cs="Arial" w:eastAsia="Arial" w:hAnsi="Arial"/>
                <w:sz w:val="18"/>
                <w:szCs w:val="18"/>
                <w:color w:val="auto"/>
              </w:rPr>
              <w:t>33rd Floor</w:t>
            </w:r>
          </w:p>
        </w:tc>
        <w:tc>
          <w:tcPr>
            <w:tcW w:w="3680" w:type="dxa"/>
            <w:vAlign w:val="bottom"/>
            <w:tcBorders>
              <w:right w:val="single" w:sz="8" w:color="auto"/>
            </w:tcBorders>
            <w:shd w:val="clear" w:color="auto" w:fill="C6F4F9"/>
          </w:tcPr>
          <w:p>
            <w:pPr>
              <w:spacing w:after="0"/>
              <w:rPr>
                <w:sz w:val="18"/>
                <w:szCs w:val="18"/>
                <w:color w:val="auto"/>
              </w:rPr>
            </w:pPr>
          </w:p>
        </w:tc>
      </w:tr>
      <w:tr>
        <w:trPr>
          <w:trHeight w:val="237"/>
        </w:trPr>
        <w:tc>
          <w:tcPr>
            <w:tcW w:w="2500" w:type="dxa"/>
            <w:vAlign w:val="bottom"/>
            <w:tcBorders>
              <w:left w:val="single" w:sz="8" w:color="auto"/>
              <w:bottom w:val="single" w:sz="8" w:color="auto"/>
            </w:tcBorders>
            <w:shd w:val="clear" w:color="auto" w:fill="C6F4F9"/>
          </w:tcPr>
          <w:p>
            <w:pPr>
              <w:spacing w:after="0"/>
              <w:rPr>
                <w:sz w:val="20"/>
                <w:szCs w:val="20"/>
                <w:color w:val="auto"/>
              </w:rPr>
            </w:pPr>
          </w:p>
        </w:tc>
        <w:tc>
          <w:tcPr>
            <w:tcW w:w="1240" w:type="dxa"/>
            <w:vAlign w:val="bottom"/>
            <w:tcBorders>
              <w:bottom w:val="single" w:sz="8" w:color="auto"/>
              <w:right w:val="single" w:sz="8" w:color="auto"/>
            </w:tcBorders>
            <w:shd w:val="clear" w:color="auto" w:fill="C6F4F9"/>
          </w:tcPr>
          <w:p>
            <w:pPr>
              <w:spacing w:after="0"/>
              <w:rPr>
                <w:sz w:val="20"/>
                <w:szCs w:val="20"/>
                <w:color w:val="auto"/>
              </w:rPr>
            </w:pPr>
          </w:p>
        </w:tc>
        <w:tc>
          <w:tcPr>
            <w:tcW w:w="3820" w:type="dxa"/>
            <w:vAlign w:val="bottom"/>
            <w:tcBorders>
              <w:bottom w:val="single" w:sz="8" w:color="auto"/>
              <w:right w:val="single" w:sz="8" w:color="auto"/>
            </w:tcBorders>
            <w:gridSpan w:val="3"/>
            <w:shd w:val="clear" w:color="auto" w:fill="C6F4F9"/>
          </w:tcPr>
          <w:p>
            <w:pPr>
              <w:spacing w:after="0"/>
              <w:rPr>
                <w:sz w:val="20"/>
                <w:szCs w:val="20"/>
                <w:color w:val="auto"/>
              </w:rPr>
            </w:pPr>
            <w:r>
              <w:rPr>
                <w:rFonts w:ascii="Arial" w:cs="Arial" w:eastAsia="Arial" w:hAnsi="Arial"/>
                <w:sz w:val="18"/>
                <w:szCs w:val="18"/>
                <w:color w:val="auto"/>
              </w:rPr>
              <w:t>New York, New York 10055</w:t>
            </w:r>
          </w:p>
        </w:tc>
        <w:tc>
          <w:tcPr>
            <w:tcW w:w="3680" w:type="dxa"/>
            <w:vAlign w:val="bottom"/>
            <w:tcBorders>
              <w:bottom w:val="single" w:sz="8" w:color="auto"/>
              <w:right w:val="single" w:sz="8" w:color="auto"/>
            </w:tcBorders>
            <w:shd w:val="clear" w:color="auto" w:fill="C6F4F9"/>
          </w:tcPr>
          <w:p>
            <w:pPr>
              <w:spacing w:after="0"/>
              <w:rPr>
                <w:sz w:val="20"/>
                <w:szCs w:val="20"/>
                <w:color w:val="auto"/>
              </w:rPr>
            </w:pPr>
          </w:p>
        </w:tc>
      </w:tr>
      <w:tr>
        <w:trPr>
          <w:trHeight w:val="202"/>
        </w:trPr>
        <w:tc>
          <w:tcPr>
            <w:tcW w:w="250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Sandeep Naik</w:t>
            </w:r>
          </w:p>
        </w:tc>
        <w:tc>
          <w:tcPr>
            <w:tcW w:w="1240" w:type="dxa"/>
            <w:vAlign w:val="bottom"/>
            <w:tcBorders>
              <w:right w:val="single" w:sz="8" w:color="auto"/>
            </w:tcBorders>
          </w:tcPr>
          <w:p>
            <w:pPr>
              <w:spacing w:after="0"/>
              <w:rPr>
                <w:sz w:val="17"/>
                <w:szCs w:val="17"/>
                <w:color w:val="auto"/>
              </w:rPr>
            </w:pPr>
          </w:p>
        </w:tc>
        <w:tc>
          <w:tcPr>
            <w:tcW w:w="3820" w:type="dxa"/>
            <w:vAlign w:val="bottom"/>
            <w:tcBorders>
              <w:right w:val="single" w:sz="8" w:color="auto"/>
            </w:tcBorders>
            <w:gridSpan w:val="3"/>
          </w:tcPr>
          <w:p>
            <w:pPr>
              <w:spacing w:after="0" w:line="201" w:lineRule="exact"/>
              <w:rPr>
                <w:sz w:val="20"/>
                <w:szCs w:val="20"/>
                <w:color w:val="auto"/>
              </w:rPr>
            </w:pPr>
            <w:r>
              <w:rPr>
                <w:rFonts w:ascii="Arial" w:cs="Arial" w:eastAsia="Arial" w:hAnsi="Arial"/>
                <w:sz w:val="18"/>
                <w:szCs w:val="18"/>
                <w:color w:val="auto"/>
              </w:rPr>
              <w:t>Asia Square Tower 1</w:t>
            </w:r>
          </w:p>
        </w:tc>
        <w:tc>
          <w:tcPr>
            <w:tcW w:w="368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United States</w:t>
            </w:r>
          </w:p>
        </w:tc>
      </w:tr>
      <w:tr>
        <w:trPr>
          <w:trHeight w:val="216"/>
        </w:trPr>
        <w:tc>
          <w:tcPr>
            <w:tcW w:w="250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8 Marina View, #41-04</w:t>
            </w:r>
          </w:p>
        </w:tc>
        <w:tc>
          <w:tcPr>
            <w:tcW w:w="3680" w:type="dxa"/>
            <w:vAlign w:val="bottom"/>
            <w:tcBorders>
              <w:right w:val="single" w:sz="8" w:color="auto"/>
            </w:tcBorders>
          </w:tcPr>
          <w:p>
            <w:pPr>
              <w:spacing w:after="0"/>
              <w:rPr>
                <w:sz w:val="18"/>
                <w:szCs w:val="18"/>
                <w:color w:val="auto"/>
              </w:rPr>
            </w:pPr>
          </w:p>
        </w:tc>
      </w:tr>
      <w:tr>
        <w:trPr>
          <w:trHeight w:val="237"/>
        </w:trPr>
        <w:tc>
          <w:tcPr>
            <w:tcW w:w="2500" w:type="dxa"/>
            <w:vAlign w:val="bottom"/>
            <w:tcBorders>
              <w:left w:val="single" w:sz="8" w:color="auto"/>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Singapore 018960</w:t>
            </w:r>
          </w:p>
        </w:tc>
        <w:tc>
          <w:tcPr>
            <w:tcW w:w="3680" w:type="dxa"/>
            <w:vAlign w:val="bottom"/>
            <w:tcBorders>
              <w:bottom w:val="single" w:sz="8" w:color="auto"/>
              <w:right w:val="single" w:sz="8" w:color="auto"/>
            </w:tcBorders>
          </w:tcPr>
          <w:p>
            <w:pPr>
              <w:spacing w:after="0"/>
              <w:rPr>
                <w:sz w:val="20"/>
                <w:szCs w:val="20"/>
                <w:color w:val="auto"/>
              </w:rPr>
            </w:pPr>
          </w:p>
        </w:tc>
      </w:tr>
      <w:tr>
        <w:trPr>
          <w:trHeight w:val="202"/>
        </w:trPr>
        <w:tc>
          <w:tcPr>
            <w:tcW w:w="2500" w:type="dxa"/>
            <w:vAlign w:val="bottom"/>
            <w:tcBorders>
              <w:left w:val="single" w:sz="8" w:color="auto"/>
            </w:tcBorders>
            <w:shd w:val="clear" w:color="auto" w:fill="C6F4F9"/>
          </w:tcPr>
          <w:p>
            <w:pPr>
              <w:ind w:left="40"/>
              <w:spacing w:after="0" w:line="201" w:lineRule="exact"/>
              <w:rPr>
                <w:sz w:val="20"/>
                <w:szCs w:val="20"/>
                <w:color w:val="auto"/>
              </w:rPr>
            </w:pPr>
            <w:r>
              <w:rPr>
                <w:rFonts w:ascii="Arial" w:cs="Arial" w:eastAsia="Arial" w:hAnsi="Arial"/>
                <w:sz w:val="18"/>
                <w:szCs w:val="18"/>
                <w:color w:val="auto"/>
              </w:rPr>
              <w:t>Graves Tompkins</w:t>
            </w:r>
          </w:p>
        </w:tc>
        <w:tc>
          <w:tcPr>
            <w:tcW w:w="1240" w:type="dxa"/>
            <w:vAlign w:val="bottom"/>
            <w:tcBorders>
              <w:right w:val="single" w:sz="8" w:color="auto"/>
            </w:tcBorders>
            <w:shd w:val="clear" w:color="auto" w:fill="C6F4F9"/>
          </w:tcPr>
          <w:p>
            <w:pPr>
              <w:spacing w:after="0"/>
              <w:rPr>
                <w:sz w:val="17"/>
                <w:szCs w:val="17"/>
                <w:color w:val="auto"/>
              </w:rPr>
            </w:pPr>
          </w:p>
        </w:tc>
        <w:tc>
          <w:tcPr>
            <w:tcW w:w="3820" w:type="dxa"/>
            <w:vAlign w:val="bottom"/>
            <w:tcBorders>
              <w:right w:val="single" w:sz="8" w:color="auto"/>
            </w:tcBorders>
            <w:gridSpan w:val="3"/>
            <w:shd w:val="clear" w:color="auto" w:fill="C6F4F9"/>
          </w:tcPr>
          <w:p>
            <w:pPr>
              <w:spacing w:after="0" w:line="201" w:lineRule="exact"/>
              <w:rPr>
                <w:sz w:val="20"/>
                <w:szCs w:val="20"/>
                <w:color w:val="auto"/>
              </w:rPr>
            </w:pPr>
            <w:r>
              <w:rPr>
                <w:rFonts w:ascii="Arial" w:cs="Arial" w:eastAsia="Arial" w:hAnsi="Arial"/>
                <w:sz w:val="18"/>
                <w:szCs w:val="18"/>
                <w:color w:val="auto"/>
              </w:rPr>
              <w:t>55 East 52nd Street</w:t>
            </w:r>
          </w:p>
        </w:tc>
        <w:tc>
          <w:tcPr>
            <w:tcW w:w="3680" w:type="dxa"/>
            <w:vAlign w:val="bottom"/>
            <w:tcBorders>
              <w:right w:val="single" w:sz="8" w:color="auto"/>
            </w:tcBorders>
            <w:shd w:val="clear" w:color="auto" w:fill="C6F4F9"/>
          </w:tcPr>
          <w:p>
            <w:pPr>
              <w:spacing w:after="0" w:line="201" w:lineRule="exact"/>
              <w:rPr>
                <w:sz w:val="20"/>
                <w:szCs w:val="20"/>
                <w:color w:val="auto"/>
              </w:rPr>
            </w:pPr>
            <w:r>
              <w:rPr>
                <w:rFonts w:ascii="Arial" w:cs="Arial" w:eastAsia="Arial" w:hAnsi="Arial"/>
                <w:sz w:val="18"/>
                <w:szCs w:val="18"/>
                <w:color w:val="auto"/>
              </w:rPr>
              <w:t>United States</w:t>
            </w:r>
          </w:p>
        </w:tc>
      </w:tr>
      <w:tr>
        <w:trPr>
          <w:trHeight w:val="216"/>
        </w:trPr>
        <w:tc>
          <w:tcPr>
            <w:tcW w:w="2500" w:type="dxa"/>
            <w:vAlign w:val="bottom"/>
            <w:tcBorders>
              <w:left w:val="single" w:sz="8" w:color="auto"/>
            </w:tcBorders>
            <w:shd w:val="clear" w:color="auto" w:fill="C6F4F9"/>
          </w:tcPr>
          <w:p>
            <w:pPr>
              <w:spacing w:after="0"/>
              <w:rPr>
                <w:sz w:val="18"/>
                <w:szCs w:val="18"/>
                <w:color w:val="auto"/>
              </w:rPr>
            </w:pPr>
          </w:p>
        </w:tc>
        <w:tc>
          <w:tcPr>
            <w:tcW w:w="1240" w:type="dxa"/>
            <w:vAlign w:val="bottom"/>
            <w:tcBorders>
              <w:right w:val="single" w:sz="8" w:color="auto"/>
            </w:tcBorders>
            <w:shd w:val="clear" w:color="auto" w:fill="C6F4F9"/>
          </w:tcPr>
          <w:p>
            <w:pPr>
              <w:spacing w:after="0"/>
              <w:rPr>
                <w:sz w:val="18"/>
                <w:szCs w:val="18"/>
                <w:color w:val="auto"/>
              </w:rPr>
            </w:pPr>
          </w:p>
        </w:tc>
        <w:tc>
          <w:tcPr>
            <w:tcW w:w="3820" w:type="dxa"/>
            <w:vAlign w:val="bottom"/>
            <w:tcBorders>
              <w:right w:val="single" w:sz="8" w:color="auto"/>
            </w:tcBorders>
            <w:gridSpan w:val="3"/>
            <w:shd w:val="clear" w:color="auto" w:fill="C6F4F9"/>
          </w:tcPr>
          <w:p>
            <w:pPr>
              <w:spacing w:after="0"/>
              <w:rPr>
                <w:sz w:val="20"/>
                <w:szCs w:val="20"/>
                <w:color w:val="auto"/>
              </w:rPr>
            </w:pPr>
            <w:r>
              <w:rPr>
                <w:rFonts w:ascii="Arial" w:cs="Arial" w:eastAsia="Arial" w:hAnsi="Arial"/>
                <w:sz w:val="18"/>
                <w:szCs w:val="18"/>
                <w:color w:val="auto"/>
              </w:rPr>
              <w:t>33rd Floor</w:t>
            </w:r>
          </w:p>
        </w:tc>
        <w:tc>
          <w:tcPr>
            <w:tcW w:w="3680" w:type="dxa"/>
            <w:vAlign w:val="bottom"/>
            <w:tcBorders>
              <w:right w:val="single" w:sz="8" w:color="auto"/>
            </w:tcBorders>
            <w:shd w:val="clear" w:color="auto" w:fill="C6F4F9"/>
          </w:tcPr>
          <w:p>
            <w:pPr>
              <w:spacing w:after="0"/>
              <w:rPr>
                <w:sz w:val="18"/>
                <w:szCs w:val="18"/>
                <w:color w:val="auto"/>
              </w:rPr>
            </w:pPr>
          </w:p>
        </w:tc>
      </w:tr>
      <w:tr>
        <w:trPr>
          <w:trHeight w:val="237"/>
        </w:trPr>
        <w:tc>
          <w:tcPr>
            <w:tcW w:w="2500" w:type="dxa"/>
            <w:vAlign w:val="bottom"/>
            <w:tcBorders>
              <w:left w:val="single" w:sz="8" w:color="auto"/>
              <w:bottom w:val="single" w:sz="8" w:color="auto"/>
            </w:tcBorders>
            <w:shd w:val="clear" w:color="auto" w:fill="C6F4F9"/>
          </w:tcPr>
          <w:p>
            <w:pPr>
              <w:spacing w:after="0"/>
              <w:rPr>
                <w:sz w:val="20"/>
                <w:szCs w:val="20"/>
                <w:color w:val="auto"/>
              </w:rPr>
            </w:pPr>
          </w:p>
        </w:tc>
        <w:tc>
          <w:tcPr>
            <w:tcW w:w="1240" w:type="dxa"/>
            <w:vAlign w:val="bottom"/>
            <w:tcBorders>
              <w:bottom w:val="single" w:sz="8" w:color="auto"/>
              <w:right w:val="single" w:sz="8" w:color="auto"/>
            </w:tcBorders>
            <w:shd w:val="clear" w:color="auto" w:fill="C6F4F9"/>
          </w:tcPr>
          <w:p>
            <w:pPr>
              <w:spacing w:after="0"/>
              <w:rPr>
                <w:sz w:val="20"/>
                <w:szCs w:val="20"/>
                <w:color w:val="auto"/>
              </w:rPr>
            </w:pPr>
          </w:p>
        </w:tc>
        <w:tc>
          <w:tcPr>
            <w:tcW w:w="3820" w:type="dxa"/>
            <w:vAlign w:val="bottom"/>
            <w:tcBorders>
              <w:bottom w:val="single" w:sz="8" w:color="auto"/>
              <w:right w:val="single" w:sz="8" w:color="auto"/>
            </w:tcBorders>
            <w:gridSpan w:val="3"/>
            <w:shd w:val="clear" w:color="auto" w:fill="C6F4F9"/>
          </w:tcPr>
          <w:p>
            <w:pPr>
              <w:spacing w:after="0"/>
              <w:rPr>
                <w:sz w:val="20"/>
                <w:szCs w:val="20"/>
                <w:color w:val="auto"/>
              </w:rPr>
            </w:pPr>
            <w:r>
              <w:rPr>
                <w:rFonts w:ascii="Arial" w:cs="Arial" w:eastAsia="Arial" w:hAnsi="Arial"/>
                <w:sz w:val="18"/>
                <w:szCs w:val="18"/>
                <w:color w:val="auto"/>
              </w:rPr>
              <w:t>New York, New York 10055</w:t>
            </w:r>
          </w:p>
        </w:tc>
        <w:tc>
          <w:tcPr>
            <w:tcW w:w="3680" w:type="dxa"/>
            <w:vAlign w:val="bottom"/>
            <w:tcBorders>
              <w:bottom w:val="single" w:sz="8" w:color="auto"/>
              <w:right w:val="single" w:sz="8" w:color="auto"/>
            </w:tcBorders>
            <w:shd w:val="clear" w:color="auto" w:fill="C6F4F9"/>
          </w:tcPr>
          <w:p>
            <w:pPr>
              <w:spacing w:after="0"/>
              <w:rPr>
                <w:sz w:val="20"/>
                <w:szCs w:val="20"/>
                <w:color w:val="auto"/>
              </w:rPr>
            </w:pPr>
          </w:p>
        </w:tc>
      </w:tr>
      <w:tr>
        <w:trPr>
          <w:trHeight w:val="202"/>
        </w:trPr>
        <w:tc>
          <w:tcPr>
            <w:tcW w:w="250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N. Robbert Vorhoff</w:t>
            </w:r>
          </w:p>
        </w:tc>
        <w:tc>
          <w:tcPr>
            <w:tcW w:w="1240" w:type="dxa"/>
            <w:vAlign w:val="bottom"/>
            <w:tcBorders>
              <w:right w:val="single" w:sz="8" w:color="auto"/>
            </w:tcBorders>
          </w:tcPr>
          <w:p>
            <w:pPr>
              <w:spacing w:after="0"/>
              <w:rPr>
                <w:sz w:val="17"/>
                <w:szCs w:val="17"/>
                <w:color w:val="auto"/>
              </w:rPr>
            </w:pPr>
          </w:p>
        </w:tc>
        <w:tc>
          <w:tcPr>
            <w:tcW w:w="3820" w:type="dxa"/>
            <w:vAlign w:val="bottom"/>
            <w:tcBorders>
              <w:right w:val="single" w:sz="8" w:color="auto"/>
            </w:tcBorders>
            <w:gridSpan w:val="3"/>
          </w:tcPr>
          <w:p>
            <w:pPr>
              <w:spacing w:after="0" w:line="201" w:lineRule="exact"/>
              <w:rPr>
                <w:sz w:val="20"/>
                <w:szCs w:val="20"/>
                <w:color w:val="auto"/>
              </w:rPr>
            </w:pPr>
            <w:r>
              <w:rPr>
                <w:rFonts w:ascii="Arial" w:cs="Arial" w:eastAsia="Arial" w:hAnsi="Arial"/>
                <w:sz w:val="18"/>
                <w:szCs w:val="18"/>
                <w:color w:val="auto"/>
              </w:rPr>
              <w:t>55 East 52nd Street</w:t>
            </w:r>
          </w:p>
        </w:tc>
        <w:tc>
          <w:tcPr>
            <w:tcW w:w="368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United States</w:t>
            </w:r>
          </w:p>
        </w:tc>
      </w:tr>
      <w:tr>
        <w:trPr>
          <w:trHeight w:val="216"/>
        </w:trPr>
        <w:tc>
          <w:tcPr>
            <w:tcW w:w="250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33rd Floor</w:t>
            </w:r>
          </w:p>
        </w:tc>
        <w:tc>
          <w:tcPr>
            <w:tcW w:w="3680" w:type="dxa"/>
            <w:vAlign w:val="bottom"/>
            <w:tcBorders>
              <w:right w:val="single" w:sz="8" w:color="auto"/>
            </w:tcBorders>
          </w:tcPr>
          <w:p>
            <w:pPr>
              <w:spacing w:after="0"/>
              <w:rPr>
                <w:sz w:val="18"/>
                <w:szCs w:val="18"/>
                <w:color w:val="auto"/>
              </w:rPr>
            </w:pPr>
          </w:p>
        </w:tc>
      </w:tr>
      <w:tr>
        <w:trPr>
          <w:trHeight w:val="237"/>
        </w:trPr>
        <w:tc>
          <w:tcPr>
            <w:tcW w:w="2500" w:type="dxa"/>
            <w:vAlign w:val="bottom"/>
            <w:tcBorders>
              <w:left w:val="single" w:sz="8" w:color="auto"/>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New York, New York 10055</w:t>
            </w:r>
          </w:p>
        </w:tc>
        <w:tc>
          <w:tcPr>
            <w:tcW w:w="3680" w:type="dxa"/>
            <w:vAlign w:val="bottom"/>
            <w:tcBorders>
              <w:bottom w:val="single" w:sz="8" w:color="auto"/>
              <w:right w:val="single" w:sz="8" w:color="auto"/>
            </w:tcBorders>
          </w:tcPr>
          <w:p>
            <w:pPr>
              <w:spacing w:after="0"/>
              <w:rPr>
                <w:sz w:val="20"/>
                <w:szCs w:val="20"/>
                <w:color w:val="auto"/>
              </w:rPr>
            </w:pPr>
          </w:p>
        </w:tc>
      </w:tr>
      <w:tr>
        <w:trPr>
          <w:trHeight w:val="202"/>
        </w:trPr>
        <w:tc>
          <w:tcPr>
            <w:tcW w:w="2500" w:type="dxa"/>
            <w:vAlign w:val="bottom"/>
            <w:tcBorders>
              <w:left w:val="single" w:sz="8" w:color="auto"/>
            </w:tcBorders>
            <w:shd w:val="clear" w:color="auto" w:fill="CFF8FD"/>
          </w:tcPr>
          <w:p>
            <w:pPr>
              <w:ind w:left="40"/>
              <w:spacing w:after="0" w:line="201" w:lineRule="exact"/>
              <w:rPr>
                <w:sz w:val="20"/>
                <w:szCs w:val="20"/>
                <w:color w:val="auto"/>
              </w:rPr>
            </w:pPr>
            <w:r>
              <w:rPr>
                <w:rFonts w:ascii="Arial" w:cs="Arial" w:eastAsia="Arial" w:hAnsi="Arial"/>
                <w:sz w:val="18"/>
                <w:szCs w:val="18"/>
                <w:color w:val="auto"/>
              </w:rPr>
              <w:t>Eric Zhang</w:t>
            </w:r>
          </w:p>
        </w:tc>
        <w:tc>
          <w:tcPr>
            <w:tcW w:w="1240" w:type="dxa"/>
            <w:vAlign w:val="bottom"/>
            <w:tcBorders>
              <w:right w:val="single" w:sz="8" w:color="auto"/>
            </w:tcBorders>
            <w:shd w:val="clear" w:color="auto" w:fill="CFF8FD"/>
          </w:tcPr>
          <w:p>
            <w:pPr>
              <w:spacing w:after="0"/>
              <w:rPr>
                <w:sz w:val="17"/>
                <w:szCs w:val="17"/>
                <w:color w:val="auto"/>
              </w:rPr>
            </w:pPr>
          </w:p>
        </w:tc>
        <w:tc>
          <w:tcPr>
            <w:tcW w:w="3820" w:type="dxa"/>
            <w:vAlign w:val="bottom"/>
            <w:tcBorders>
              <w:right w:val="single" w:sz="8" w:color="auto"/>
            </w:tcBorders>
            <w:gridSpan w:val="3"/>
            <w:shd w:val="clear" w:color="auto" w:fill="CFF8FD"/>
          </w:tcPr>
          <w:p>
            <w:pPr>
              <w:spacing w:after="0" w:line="201" w:lineRule="exact"/>
              <w:rPr>
                <w:sz w:val="20"/>
                <w:szCs w:val="20"/>
                <w:color w:val="auto"/>
              </w:rPr>
            </w:pPr>
            <w:r>
              <w:rPr>
                <w:rFonts w:ascii="Arial" w:cs="Arial" w:eastAsia="Arial" w:hAnsi="Arial"/>
                <w:sz w:val="18"/>
                <w:szCs w:val="18"/>
                <w:color w:val="auto"/>
              </w:rPr>
              <w:t>Suite 5704-5706, 57F</w:t>
            </w:r>
          </w:p>
        </w:tc>
        <w:tc>
          <w:tcPr>
            <w:tcW w:w="3680" w:type="dxa"/>
            <w:vAlign w:val="bottom"/>
            <w:tcBorders>
              <w:right w:val="single" w:sz="8" w:color="auto"/>
            </w:tcBorders>
            <w:shd w:val="clear" w:color="auto" w:fill="CFF8FD"/>
          </w:tcPr>
          <w:p>
            <w:pPr>
              <w:spacing w:after="0" w:line="201" w:lineRule="exact"/>
              <w:rPr>
                <w:sz w:val="20"/>
                <w:szCs w:val="20"/>
                <w:color w:val="auto"/>
              </w:rPr>
            </w:pPr>
            <w:r>
              <w:rPr>
                <w:rFonts w:ascii="Arial" w:cs="Arial" w:eastAsia="Arial" w:hAnsi="Arial"/>
                <w:sz w:val="18"/>
                <w:szCs w:val="18"/>
                <w:color w:val="auto"/>
              </w:rPr>
              <w:t>Hong Kong SAR</w:t>
            </w:r>
          </w:p>
        </w:tc>
      </w:tr>
      <w:tr>
        <w:trPr>
          <w:trHeight w:val="216"/>
        </w:trPr>
        <w:tc>
          <w:tcPr>
            <w:tcW w:w="2500" w:type="dxa"/>
            <w:vAlign w:val="bottom"/>
            <w:tcBorders>
              <w:left w:val="single" w:sz="8" w:color="auto"/>
            </w:tcBorders>
            <w:shd w:val="clear" w:color="auto" w:fill="CFF8FD"/>
          </w:tcPr>
          <w:p>
            <w:pPr>
              <w:spacing w:after="0"/>
              <w:rPr>
                <w:sz w:val="18"/>
                <w:szCs w:val="18"/>
                <w:color w:val="auto"/>
              </w:rPr>
            </w:pPr>
          </w:p>
        </w:tc>
        <w:tc>
          <w:tcPr>
            <w:tcW w:w="1240" w:type="dxa"/>
            <w:vAlign w:val="bottom"/>
            <w:tcBorders>
              <w:right w:val="single" w:sz="8" w:color="auto"/>
            </w:tcBorders>
            <w:shd w:val="clear" w:color="auto" w:fill="CFF8FD"/>
          </w:tcPr>
          <w:p>
            <w:pPr>
              <w:spacing w:after="0"/>
              <w:rPr>
                <w:sz w:val="18"/>
                <w:szCs w:val="18"/>
                <w:color w:val="auto"/>
              </w:rPr>
            </w:pPr>
          </w:p>
        </w:tc>
        <w:tc>
          <w:tcPr>
            <w:tcW w:w="3820" w:type="dxa"/>
            <w:vAlign w:val="bottom"/>
            <w:tcBorders>
              <w:right w:val="single" w:sz="8" w:color="auto"/>
            </w:tcBorders>
            <w:gridSpan w:val="3"/>
            <w:shd w:val="clear" w:color="auto" w:fill="CFF8FD"/>
          </w:tcPr>
          <w:p>
            <w:pPr>
              <w:spacing w:after="0"/>
              <w:rPr>
                <w:sz w:val="20"/>
                <w:szCs w:val="20"/>
                <w:color w:val="auto"/>
              </w:rPr>
            </w:pPr>
            <w:r>
              <w:rPr>
                <w:rFonts w:ascii="Arial" w:cs="Arial" w:eastAsia="Arial" w:hAnsi="Arial"/>
                <w:sz w:val="18"/>
                <w:szCs w:val="18"/>
                <w:color w:val="auto"/>
              </w:rPr>
              <w:t>Two IFC, 8 Finance Street</w:t>
            </w:r>
          </w:p>
        </w:tc>
        <w:tc>
          <w:tcPr>
            <w:tcW w:w="3680" w:type="dxa"/>
            <w:vAlign w:val="bottom"/>
            <w:tcBorders>
              <w:right w:val="single" w:sz="8" w:color="auto"/>
            </w:tcBorders>
            <w:shd w:val="clear" w:color="auto" w:fill="CFF8FD"/>
          </w:tcPr>
          <w:p>
            <w:pPr>
              <w:spacing w:after="0"/>
              <w:rPr>
                <w:sz w:val="18"/>
                <w:szCs w:val="18"/>
                <w:color w:val="auto"/>
              </w:rPr>
            </w:pPr>
          </w:p>
        </w:tc>
      </w:tr>
      <w:tr>
        <w:trPr>
          <w:trHeight w:val="237"/>
        </w:trPr>
        <w:tc>
          <w:tcPr>
            <w:tcW w:w="2500" w:type="dxa"/>
            <w:vAlign w:val="bottom"/>
            <w:tcBorders>
              <w:left w:val="single" w:sz="8" w:color="auto"/>
              <w:bottom w:val="single" w:sz="8" w:color="auto"/>
            </w:tcBorders>
            <w:shd w:val="clear" w:color="auto" w:fill="CFF8FD"/>
          </w:tcPr>
          <w:p>
            <w:pPr>
              <w:spacing w:after="0"/>
              <w:rPr>
                <w:sz w:val="20"/>
                <w:szCs w:val="20"/>
                <w:color w:val="auto"/>
              </w:rPr>
            </w:pPr>
          </w:p>
        </w:tc>
        <w:tc>
          <w:tcPr>
            <w:tcW w:w="1240" w:type="dxa"/>
            <w:vAlign w:val="bottom"/>
            <w:tcBorders>
              <w:bottom w:val="single" w:sz="8" w:color="auto"/>
              <w:right w:val="single" w:sz="8" w:color="auto"/>
            </w:tcBorders>
            <w:shd w:val="clear" w:color="auto" w:fill="CFF8FD"/>
          </w:tcPr>
          <w:p>
            <w:pPr>
              <w:spacing w:after="0"/>
              <w:rPr>
                <w:sz w:val="20"/>
                <w:szCs w:val="20"/>
                <w:color w:val="auto"/>
              </w:rPr>
            </w:pPr>
          </w:p>
        </w:tc>
        <w:tc>
          <w:tcPr>
            <w:tcW w:w="3820" w:type="dxa"/>
            <w:vAlign w:val="bottom"/>
            <w:tcBorders>
              <w:bottom w:val="single" w:sz="8" w:color="auto"/>
              <w:right w:val="single" w:sz="8" w:color="auto"/>
            </w:tcBorders>
            <w:gridSpan w:val="3"/>
            <w:shd w:val="clear" w:color="auto" w:fill="CFF8FD"/>
          </w:tcPr>
          <w:p>
            <w:pPr>
              <w:spacing w:after="0"/>
              <w:rPr>
                <w:sz w:val="20"/>
                <w:szCs w:val="20"/>
                <w:color w:val="auto"/>
              </w:rPr>
            </w:pPr>
            <w:r>
              <w:rPr>
                <w:rFonts w:ascii="Arial" w:cs="Arial" w:eastAsia="Arial" w:hAnsi="Arial"/>
                <w:sz w:val="18"/>
                <w:szCs w:val="18"/>
                <w:color w:val="auto"/>
              </w:rPr>
              <w:t>Central, Hong Kong, China</w:t>
            </w:r>
          </w:p>
        </w:tc>
        <w:tc>
          <w:tcPr>
            <w:tcW w:w="3680" w:type="dxa"/>
            <w:vAlign w:val="bottom"/>
            <w:tcBorders>
              <w:bottom w:val="single" w:sz="8" w:color="auto"/>
              <w:right w:val="single" w:sz="8" w:color="auto"/>
            </w:tcBorders>
            <w:shd w:val="clear" w:color="auto" w:fill="CFF8FD"/>
          </w:tcPr>
          <w:p>
            <w:pPr>
              <w:spacing w:after="0"/>
              <w:rPr>
                <w:sz w:val="20"/>
                <w:szCs w:val="20"/>
                <w:color w:val="auto"/>
              </w:rPr>
            </w:pPr>
          </w:p>
        </w:tc>
      </w:tr>
      <w:tr>
        <w:trPr>
          <w:trHeight w:val="763"/>
        </w:trPr>
        <w:tc>
          <w:tcPr>
            <w:tcW w:w="25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83"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1</w:t>
      </w:r>
    </w:p>
    <w:p>
      <w:pPr>
        <w:spacing w:after="0" w:line="22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JOINT ACQUISITION STATEMENT</w:t>
      </w:r>
    </w:p>
    <w:p>
      <w:pPr>
        <w:spacing w:after="0" w:line="2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PURSUANT TO RULE 13D-1(k)(1)</w:t>
      </w:r>
    </w:p>
    <w:p>
      <w:pPr>
        <w:spacing w:after="0" w:line="211" w:lineRule="exact"/>
        <w:rPr>
          <w:sz w:val="20"/>
          <w:szCs w:val="20"/>
          <w:color w:val="auto"/>
        </w:rPr>
      </w:pPr>
    </w:p>
    <w:p>
      <w:pPr>
        <w:ind w:right="80" w:firstLine="972"/>
        <w:spacing w:after="0" w:line="255" w:lineRule="auto"/>
        <w:rPr>
          <w:sz w:val="20"/>
          <w:szCs w:val="20"/>
          <w:color w:val="auto"/>
        </w:rPr>
      </w:pPr>
      <w:r>
        <w:rPr>
          <w:rFonts w:ascii="Arial" w:cs="Arial" w:eastAsia="Arial" w:hAnsi="Arial"/>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her or it contained herein, but shall not be responsible for the completeness and accuracy of the information concerning the other entities or persons, except to the extent that he, she or it knows or has reason to believe that such information is accurate.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Dated as of February 18, 2021</w:t>
      </w:r>
    </w:p>
    <w:p>
      <w:pPr>
        <w:spacing w:after="0" w:line="221"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GENERAL ATLANTIC PH B.V.</w:t>
      </w:r>
    </w:p>
    <w:p>
      <w:pPr>
        <w:spacing w:after="0" w:line="310" w:lineRule="exact"/>
        <w:rPr>
          <w:sz w:val="20"/>
          <w:szCs w:val="20"/>
          <w:color w:val="auto"/>
        </w:rPr>
      </w:pPr>
    </w:p>
    <w:p>
      <w:pPr>
        <w:ind w:left="5860"/>
        <w:spacing w:after="0"/>
        <w:tabs>
          <w:tab w:leader="none" w:pos="6300" w:val="left"/>
        </w:tabs>
        <w:rPr>
          <w:sz w:val="20"/>
          <w:szCs w:val="20"/>
          <w:color w:val="auto"/>
        </w:rPr>
      </w:pPr>
      <w:r>
        <w:rPr>
          <w:rFonts w:ascii="Arial" w:cs="Arial" w:eastAsia="Arial" w:hAnsi="Arial"/>
          <w:sz w:val="18"/>
          <w:szCs w:val="18"/>
          <w:color w:val="auto"/>
        </w:rPr>
        <w:t>By:</w:t>
        <w:tab/>
        <w:t>/s/ I.M. van der Hoorn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24942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I.M. van der Hoorn</w:t>
      </w:r>
    </w:p>
    <w:p>
      <w:pPr>
        <w:spacing w:after="0" w:line="23" w:lineRule="exact"/>
        <w:rPr>
          <w:sz w:val="20"/>
          <w:szCs w:val="20"/>
          <w:color w:val="auto"/>
        </w:rPr>
      </w:pPr>
    </w:p>
    <w:p>
      <w:pPr>
        <w:ind w:left="6320"/>
        <w:spacing w:after="0"/>
        <w:tabs>
          <w:tab w:leader="none" w:pos="6860" w:val="left"/>
        </w:tabs>
        <w:rPr>
          <w:sz w:val="20"/>
          <w:szCs w:val="20"/>
          <w:color w:val="auto"/>
        </w:rPr>
      </w:pPr>
      <w:r>
        <w:rPr>
          <w:rFonts w:ascii="Arial" w:cs="Arial" w:eastAsia="Arial" w:hAnsi="Arial"/>
          <w:sz w:val="18"/>
          <w:szCs w:val="18"/>
          <w:color w:val="auto"/>
        </w:rPr>
        <w:t>Title:</w:t>
        <w:tab/>
        <w:t>Director A</w:t>
      </w:r>
    </w:p>
    <w:p>
      <w:pPr>
        <w:spacing w:after="0" w:line="238" w:lineRule="exact"/>
        <w:rPr>
          <w:sz w:val="20"/>
          <w:szCs w:val="20"/>
          <w:color w:val="auto"/>
        </w:rPr>
      </w:pPr>
    </w:p>
    <w:p>
      <w:pPr>
        <w:ind w:left="5860"/>
        <w:spacing w:after="0"/>
        <w:tabs>
          <w:tab w:leader="none" w:pos="6300" w:val="left"/>
        </w:tabs>
        <w:rPr>
          <w:sz w:val="20"/>
          <w:szCs w:val="20"/>
          <w:color w:val="auto"/>
        </w:rPr>
      </w:pPr>
      <w:r>
        <w:rPr>
          <w:rFonts w:ascii="Arial" w:cs="Arial" w:eastAsia="Arial" w:hAnsi="Arial"/>
          <w:sz w:val="18"/>
          <w:szCs w:val="18"/>
          <w:color w:val="auto"/>
        </w:rPr>
        <w:t>By:</w:t>
        <w:tab/>
        <w:t>/s/ Wolbert Kamphuijs</w:t>
      </w:r>
    </w:p>
    <w:p>
      <w:pPr>
        <w:spacing w:after="0" w:line="50"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Wolbert Kamphuijs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-130175</wp:posOffset>
            </wp:positionV>
            <wp:extent cx="24942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6320"/>
        <w:spacing w:after="0"/>
        <w:tabs>
          <w:tab w:leader="none" w:pos="6860" w:val="left"/>
        </w:tabs>
        <w:rPr>
          <w:sz w:val="20"/>
          <w:szCs w:val="20"/>
          <w:color w:val="auto"/>
        </w:rPr>
      </w:pPr>
      <w:r>
        <w:rPr>
          <w:rFonts w:ascii="Arial" w:cs="Arial" w:eastAsia="Arial" w:hAnsi="Arial"/>
          <w:sz w:val="18"/>
          <w:szCs w:val="18"/>
          <w:color w:val="auto"/>
        </w:rPr>
        <w:t>Title:</w:t>
        <w:tab/>
        <w:t>Director B</w:t>
      </w:r>
    </w:p>
    <w:p>
      <w:pPr>
        <w:spacing w:after="0" w:line="247"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GENERAL ATLANTIC COÖPERATIEF U.A.</w:t>
      </w:r>
    </w:p>
    <w:p>
      <w:pPr>
        <w:spacing w:after="0" w:line="310" w:lineRule="exact"/>
        <w:rPr>
          <w:sz w:val="20"/>
          <w:szCs w:val="20"/>
          <w:color w:val="auto"/>
        </w:rPr>
      </w:pPr>
    </w:p>
    <w:p>
      <w:pPr>
        <w:ind w:left="5860"/>
        <w:spacing w:after="0"/>
        <w:tabs>
          <w:tab w:leader="none" w:pos="6300" w:val="left"/>
        </w:tabs>
        <w:rPr>
          <w:sz w:val="20"/>
          <w:szCs w:val="20"/>
          <w:color w:val="auto"/>
        </w:rPr>
      </w:pPr>
      <w:r>
        <w:rPr>
          <w:rFonts w:ascii="Arial" w:cs="Arial" w:eastAsia="Arial" w:hAnsi="Arial"/>
          <w:sz w:val="18"/>
          <w:szCs w:val="18"/>
          <w:color w:val="auto"/>
        </w:rPr>
        <w:t>By:</w:t>
        <w:tab/>
        <w:t>/s/ I.M. van der Hoorn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24942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I.M. van der Hoorn</w:t>
      </w:r>
    </w:p>
    <w:p>
      <w:pPr>
        <w:spacing w:after="0" w:line="23" w:lineRule="exact"/>
        <w:rPr>
          <w:sz w:val="20"/>
          <w:szCs w:val="20"/>
          <w:color w:val="auto"/>
        </w:rPr>
      </w:pPr>
    </w:p>
    <w:p>
      <w:pPr>
        <w:ind w:left="6320"/>
        <w:spacing w:after="0"/>
        <w:tabs>
          <w:tab w:leader="none" w:pos="6860" w:val="left"/>
        </w:tabs>
        <w:rPr>
          <w:sz w:val="20"/>
          <w:szCs w:val="20"/>
          <w:color w:val="auto"/>
        </w:rPr>
      </w:pPr>
      <w:r>
        <w:rPr>
          <w:rFonts w:ascii="Arial" w:cs="Arial" w:eastAsia="Arial" w:hAnsi="Arial"/>
          <w:sz w:val="18"/>
          <w:szCs w:val="18"/>
          <w:color w:val="auto"/>
        </w:rPr>
        <w:t>Title:</w:t>
        <w:tab/>
        <w:t>Director A</w:t>
      </w:r>
    </w:p>
    <w:p>
      <w:pPr>
        <w:spacing w:after="0" w:line="292" w:lineRule="exact"/>
        <w:rPr>
          <w:sz w:val="20"/>
          <w:szCs w:val="20"/>
          <w:color w:val="auto"/>
        </w:rPr>
      </w:pPr>
    </w:p>
    <w:p>
      <w:pPr>
        <w:ind w:left="5860"/>
        <w:spacing w:after="0"/>
        <w:tabs>
          <w:tab w:leader="none" w:pos="6300" w:val="left"/>
        </w:tabs>
        <w:rPr>
          <w:sz w:val="20"/>
          <w:szCs w:val="20"/>
          <w:color w:val="auto"/>
        </w:rPr>
      </w:pPr>
      <w:r>
        <w:rPr>
          <w:rFonts w:ascii="Arial" w:cs="Arial" w:eastAsia="Arial" w:hAnsi="Arial"/>
          <w:sz w:val="18"/>
          <w:szCs w:val="18"/>
          <w:color w:val="auto"/>
        </w:rPr>
        <w:t>By:</w:t>
        <w:tab/>
        <w:t>/s/ Wolbert Kamphuijs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24942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Wolbert Kamphuijs</w:t>
      </w:r>
    </w:p>
    <w:p>
      <w:pPr>
        <w:spacing w:after="0" w:line="23" w:lineRule="exact"/>
        <w:rPr>
          <w:sz w:val="20"/>
          <w:szCs w:val="20"/>
          <w:color w:val="auto"/>
        </w:rPr>
      </w:pPr>
    </w:p>
    <w:p>
      <w:pPr>
        <w:ind w:left="6320"/>
        <w:spacing w:after="0"/>
        <w:tabs>
          <w:tab w:leader="none" w:pos="6860" w:val="left"/>
        </w:tabs>
        <w:rPr>
          <w:sz w:val="20"/>
          <w:szCs w:val="20"/>
          <w:color w:val="auto"/>
        </w:rPr>
      </w:pPr>
      <w:r>
        <w:rPr>
          <w:rFonts w:ascii="Arial" w:cs="Arial" w:eastAsia="Arial" w:hAnsi="Arial"/>
          <w:sz w:val="18"/>
          <w:szCs w:val="18"/>
          <w:color w:val="auto"/>
        </w:rPr>
        <w:t>Title:</w:t>
        <w:tab/>
        <w:t>Director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0" w:name="page31"/>
    <w:bookmarkEnd w:id="30"/>
    <w:p>
      <w:pPr>
        <w:ind w:left="4740"/>
        <w:spacing w:after="0"/>
        <w:rPr>
          <w:sz w:val="20"/>
          <w:szCs w:val="20"/>
          <w:color w:val="auto"/>
        </w:rPr>
      </w:pPr>
      <w:r>
        <w:rPr>
          <w:rFonts w:ascii="Arial" w:cs="Arial" w:eastAsia="Arial" w:hAnsi="Arial"/>
          <w:sz w:val="18"/>
          <w:szCs w:val="18"/>
          <w:b w:val="1"/>
          <w:bCs w:val="1"/>
          <w:color w:val="auto"/>
        </w:rPr>
        <w:t>GENERAL ATLANTIC PARTNERS (BERMUDA) IV,</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L.P.</w:t>
      </w:r>
    </w:p>
    <w:p>
      <w:pPr>
        <w:spacing w:after="0" w:line="143" w:lineRule="exact"/>
        <w:rPr>
          <w:sz w:val="20"/>
          <w:szCs w:val="20"/>
          <w:color w:val="auto"/>
        </w:rPr>
      </w:pPr>
    </w:p>
    <w:p>
      <w:pPr>
        <w:ind w:left="4740"/>
        <w:spacing w:after="0"/>
        <w:tabs>
          <w:tab w:leader="none" w:pos="5180" w:val="left"/>
        </w:tabs>
        <w:rPr>
          <w:sz w:val="20"/>
          <w:szCs w:val="20"/>
          <w:color w:val="auto"/>
        </w:rPr>
      </w:pPr>
      <w:r>
        <w:rPr>
          <w:rFonts w:ascii="Arial" w:cs="Arial" w:eastAsia="Arial" w:hAnsi="Arial"/>
          <w:sz w:val="18"/>
          <w:szCs w:val="18"/>
          <w:color w:val="auto"/>
        </w:rPr>
        <w:t>By:</w:t>
        <w:tab/>
        <w:t>GENERAL ATLANTIC GENPAR (BERMUDA),</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L.P., its general partner</w:t>
      </w:r>
    </w:p>
    <w:p>
      <w:pPr>
        <w:spacing w:after="0" w:line="143" w:lineRule="exact"/>
        <w:rPr>
          <w:sz w:val="20"/>
          <w:szCs w:val="20"/>
          <w:color w:val="auto"/>
        </w:rPr>
      </w:pPr>
    </w:p>
    <w:p>
      <w:pPr>
        <w:ind w:left="4740"/>
        <w:spacing w:after="0"/>
        <w:tabs>
          <w:tab w:leader="none" w:pos="5180" w:val="left"/>
        </w:tabs>
        <w:rPr>
          <w:sz w:val="20"/>
          <w:szCs w:val="20"/>
          <w:color w:val="auto"/>
        </w:rPr>
      </w:pPr>
      <w:r>
        <w:rPr>
          <w:rFonts w:ascii="Arial" w:cs="Arial" w:eastAsia="Arial" w:hAnsi="Arial"/>
          <w:sz w:val="18"/>
          <w:szCs w:val="18"/>
          <w:color w:val="auto"/>
        </w:rPr>
        <w:t>By:</w:t>
        <w:tab/>
        <w:t>GAP (BERMUDA) LIMITED, its general partner</w:t>
      </w:r>
    </w:p>
    <w:p>
      <w:pPr>
        <w:spacing w:after="0" w:line="158" w:lineRule="exact"/>
        <w:rPr>
          <w:sz w:val="20"/>
          <w:szCs w:val="20"/>
          <w:color w:val="auto"/>
        </w:rPr>
      </w:pPr>
    </w:p>
    <w:p>
      <w:pPr>
        <w:ind w:left="4740"/>
        <w:spacing w:after="0"/>
        <w:tabs>
          <w:tab w:leader="none" w:pos="5180" w:val="left"/>
        </w:tabs>
        <w:rPr>
          <w:sz w:val="20"/>
          <w:szCs w:val="20"/>
          <w:color w:val="auto"/>
        </w:rPr>
      </w:pPr>
      <w:r>
        <w:rPr>
          <w:rFonts w:ascii="Arial" w:cs="Arial" w:eastAsia="Arial" w:hAnsi="Arial"/>
          <w:sz w:val="18"/>
          <w:szCs w:val="18"/>
          <w:color w:val="auto"/>
        </w:rPr>
        <w:t>By:</w:t>
        <w:tab/>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24942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5200"/>
        <w:spacing w:after="0"/>
        <w:tabs>
          <w:tab w:leader="none" w:pos="5740" w:val="left"/>
        </w:tabs>
        <w:rPr>
          <w:sz w:val="20"/>
          <w:szCs w:val="20"/>
          <w:color w:val="auto"/>
        </w:rPr>
      </w:pPr>
      <w:r>
        <w:rPr>
          <w:rFonts w:ascii="Arial" w:cs="Arial" w:eastAsia="Arial" w:hAnsi="Arial"/>
          <w:sz w:val="18"/>
          <w:szCs w:val="18"/>
          <w:color w:val="auto"/>
        </w:rPr>
        <w:t>Title:</w:t>
        <w:tab/>
        <w:t>Managing Director</w:t>
      </w:r>
    </w:p>
    <w:p>
      <w:pPr>
        <w:spacing w:after="0" w:line="139" w:lineRule="exact"/>
        <w:rPr>
          <w:sz w:val="20"/>
          <w:szCs w:val="20"/>
          <w:color w:val="auto"/>
        </w:rPr>
      </w:pPr>
    </w:p>
    <w:p>
      <w:pPr>
        <w:ind w:left="4740"/>
        <w:spacing w:after="0"/>
        <w:rPr>
          <w:sz w:val="20"/>
          <w:szCs w:val="20"/>
          <w:color w:val="auto"/>
        </w:rPr>
      </w:pPr>
      <w:r>
        <w:rPr>
          <w:rFonts w:ascii="Arial" w:cs="Arial" w:eastAsia="Arial" w:hAnsi="Arial"/>
          <w:sz w:val="17"/>
          <w:szCs w:val="17"/>
          <w:b w:val="1"/>
          <w:bCs w:val="1"/>
          <w:color w:val="auto"/>
        </w:rPr>
        <w:t>GENERAL ATLANTIC PARTNERS (BERMUDA) EU,</w:t>
      </w:r>
    </w:p>
    <w:p>
      <w:pPr>
        <w:spacing w:after="0" w:line="3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L.P.</w:t>
      </w:r>
    </w:p>
    <w:p>
      <w:pPr>
        <w:spacing w:after="0" w:line="143" w:lineRule="exact"/>
        <w:rPr>
          <w:sz w:val="20"/>
          <w:szCs w:val="20"/>
          <w:color w:val="auto"/>
        </w:rPr>
      </w:pPr>
    </w:p>
    <w:p>
      <w:pPr>
        <w:ind w:left="4740"/>
        <w:spacing w:after="0"/>
        <w:tabs>
          <w:tab w:leader="none" w:pos="5180" w:val="left"/>
        </w:tabs>
        <w:rPr>
          <w:sz w:val="20"/>
          <w:szCs w:val="20"/>
          <w:color w:val="auto"/>
        </w:rPr>
      </w:pPr>
      <w:r>
        <w:rPr>
          <w:rFonts w:ascii="Arial" w:cs="Arial" w:eastAsia="Arial" w:hAnsi="Arial"/>
          <w:sz w:val="18"/>
          <w:szCs w:val="18"/>
          <w:color w:val="auto"/>
        </w:rPr>
        <w:t>By:</w:t>
        <w:tab/>
        <w:t>GENERAL ATLANTIC GENPAR (BERMUDA),</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L.P., its general partner</w:t>
      </w:r>
    </w:p>
    <w:p>
      <w:pPr>
        <w:spacing w:after="0" w:line="143" w:lineRule="exact"/>
        <w:rPr>
          <w:sz w:val="20"/>
          <w:szCs w:val="20"/>
          <w:color w:val="auto"/>
        </w:rPr>
      </w:pPr>
    </w:p>
    <w:p>
      <w:pPr>
        <w:ind w:left="4740"/>
        <w:spacing w:after="0"/>
        <w:tabs>
          <w:tab w:leader="none" w:pos="5180" w:val="left"/>
        </w:tabs>
        <w:rPr>
          <w:sz w:val="20"/>
          <w:szCs w:val="20"/>
          <w:color w:val="auto"/>
        </w:rPr>
      </w:pPr>
      <w:r>
        <w:rPr>
          <w:rFonts w:ascii="Arial" w:cs="Arial" w:eastAsia="Arial" w:hAnsi="Arial"/>
          <w:sz w:val="18"/>
          <w:szCs w:val="18"/>
          <w:color w:val="auto"/>
        </w:rPr>
        <w:t>By:</w:t>
        <w:tab/>
        <w:t>GAP (BERMUDA) LIMITED, its general partner</w:t>
      </w:r>
    </w:p>
    <w:p>
      <w:pPr>
        <w:spacing w:after="0" w:line="158" w:lineRule="exact"/>
        <w:rPr>
          <w:sz w:val="20"/>
          <w:szCs w:val="20"/>
          <w:color w:val="auto"/>
        </w:rPr>
      </w:pPr>
    </w:p>
    <w:p>
      <w:pPr>
        <w:ind w:left="4740"/>
        <w:spacing w:after="0"/>
        <w:tabs>
          <w:tab w:leader="none" w:pos="5180" w:val="left"/>
        </w:tabs>
        <w:rPr>
          <w:sz w:val="20"/>
          <w:szCs w:val="20"/>
          <w:color w:val="auto"/>
        </w:rPr>
      </w:pPr>
      <w:r>
        <w:rPr>
          <w:rFonts w:ascii="Arial" w:cs="Arial" w:eastAsia="Arial" w:hAnsi="Arial"/>
          <w:sz w:val="18"/>
          <w:szCs w:val="18"/>
          <w:color w:val="auto"/>
        </w:rPr>
        <w:t>By:</w:t>
        <w:tab/>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24942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5200"/>
        <w:spacing w:after="0"/>
        <w:tabs>
          <w:tab w:leader="none" w:pos="5740" w:val="left"/>
        </w:tabs>
        <w:rPr>
          <w:sz w:val="20"/>
          <w:szCs w:val="20"/>
          <w:color w:val="auto"/>
        </w:rPr>
      </w:pPr>
      <w:r>
        <w:rPr>
          <w:rFonts w:ascii="Arial" w:cs="Arial" w:eastAsia="Arial" w:hAnsi="Arial"/>
          <w:sz w:val="18"/>
          <w:szCs w:val="18"/>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580390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40"/>
          </w:cols>
          <w:pgMar w:left="1440" w:top="796" w:right="1419" w:bottom="1440" w:gutter="0" w:footer="0" w:header="0"/>
        </w:sectPr>
      </w:pPr>
    </w:p>
    <w:bookmarkStart w:id="31" w:name="page32"/>
    <w:bookmarkEnd w:id="31"/>
    <w:p>
      <w:pPr>
        <w:ind w:left="4740"/>
        <w:spacing w:after="0"/>
        <w:rPr>
          <w:sz w:val="20"/>
          <w:szCs w:val="20"/>
          <w:color w:val="auto"/>
        </w:rPr>
      </w:pPr>
      <w:r>
        <w:rPr>
          <w:rFonts w:ascii="Arial" w:cs="Arial" w:eastAsia="Arial" w:hAnsi="Arial"/>
          <w:sz w:val="18"/>
          <w:szCs w:val="18"/>
          <w:b w:val="1"/>
          <w:bCs w:val="1"/>
          <w:color w:val="auto"/>
        </w:rPr>
        <w:t>GENERAL ATLANTIC PARTNERS (LUX) SCSP</w:t>
      </w:r>
    </w:p>
    <w:p>
      <w:pPr>
        <w:spacing w:after="0" w:line="162" w:lineRule="exact"/>
        <w:rPr>
          <w:sz w:val="20"/>
          <w:szCs w:val="20"/>
          <w:color w:val="auto"/>
        </w:rPr>
      </w:pPr>
    </w:p>
    <w:p>
      <w:pPr>
        <w:ind w:left="4740"/>
        <w:spacing w:after="0"/>
        <w:tabs>
          <w:tab w:leader="none" w:pos="5180" w:val="left"/>
        </w:tabs>
        <w:rPr>
          <w:sz w:val="20"/>
          <w:szCs w:val="20"/>
          <w:color w:val="auto"/>
        </w:rPr>
      </w:pPr>
      <w:r>
        <w:rPr>
          <w:rFonts w:ascii="Arial" w:cs="Arial" w:eastAsia="Arial" w:hAnsi="Arial"/>
          <w:sz w:val="17"/>
          <w:szCs w:val="17"/>
          <w:color w:val="auto"/>
        </w:rPr>
        <w:t>By:</w:t>
        <w:tab/>
        <w:t>GENERAL ATLANTIC GENPAR (LUX) SCSP, its</w:t>
      </w:r>
    </w:p>
    <w:p>
      <w:pPr>
        <w:spacing w:after="0" w:line="3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general partner</w:t>
      </w:r>
    </w:p>
    <w:p>
      <w:pPr>
        <w:spacing w:after="0" w:line="143" w:lineRule="exact"/>
        <w:rPr>
          <w:sz w:val="20"/>
          <w:szCs w:val="20"/>
          <w:color w:val="auto"/>
        </w:rPr>
      </w:pPr>
    </w:p>
    <w:p>
      <w:pPr>
        <w:ind w:left="4740"/>
        <w:spacing w:after="0"/>
        <w:tabs>
          <w:tab w:leader="none" w:pos="5180" w:val="left"/>
        </w:tabs>
        <w:rPr>
          <w:sz w:val="20"/>
          <w:szCs w:val="20"/>
          <w:color w:val="auto"/>
        </w:rPr>
      </w:pPr>
      <w:r>
        <w:rPr>
          <w:rFonts w:ascii="Arial" w:cs="Arial" w:eastAsia="Arial" w:hAnsi="Arial"/>
          <w:sz w:val="18"/>
          <w:szCs w:val="18"/>
          <w:color w:val="auto"/>
        </w:rPr>
        <w:t>By:</w:t>
        <w:tab/>
        <w:t>GENERAL ATLANTIC (LUX) S.À R.L.</w:t>
      </w:r>
    </w:p>
    <w:p>
      <w:pPr>
        <w:spacing w:after="0" w:line="200" w:lineRule="exact"/>
        <w:rPr>
          <w:sz w:val="20"/>
          <w:szCs w:val="20"/>
          <w:color w:val="auto"/>
        </w:rPr>
      </w:pPr>
    </w:p>
    <w:p>
      <w:pPr>
        <w:spacing w:after="0" w:line="322" w:lineRule="exact"/>
        <w:rPr>
          <w:sz w:val="20"/>
          <w:szCs w:val="20"/>
          <w:color w:val="auto"/>
        </w:rPr>
      </w:pPr>
    </w:p>
    <w:p>
      <w:pPr>
        <w:ind w:left="4740"/>
        <w:spacing w:after="0"/>
        <w:tabs>
          <w:tab w:leader="none" w:pos="5180" w:val="left"/>
        </w:tabs>
        <w:rPr>
          <w:sz w:val="20"/>
          <w:szCs w:val="20"/>
          <w:color w:val="auto"/>
        </w:rPr>
      </w:pPr>
      <w:r>
        <w:rPr>
          <w:rFonts w:ascii="Arial" w:cs="Arial" w:eastAsia="Arial" w:hAnsi="Arial"/>
          <w:sz w:val="18"/>
          <w:szCs w:val="18"/>
          <w:color w:val="auto"/>
        </w:rPr>
        <w:t>By:</w:t>
        <w:tab/>
        <w:t>/s/ Ingrid van der Hoorn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24942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Ingrid van der Hoorn</w:t>
      </w:r>
    </w:p>
    <w:p>
      <w:pPr>
        <w:spacing w:after="0" w:line="23" w:lineRule="exact"/>
        <w:rPr>
          <w:sz w:val="20"/>
          <w:szCs w:val="20"/>
          <w:color w:val="auto"/>
        </w:rPr>
      </w:pPr>
    </w:p>
    <w:p>
      <w:pPr>
        <w:ind w:left="5200"/>
        <w:spacing w:after="0"/>
        <w:tabs>
          <w:tab w:leader="none" w:pos="5740" w:val="left"/>
        </w:tabs>
        <w:rPr>
          <w:sz w:val="20"/>
          <w:szCs w:val="20"/>
          <w:color w:val="auto"/>
        </w:rPr>
      </w:pPr>
      <w:r>
        <w:rPr>
          <w:rFonts w:ascii="Arial" w:cs="Arial" w:eastAsia="Arial" w:hAnsi="Arial"/>
          <w:sz w:val="18"/>
          <w:szCs w:val="18"/>
          <w:color w:val="auto"/>
        </w:rPr>
        <w:t>Title:</w:t>
        <w:tab/>
        <w:t>Manager A</w:t>
      </w:r>
    </w:p>
    <w:p>
      <w:pPr>
        <w:spacing w:after="0" w:line="143" w:lineRule="exact"/>
        <w:rPr>
          <w:sz w:val="20"/>
          <w:szCs w:val="20"/>
          <w:color w:val="auto"/>
        </w:rPr>
      </w:pPr>
    </w:p>
    <w:p>
      <w:pPr>
        <w:ind w:left="4740"/>
        <w:spacing w:after="0"/>
        <w:tabs>
          <w:tab w:leader="none" w:pos="5180" w:val="left"/>
        </w:tabs>
        <w:rPr>
          <w:sz w:val="20"/>
          <w:szCs w:val="20"/>
          <w:color w:val="auto"/>
        </w:rPr>
      </w:pPr>
      <w:r>
        <w:rPr>
          <w:rFonts w:ascii="Arial" w:cs="Arial" w:eastAsia="Arial" w:hAnsi="Arial"/>
          <w:sz w:val="18"/>
          <w:szCs w:val="18"/>
          <w:color w:val="auto"/>
        </w:rPr>
        <w:t>By:</w:t>
        <w:tab/>
        <w:t>/s/ William Blackwell</w:t>
      </w:r>
    </w:p>
    <w:p>
      <w:pPr>
        <w:spacing w:after="0" w:line="5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William Blackwell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-130175</wp:posOffset>
            </wp:positionV>
            <wp:extent cx="24942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200"/>
        <w:spacing w:after="0"/>
        <w:tabs>
          <w:tab w:leader="none" w:pos="5740" w:val="left"/>
        </w:tabs>
        <w:rPr>
          <w:sz w:val="20"/>
          <w:szCs w:val="20"/>
          <w:color w:val="auto"/>
        </w:rPr>
      </w:pPr>
      <w:r>
        <w:rPr>
          <w:rFonts w:ascii="Arial" w:cs="Arial" w:eastAsia="Arial" w:hAnsi="Arial"/>
          <w:sz w:val="18"/>
          <w:szCs w:val="18"/>
          <w:color w:val="auto"/>
        </w:rPr>
        <w:t>Title:</w:t>
        <w:tab/>
        <w:t>Manager B</w:t>
      </w:r>
    </w:p>
    <w:p>
      <w:pPr>
        <w:spacing w:after="0" w:line="18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GENERAL ATLANTIC COÖPERATIEF, L.P.</w:t>
      </w:r>
    </w:p>
    <w:p>
      <w:pPr>
        <w:spacing w:after="0" w:line="162" w:lineRule="exact"/>
        <w:rPr>
          <w:sz w:val="20"/>
          <w:szCs w:val="20"/>
          <w:color w:val="auto"/>
        </w:rPr>
      </w:pPr>
    </w:p>
    <w:p>
      <w:pPr>
        <w:ind w:left="4740"/>
        <w:spacing w:after="0"/>
        <w:tabs>
          <w:tab w:leader="none" w:pos="5180" w:val="left"/>
        </w:tabs>
        <w:rPr>
          <w:sz w:val="20"/>
          <w:szCs w:val="20"/>
          <w:color w:val="auto"/>
        </w:rPr>
      </w:pPr>
      <w:r>
        <w:rPr>
          <w:rFonts w:ascii="Arial" w:cs="Arial" w:eastAsia="Arial" w:hAnsi="Arial"/>
          <w:sz w:val="17"/>
          <w:szCs w:val="17"/>
          <w:color w:val="auto"/>
        </w:rPr>
        <w:t>By:</w:t>
        <w:tab/>
        <w:t>GAP (BERMUDA) LIMITED, its general partner</w:t>
      </w:r>
    </w:p>
    <w:p>
      <w:pPr>
        <w:spacing w:after="0" w:line="291" w:lineRule="exact"/>
        <w:rPr>
          <w:sz w:val="20"/>
          <w:szCs w:val="20"/>
          <w:color w:val="auto"/>
        </w:rPr>
      </w:pPr>
    </w:p>
    <w:p>
      <w:pPr>
        <w:ind w:left="4740"/>
        <w:spacing w:after="0"/>
        <w:tabs>
          <w:tab w:leader="none" w:pos="5180" w:val="left"/>
        </w:tabs>
        <w:rPr>
          <w:sz w:val="20"/>
          <w:szCs w:val="20"/>
          <w:color w:val="auto"/>
        </w:rPr>
      </w:pPr>
      <w:r>
        <w:rPr>
          <w:rFonts w:ascii="Arial" w:cs="Arial" w:eastAsia="Arial" w:hAnsi="Arial"/>
          <w:sz w:val="18"/>
          <w:szCs w:val="18"/>
          <w:color w:val="auto"/>
        </w:rPr>
        <w:t>By:</w:t>
        <w:tab/>
        <w:t>/s/ Michael Gosk</w:t>
      </w:r>
    </w:p>
    <w:p>
      <w:pPr>
        <w:spacing w:after="0" w:line="5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-130175</wp:posOffset>
            </wp:positionV>
            <wp:extent cx="24942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200"/>
        <w:spacing w:after="0"/>
        <w:tabs>
          <w:tab w:leader="none" w:pos="5740" w:val="left"/>
        </w:tabs>
        <w:rPr>
          <w:sz w:val="20"/>
          <w:szCs w:val="20"/>
          <w:color w:val="auto"/>
        </w:rPr>
      </w:pPr>
      <w:r>
        <w:rPr>
          <w:rFonts w:ascii="Arial" w:cs="Arial" w:eastAsia="Arial" w:hAnsi="Arial"/>
          <w:sz w:val="18"/>
          <w:szCs w:val="18"/>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546100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32" w:name="page33"/>
    <w:bookmarkEnd w:id="32"/>
    <w:p>
      <w:pPr>
        <w:ind w:left="4740"/>
        <w:spacing w:after="0"/>
        <w:rPr>
          <w:sz w:val="20"/>
          <w:szCs w:val="20"/>
          <w:color w:val="auto"/>
        </w:rPr>
      </w:pPr>
      <w:r>
        <w:rPr>
          <w:rFonts w:ascii="Arial" w:cs="Arial" w:eastAsia="Arial" w:hAnsi="Arial"/>
          <w:sz w:val="18"/>
          <w:szCs w:val="18"/>
          <w:b w:val="1"/>
          <w:bCs w:val="1"/>
          <w:color w:val="auto"/>
        </w:rPr>
        <w:t>GAP COINVESTMENTS III, LLC</w:t>
      </w:r>
    </w:p>
    <w:p>
      <w:pPr>
        <w:spacing w:after="0" w:line="162" w:lineRule="exact"/>
        <w:rPr>
          <w:sz w:val="20"/>
          <w:szCs w:val="20"/>
          <w:color w:val="auto"/>
        </w:rPr>
      </w:pPr>
    </w:p>
    <w:p>
      <w:pPr>
        <w:ind w:left="4740"/>
        <w:spacing w:after="0"/>
        <w:tabs>
          <w:tab w:leader="none" w:pos="5180" w:val="left"/>
        </w:tabs>
        <w:rPr>
          <w:sz w:val="20"/>
          <w:szCs w:val="20"/>
          <w:color w:val="auto"/>
        </w:rPr>
      </w:pPr>
      <w:r>
        <w:rPr>
          <w:rFonts w:ascii="Arial" w:cs="Arial" w:eastAsia="Arial" w:hAnsi="Arial"/>
          <w:sz w:val="17"/>
          <w:szCs w:val="17"/>
          <w:color w:val="auto"/>
        </w:rPr>
        <w:t>By:</w:t>
        <w:tab/>
        <w:t>GENERAL ATLANTIC LLC, its managing member</w:t>
      </w:r>
    </w:p>
    <w:p>
      <w:pPr>
        <w:spacing w:after="0" w:line="169" w:lineRule="exact"/>
        <w:rPr>
          <w:sz w:val="20"/>
          <w:szCs w:val="20"/>
          <w:color w:val="auto"/>
        </w:rPr>
      </w:pPr>
    </w:p>
    <w:p>
      <w:pPr>
        <w:ind w:left="4740"/>
        <w:spacing w:after="0"/>
        <w:tabs>
          <w:tab w:leader="none" w:pos="5180" w:val="left"/>
        </w:tabs>
        <w:rPr>
          <w:sz w:val="20"/>
          <w:szCs w:val="20"/>
          <w:color w:val="auto"/>
        </w:rPr>
      </w:pPr>
      <w:r>
        <w:rPr>
          <w:rFonts w:ascii="Arial" w:cs="Arial" w:eastAsia="Arial" w:hAnsi="Arial"/>
          <w:sz w:val="18"/>
          <w:szCs w:val="18"/>
          <w:color w:val="auto"/>
        </w:rPr>
        <w:t>By:</w:t>
        <w:tab/>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24942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5200"/>
        <w:spacing w:after="0"/>
        <w:tabs>
          <w:tab w:leader="none" w:pos="5740" w:val="left"/>
        </w:tabs>
        <w:rPr>
          <w:sz w:val="20"/>
          <w:szCs w:val="20"/>
          <w:color w:val="auto"/>
        </w:rPr>
      </w:pPr>
      <w:r>
        <w:rPr>
          <w:rFonts w:ascii="Arial" w:cs="Arial" w:eastAsia="Arial" w:hAnsi="Arial"/>
          <w:sz w:val="18"/>
          <w:szCs w:val="18"/>
          <w:color w:val="auto"/>
        </w:rPr>
        <w:t>Title:</w:t>
        <w:tab/>
        <w:t>Managing Director</w:t>
      </w:r>
    </w:p>
    <w:p>
      <w:pPr>
        <w:spacing w:after="0" w:line="288"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GAP COINVESTMENTS IV, LLC</w:t>
      </w:r>
    </w:p>
    <w:p>
      <w:pPr>
        <w:spacing w:after="0" w:line="162" w:lineRule="exact"/>
        <w:rPr>
          <w:sz w:val="20"/>
          <w:szCs w:val="20"/>
          <w:color w:val="auto"/>
        </w:rPr>
      </w:pPr>
    </w:p>
    <w:p>
      <w:pPr>
        <w:ind w:left="4740"/>
        <w:spacing w:after="0"/>
        <w:tabs>
          <w:tab w:leader="none" w:pos="5180" w:val="left"/>
        </w:tabs>
        <w:rPr>
          <w:sz w:val="20"/>
          <w:szCs w:val="20"/>
          <w:color w:val="auto"/>
        </w:rPr>
      </w:pPr>
      <w:r>
        <w:rPr>
          <w:rFonts w:ascii="Arial" w:cs="Arial" w:eastAsia="Arial" w:hAnsi="Arial"/>
          <w:sz w:val="17"/>
          <w:szCs w:val="17"/>
          <w:color w:val="auto"/>
        </w:rPr>
        <w:t>By:</w:t>
        <w:tab/>
        <w:t>GENERAL ATLANTIC LLC, its managing member</w:t>
      </w:r>
    </w:p>
    <w:p>
      <w:pPr>
        <w:spacing w:after="0" w:line="169" w:lineRule="exact"/>
        <w:rPr>
          <w:sz w:val="20"/>
          <w:szCs w:val="20"/>
          <w:color w:val="auto"/>
        </w:rPr>
      </w:pPr>
    </w:p>
    <w:p>
      <w:pPr>
        <w:ind w:left="4740"/>
        <w:spacing w:after="0"/>
        <w:tabs>
          <w:tab w:leader="none" w:pos="5180" w:val="left"/>
        </w:tabs>
        <w:rPr>
          <w:sz w:val="20"/>
          <w:szCs w:val="20"/>
          <w:color w:val="auto"/>
        </w:rPr>
      </w:pPr>
      <w:r>
        <w:rPr>
          <w:rFonts w:ascii="Arial" w:cs="Arial" w:eastAsia="Arial" w:hAnsi="Arial"/>
          <w:sz w:val="18"/>
          <w:szCs w:val="18"/>
          <w:color w:val="auto"/>
        </w:rPr>
        <w:t>By:</w:t>
        <w:tab/>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24942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5200"/>
        <w:spacing w:after="0"/>
        <w:tabs>
          <w:tab w:leader="none" w:pos="5740" w:val="left"/>
        </w:tabs>
        <w:rPr>
          <w:sz w:val="20"/>
          <w:szCs w:val="20"/>
          <w:color w:val="auto"/>
        </w:rPr>
      </w:pPr>
      <w:r>
        <w:rPr>
          <w:rFonts w:ascii="Arial" w:cs="Arial" w:eastAsia="Arial" w:hAnsi="Arial"/>
          <w:sz w:val="18"/>
          <w:szCs w:val="18"/>
          <w:color w:val="auto"/>
        </w:rPr>
        <w:t>Title:</w:t>
        <w:tab/>
        <w:t>Managing Director</w:t>
      </w:r>
    </w:p>
    <w:p>
      <w:pPr>
        <w:spacing w:after="0" w:line="288"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GAP COINVESTMENTS V, LLC</w:t>
      </w:r>
    </w:p>
    <w:p>
      <w:pPr>
        <w:spacing w:after="0" w:line="162" w:lineRule="exact"/>
        <w:rPr>
          <w:sz w:val="20"/>
          <w:szCs w:val="20"/>
          <w:color w:val="auto"/>
        </w:rPr>
      </w:pPr>
    </w:p>
    <w:p>
      <w:pPr>
        <w:ind w:left="4740"/>
        <w:spacing w:after="0"/>
        <w:tabs>
          <w:tab w:leader="none" w:pos="5180" w:val="left"/>
        </w:tabs>
        <w:rPr>
          <w:sz w:val="20"/>
          <w:szCs w:val="20"/>
          <w:color w:val="auto"/>
        </w:rPr>
      </w:pPr>
      <w:r>
        <w:rPr>
          <w:rFonts w:ascii="Arial" w:cs="Arial" w:eastAsia="Arial" w:hAnsi="Arial"/>
          <w:sz w:val="17"/>
          <w:szCs w:val="17"/>
          <w:color w:val="auto"/>
        </w:rPr>
        <w:t>By:</w:t>
        <w:tab/>
        <w:t>GENERAL ATLANTIC LLC, its managing member</w:t>
      </w:r>
    </w:p>
    <w:p>
      <w:pPr>
        <w:spacing w:after="0" w:line="169" w:lineRule="exact"/>
        <w:rPr>
          <w:sz w:val="20"/>
          <w:szCs w:val="20"/>
          <w:color w:val="auto"/>
        </w:rPr>
      </w:pPr>
    </w:p>
    <w:p>
      <w:pPr>
        <w:ind w:left="4740"/>
        <w:spacing w:after="0"/>
        <w:tabs>
          <w:tab w:leader="none" w:pos="5180" w:val="left"/>
        </w:tabs>
        <w:rPr>
          <w:sz w:val="20"/>
          <w:szCs w:val="20"/>
          <w:color w:val="auto"/>
        </w:rPr>
      </w:pPr>
      <w:r>
        <w:rPr>
          <w:rFonts w:ascii="Arial" w:cs="Arial" w:eastAsia="Arial" w:hAnsi="Arial"/>
          <w:sz w:val="18"/>
          <w:szCs w:val="18"/>
          <w:color w:val="auto"/>
        </w:rPr>
        <w:t>By:</w:t>
        <w:tab/>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24942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5200"/>
        <w:spacing w:after="0"/>
        <w:tabs>
          <w:tab w:leader="none" w:pos="5740" w:val="left"/>
        </w:tabs>
        <w:rPr>
          <w:sz w:val="20"/>
          <w:szCs w:val="20"/>
          <w:color w:val="auto"/>
        </w:rPr>
      </w:pPr>
      <w:r>
        <w:rPr>
          <w:rFonts w:ascii="Arial" w:cs="Arial" w:eastAsia="Arial" w:hAnsi="Arial"/>
          <w:sz w:val="18"/>
          <w:szCs w:val="18"/>
          <w:color w:val="auto"/>
        </w:rPr>
        <w:t>Title:</w:t>
        <w:tab/>
        <w:t>Managing Director</w:t>
      </w:r>
    </w:p>
    <w:p>
      <w:pPr>
        <w:spacing w:after="0" w:line="355"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GAP COINVESTMENTS CDA, L.P.</w:t>
      </w:r>
    </w:p>
    <w:p>
      <w:pPr>
        <w:spacing w:after="0" w:line="162" w:lineRule="exact"/>
        <w:rPr>
          <w:sz w:val="20"/>
          <w:szCs w:val="20"/>
          <w:color w:val="auto"/>
        </w:rPr>
      </w:pPr>
    </w:p>
    <w:p>
      <w:pPr>
        <w:ind w:left="4740"/>
        <w:spacing w:after="0"/>
        <w:tabs>
          <w:tab w:leader="none" w:pos="5180" w:val="left"/>
        </w:tabs>
        <w:rPr>
          <w:sz w:val="20"/>
          <w:szCs w:val="20"/>
          <w:color w:val="auto"/>
        </w:rPr>
      </w:pPr>
      <w:r>
        <w:rPr>
          <w:rFonts w:ascii="Arial" w:cs="Arial" w:eastAsia="Arial" w:hAnsi="Arial"/>
          <w:sz w:val="18"/>
          <w:szCs w:val="18"/>
          <w:color w:val="auto"/>
        </w:rPr>
        <w:t>By:</w:t>
        <w:tab/>
        <w:t>GENERAL ATLANTIC LLC, its general partner</w:t>
      </w:r>
    </w:p>
    <w:p>
      <w:pPr>
        <w:spacing w:after="0" w:line="158" w:lineRule="exact"/>
        <w:rPr>
          <w:sz w:val="20"/>
          <w:szCs w:val="20"/>
          <w:color w:val="auto"/>
        </w:rPr>
      </w:pPr>
    </w:p>
    <w:p>
      <w:pPr>
        <w:ind w:left="4740"/>
        <w:spacing w:after="0"/>
        <w:tabs>
          <w:tab w:leader="none" w:pos="5180" w:val="left"/>
        </w:tabs>
        <w:rPr>
          <w:sz w:val="20"/>
          <w:szCs w:val="20"/>
          <w:color w:val="auto"/>
        </w:rPr>
      </w:pPr>
      <w:r>
        <w:rPr>
          <w:rFonts w:ascii="Arial" w:cs="Arial" w:eastAsia="Arial" w:hAnsi="Arial"/>
          <w:sz w:val="18"/>
          <w:szCs w:val="18"/>
          <w:color w:val="auto"/>
        </w:rPr>
        <w:t>By:</w:t>
        <w:tab/>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24942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5200"/>
        <w:spacing w:after="0"/>
        <w:tabs>
          <w:tab w:leader="none" w:pos="5740" w:val="left"/>
        </w:tabs>
        <w:rPr>
          <w:sz w:val="20"/>
          <w:szCs w:val="20"/>
          <w:color w:val="auto"/>
        </w:rPr>
      </w:pPr>
      <w:r>
        <w:rPr>
          <w:rFonts w:ascii="Arial" w:cs="Arial" w:eastAsia="Arial" w:hAnsi="Arial"/>
          <w:sz w:val="18"/>
          <w:szCs w:val="18"/>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485775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33" w:name="page34"/>
    <w:bookmarkEnd w:id="33"/>
    <w:p>
      <w:pPr>
        <w:ind w:left="4740"/>
        <w:spacing w:after="0"/>
        <w:rPr>
          <w:sz w:val="20"/>
          <w:szCs w:val="20"/>
          <w:color w:val="auto"/>
        </w:rPr>
      </w:pPr>
      <w:r>
        <w:rPr>
          <w:rFonts w:ascii="Arial" w:cs="Arial" w:eastAsia="Arial" w:hAnsi="Arial"/>
          <w:sz w:val="18"/>
          <w:szCs w:val="18"/>
          <w:b w:val="1"/>
          <w:bCs w:val="1"/>
          <w:color w:val="auto"/>
        </w:rPr>
        <w:t>GENERAL ATLANTIC GENPAR, (LUX) SCSP</w:t>
      </w:r>
    </w:p>
    <w:p>
      <w:pPr>
        <w:spacing w:after="0" w:line="283" w:lineRule="exact"/>
        <w:rPr>
          <w:sz w:val="20"/>
          <w:szCs w:val="20"/>
          <w:color w:val="auto"/>
        </w:rPr>
      </w:pPr>
    </w:p>
    <w:p>
      <w:pPr>
        <w:ind w:left="4740"/>
        <w:spacing w:after="0"/>
        <w:tabs>
          <w:tab w:leader="none" w:pos="5180" w:val="left"/>
        </w:tabs>
        <w:rPr>
          <w:sz w:val="20"/>
          <w:szCs w:val="20"/>
          <w:color w:val="auto"/>
        </w:rPr>
      </w:pPr>
      <w:r>
        <w:rPr>
          <w:rFonts w:ascii="Arial" w:cs="Arial" w:eastAsia="Arial" w:hAnsi="Arial"/>
          <w:sz w:val="18"/>
          <w:szCs w:val="18"/>
          <w:color w:val="auto"/>
        </w:rPr>
        <w:t>By:</w:t>
        <w:tab/>
        <w:t>GENERAL ATLANTIC (LUX)</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S.À R.L.</w:t>
      </w:r>
    </w:p>
    <w:p>
      <w:pPr>
        <w:spacing w:after="0" w:line="238" w:lineRule="exact"/>
        <w:rPr>
          <w:sz w:val="20"/>
          <w:szCs w:val="20"/>
          <w:color w:val="auto"/>
        </w:rPr>
      </w:pPr>
    </w:p>
    <w:p>
      <w:pPr>
        <w:ind w:left="4740"/>
        <w:spacing w:after="0"/>
        <w:tabs>
          <w:tab w:leader="none" w:pos="5180" w:val="left"/>
        </w:tabs>
        <w:rPr>
          <w:sz w:val="20"/>
          <w:szCs w:val="20"/>
          <w:color w:val="auto"/>
        </w:rPr>
      </w:pPr>
      <w:r>
        <w:rPr>
          <w:rFonts w:ascii="Arial" w:cs="Arial" w:eastAsia="Arial" w:hAnsi="Arial"/>
          <w:sz w:val="18"/>
          <w:szCs w:val="18"/>
          <w:color w:val="auto"/>
        </w:rPr>
        <w:t>By:</w:t>
        <w:tab/>
        <w:t>/s/ Ingrid van der Hoorn</w:t>
      </w:r>
    </w:p>
    <w:p>
      <w:pPr>
        <w:spacing w:after="0" w:line="5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Ingrid van der Hoorn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-130175</wp:posOffset>
            </wp:positionV>
            <wp:extent cx="24942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200"/>
        <w:spacing w:after="0"/>
        <w:tabs>
          <w:tab w:leader="none" w:pos="5740" w:val="left"/>
        </w:tabs>
        <w:rPr>
          <w:sz w:val="20"/>
          <w:szCs w:val="20"/>
          <w:color w:val="auto"/>
        </w:rPr>
      </w:pPr>
      <w:r>
        <w:rPr>
          <w:rFonts w:ascii="Arial" w:cs="Arial" w:eastAsia="Arial" w:hAnsi="Arial"/>
          <w:sz w:val="18"/>
          <w:szCs w:val="18"/>
          <w:color w:val="auto"/>
        </w:rPr>
        <w:t>Title:</w:t>
        <w:tab/>
        <w:t>Manager A</w:t>
      </w:r>
    </w:p>
    <w:p>
      <w:pPr>
        <w:spacing w:after="0" w:line="278" w:lineRule="exact"/>
        <w:rPr>
          <w:sz w:val="20"/>
          <w:szCs w:val="20"/>
          <w:color w:val="auto"/>
        </w:rPr>
      </w:pPr>
    </w:p>
    <w:p>
      <w:pPr>
        <w:ind w:left="4740"/>
        <w:spacing w:after="0"/>
        <w:tabs>
          <w:tab w:leader="none" w:pos="5180" w:val="left"/>
        </w:tabs>
        <w:rPr>
          <w:sz w:val="20"/>
          <w:szCs w:val="20"/>
          <w:color w:val="auto"/>
        </w:rPr>
      </w:pPr>
      <w:r>
        <w:rPr>
          <w:rFonts w:ascii="Arial" w:cs="Arial" w:eastAsia="Arial" w:hAnsi="Arial"/>
          <w:sz w:val="18"/>
          <w:szCs w:val="18"/>
          <w:color w:val="auto"/>
        </w:rPr>
        <w:t>By:</w:t>
        <w:tab/>
        <w:t>/s/ William Blackwell</w:t>
      </w:r>
    </w:p>
    <w:p>
      <w:pPr>
        <w:spacing w:after="0" w:line="5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William Blackwell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-130175</wp:posOffset>
            </wp:positionV>
            <wp:extent cx="24942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200"/>
        <w:spacing w:after="0"/>
        <w:tabs>
          <w:tab w:leader="none" w:pos="5740" w:val="left"/>
        </w:tabs>
        <w:rPr>
          <w:sz w:val="20"/>
          <w:szCs w:val="20"/>
          <w:color w:val="auto"/>
        </w:rPr>
      </w:pPr>
      <w:r>
        <w:rPr>
          <w:rFonts w:ascii="Arial" w:cs="Arial" w:eastAsia="Arial" w:hAnsi="Arial"/>
          <w:sz w:val="18"/>
          <w:szCs w:val="18"/>
          <w:color w:val="auto"/>
        </w:rPr>
        <w:t>Title:</w:t>
        <w:tab/>
        <w:t>Manager B</w:t>
      </w:r>
    </w:p>
    <w:p>
      <w:pPr>
        <w:spacing w:after="0" w:line="274"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GENERAL ATLANTIC (LUX) S.À R.L.</w:t>
      </w:r>
    </w:p>
    <w:p>
      <w:pPr>
        <w:spacing w:after="0" w:line="200" w:lineRule="exact"/>
        <w:rPr>
          <w:sz w:val="20"/>
          <w:szCs w:val="20"/>
          <w:color w:val="auto"/>
        </w:rPr>
      </w:pPr>
    </w:p>
    <w:p>
      <w:pPr>
        <w:spacing w:after="0" w:line="232" w:lineRule="exact"/>
        <w:rPr>
          <w:sz w:val="20"/>
          <w:szCs w:val="20"/>
          <w:color w:val="auto"/>
        </w:rPr>
      </w:pPr>
    </w:p>
    <w:p>
      <w:pPr>
        <w:ind w:left="4740"/>
        <w:spacing w:after="0"/>
        <w:tabs>
          <w:tab w:leader="none" w:pos="5180" w:val="left"/>
        </w:tabs>
        <w:rPr>
          <w:sz w:val="20"/>
          <w:szCs w:val="20"/>
          <w:color w:val="auto"/>
        </w:rPr>
      </w:pPr>
      <w:r>
        <w:rPr>
          <w:rFonts w:ascii="Arial" w:cs="Arial" w:eastAsia="Arial" w:hAnsi="Arial"/>
          <w:sz w:val="18"/>
          <w:szCs w:val="18"/>
          <w:color w:val="auto"/>
        </w:rPr>
        <w:t>By:</w:t>
        <w:tab/>
        <w:t>/s/ Ingrid van der Hoorn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24942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Ingrid van der Hoorn</w:t>
      </w:r>
    </w:p>
    <w:p>
      <w:pPr>
        <w:spacing w:after="0" w:line="23" w:lineRule="exact"/>
        <w:rPr>
          <w:sz w:val="20"/>
          <w:szCs w:val="20"/>
          <w:color w:val="auto"/>
        </w:rPr>
      </w:pPr>
    </w:p>
    <w:p>
      <w:pPr>
        <w:ind w:left="5200"/>
        <w:spacing w:after="0"/>
        <w:tabs>
          <w:tab w:leader="none" w:pos="5740" w:val="left"/>
        </w:tabs>
        <w:rPr>
          <w:sz w:val="20"/>
          <w:szCs w:val="20"/>
          <w:color w:val="auto"/>
        </w:rPr>
      </w:pPr>
      <w:r>
        <w:rPr>
          <w:rFonts w:ascii="Arial" w:cs="Arial" w:eastAsia="Arial" w:hAnsi="Arial"/>
          <w:sz w:val="18"/>
          <w:szCs w:val="18"/>
          <w:color w:val="auto"/>
        </w:rPr>
        <w:t>Title:</w:t>
        <w:tab/>
        <w:t>Manager A</w:t>
      </w:r>
    </w:p>
    <w:p>
      <w:pPr>
        <w:spacing w:after="0" w:line="143" w:lineRule="exact"/>
        <w:rPr>
          <w:sz w:val="20"/>
          <w:szCs w:val="20"/>
          <w:color w:val="auto"/>
        </w:rPr>
      </w:pPr>
    </w:p>
    <w:p>
      <w:pPr>
        <w:ind w:left="4740"/>
        <w:spacing w:after="0"/>
        <w:tabs>
          <w:tab w:leader="none" w:pos="5180" w:val="left"/>
        </w:tabs>
        <w:rPr>
          <w:sz w:val="20"/>
          <w:szCs w:val="20"/>
          <w:color w:val="auto"/>
        </w:rPr>
      </w:pPr>
      <w:r>
        <w:rPr>
          <w:rFonts w:ascii="Arial" w:cs="Arial" w:eastAsia="Arial" w:hAnsi="Arial"/>
          <w:sz w:val="18"/>
          <w:szCs w:val="18"/>
          <w:color w:val="auto"/>
        </w:rPr>
        <w:t>By:</w:t>
        <w:tab/>
        <w:t>/s/ William Blackwell</w:t>
      </w:r>
    </w:p>
    <w:p>
      <w:pPr>
        <w:spacing w:after="0" w:line="5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William Blackwell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-130175</wp:posOffset>
            </wp:positionV>
            <wp:extent cx="24942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200"/>
        <w:spacing w:after="0"/>
        <w:tabs>
          <w:tab w:leader="none" w:pos="5740" w:val="left"/>
        </w:tabs>
        <w:rPr>
          <w:sz w:val="20"/>
          <w:szCs w:val="20"/>
          <w:color w:val="auto"/>
        </w:rPr>
      </w:pPr>
      <w:r>
        <w:rPr>
          <w:rFonts w:ascii="Arial" w:cs="Arial" w:eastAsia="Arial" w:hAnsi="Arial"/>
          <w:sz w:val="18"/>
          <w:szCs w:val="18"/>
          <w:color w:val="auto"/>
        </w:rPr>
        <w:t>Title:</w:t>
        <w:tab/>
        <w:t>Manager B</w:t>
      </w:r>
    </w:p>
    <w:p>
      <w:pPr>
        <w:spacing w:after="0" w:line="200" w:lineRule="exact"/>
        <w:rPr>
          <w:sz w:val="20"/>
          <w:szCs w:val="20"/>
          <w:color w:val="auto"/>
        </w:rPr>
      </w:pPr>
    </w:p>
    <w:p>
      <w:pPr>
        <w:spacing w:after="0" w:line="223" w:lineRule="exact"/>
        <w:rPr>
          <w:sz w:val="20"/>
          <w:szCs w:val="20"/>
          <w:color w:val="auto"/>
        </w:rPr>
      </w:pPr>
    </w:p>
    <w:p>
      <w:pPr>
        <w:ind w:left="4740"/>
        <w:spacing w:after="0"/>
        <w:rPr>
          <w:sz w:val="20"/>
          <w:szCs w:val="20"/>
          <w:color w:val="auto"/>
        </w:rPr>
      </w:pPr>
      <w:r>
        <w:rPr>
          <w:rFonts w:ascii="Arial" w:cs="Arial" w:eastAsia="Arial" w:hAnsi="Arial"/>
          <w:sz w:val="17"/>
          <w:szCs w:val="17"/>
          <w:b w:val="1"/>
          <w:bCs w:val="1"/>
          <w:color w:val="auto"/>
        </w:rPr>
        <w:t>GENERAL ATLANTIC GENPAR (BERMUDA), L.P.</w:t>
      </w:r>
    </w:p>
    <w:p>
      <w:pPr>
        <w:spacing w:after="0" w:line="173" w:lineRule="exact"/>
        <w:rPr>
          <w:sz w:val="20"/>
          <w:szCs w:val="20"/>
          <w:color w:val="auto"/>
        </w:rPr>
      </w:pPr>
    </w:p>
    <w:p>
      <w:pPr>
        <w:ind w:left="4740"/>
        <w:spacing w:after="0"/>
        <w:tabs>
          <w:tab w:leader="none" w:pos="5180" w:val="left"/>
        </w:tabs>
        <w:rPr>
          <w:sz w:val="20"/>
          <w:szCs w:val="20"/>
          <w:color w:val="auto"/>
        </w:rPr>
      </w:pPr>
      <w:r>
        <w:rPr>
          <w:rFonts w:ascii="Arial" w:cs="Arial" w:eastAsia="Arial" w:hAnsi="Arial"/>
          <w:sz w:val="17"/>
          <w:szCs w:val="17"/>
          <w:color w:val="auto"/>
        </w:rPr>
        <w:t>By:</w:t>
        <w:tab/>
        <w:t>GAP (BERMUDA) LMITED, its general partner</w:t>
      </w:r>
    </w:p>
    <w:p>
      <w:pPr>
        <w:spacing w:after="0" w:line="200" w:lineRule="exact"/>
        <w:rPr>
          <w:sz w:val="20"/>
          <w:szCs w:val="20"/>
          <w:color w:val="auto"/>
        </w:rPr>
      </w:pPr>
    </w:p>
    <w:p>
      <w:pPr>
        <w:spacing w:after="0" w:line="212" w:lineRule="exact"/>
        <w:rPr>
          <w:sz w:val="20"/>
          <w:szCs w:val="20"/>
          <w:color w:val="auto"/>
        </w:rPr>
      </w:pPr>
    </w:p>
    <w:p>
      <w:pPr>
        <w:ind w:left="4740"/>
        <w:spacing w:after="0"/>
        <w:tabs>
          <w:tab w:leader="none" w:pos="5180" w:val="left"/>
        </w:tabs>
        <w:rPr>
          <w:sz w:val="20"/>
          <w:szCs w:val="20"/>
          <w:color w:val="auto"/>
        </w:rPr>
      </w:pPr>
      <w:r>
        <w:rPr>
          <w:rFonts w:ascii="Arial" w:cs="Arial" w:eastAsia="Arial" w:hAnsi="Arial"/>
          <w:sz w:val="18"/>
          <w:szCs w:val="18"/>
          <w:color w:val="auto"/>
        </w:rPr>
        <w:t>By:</w:t>
        <w:tab/>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24942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5200"/>
        <w:spacing w:after="0"/>
        <w:tabs>
          <w:tab w:leader="none" w:pos="5740" w:val="left"/>
        </w:tabs>
        <w:rPr>
          <w:sz w:val="20"/>
          <w:szCs w:val="20"/>
          <w:color w:val="auto"/>
        </w:rPr>
      </w:pPr>
      <w:r>
        <w:rPr>
          <w:rFonts w:ascii="Arial" w:cs="Arial" w:eastAsia="Arial" w:hAnsi="Arial"/>
          <w:sz w:val="18"/>
          <w:szCs w:val="18"/>
          <w:color w:val="auto"/>
        </w:rPr>
        <w:t>Title:</w:t>
        <w:tab/>
        <w:t>Managing Director</w:t>
      </w:r>
    </w:p>
    <w:p>
      <w:pPr>
        <w:spacing w:after="0" w:line="13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GAP (BERMUDA) LIMITED</w:t>
      </w:r>
    </w:p>
    <w:p>
      <w:pPr>
        <w:spacing w:after="0" w:line="310" w:lineRule="exact"/>
        <w:rPr>
          <w:sz w:val="20"/>
          <w:szCs w:val="20"/>
          <w:color w:val="auto"/>
        </w:rPr>
      </w:pPr>
    </w:p>
    <w:p>
      <w:pPr>
        <w:ind w:left="4740"/>
        <w:spacing w:after="0"/>
        <w:tabs>
          <w:tab w:leader="none" w:pos="5180" w:val="left"/>
        </w:tabs>
        <w:rPr>
          <w:sz w:val="20"/>
          <w:szCs w:val="20"/>
          <w:color w:val="auto"/>
        </w:rPr>
      </w:pPr>
      <w:r>
        <w:rPr>
          <w:rFonts w:ascii="Arial" w:cs="Arial" w:eastAsia="Arial" w:hAnsi="Arial"/>
          <w:sz w:val="18"/>
          <w:szCs w:val="18"/>
          <w:color w:val="auto"/>
        </w:rPr>
        <w:t>By:</w:t>
        <w:tab/>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24942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5200"/>
        <w:spacing w:after="0"/>
        <w:tabs>
          <w:tab w:leader="none" w:pos="5740" w:val="left"/>
        </w:tabs>
        <w:rPr>
          <w:sz w:val="20"/>
          <w:szCs w:val="20"/>
          <w:color w:val="auto"/>
        </w:rPr>
      </w:pPr>
      <w:r>
        <w:rPr>
          <w:rFonts w:ascii="Arial" w:cs="Arial" w:eastAsia="Arial" w:hAnsi="Arial"/>
          <w:sz w:val="18"/>
          <w:szCs w:val="18"/>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520065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79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2"/>
    </w:lvl>
  </w:abstractNum>
  <w:abstractNum w:abstractNumId="2">
    <w:nsid w:val="41B71EFB"/>
    <w:multiLevelType w:val="hybridMultilevel"/>
    <w:lvl w:ilvl="0">
      <w:lvlJc w:val="left"/>
      <w:lvlText w:val="(%1)"/>
      <w:numFmt w:val="lowerRoman"/>
      <w:start w:val="1"/>
    </w:lvl>
  </w:abstractNum>
  <w:abstractNum w:abstractNumId="3">
    <w:nsid w:val="79E2A9E3"/>
    <w:multiLevelType w:val="hybridMultilevel"/>
    <w:lvl w:ilvl="0">
      <w:lvlJc w:val="left"/>
      <w:lvlText w:val="(%1)"/>
      <w:numFmt w:val="lowerLetter"/>
      <w:start w:val="2"/>
    </w:lvl>
  </w:abstractNum>
  <w:abstractNum w:abstractNumId="4">
    <w:nsid w:val="7545E146"/>
    <w:multiLevelType w:val="hybridMultilevel"/>
    <w:lvl w:ilvl="0">
      <w:lvlJc w:val="left"/>
      <w:lvlText w:val="(%1)"/>
      <w:numFmt w:val="lowerLetter"/>
      <w:start w:val="3"/>
    </w:lvl>
  </w:abstractNum>
  <w:abstractNum w:abstractNumId="5">
    <w:nsid w:val="515F007C"/>
    <w:multiLevelType w:val="hybridMultilevel"/>
    <w:lvl w:ilvl="0">
      <w:lvlJc w:val="left"/>
      <w:lvlText w:val="(%1)"/>
      <w:numFmt w:val="lowerRoman"/>
      <w:start w:val="1"/>
    </w:lvl>
  </w:abstractNum>
  <w:abstractNum w:abstractNumId="6">
    <w:nsid w:val="5BD062C2"/>
    <w:multiLevelType w:val="hybridMultilevel"/>
    <w:lvl w:ilvl="0">
      <w:lvlJc w:val="left"/>
      <w:lvlText w:val="(%1)"/>
      <w:numFmt w:val="lowerLetter"/>
      <w:start w:val="4"/>
    </w:lvl>
  </w:abstractNum>
  <w:abstractNum w:abstractNumId="7">
    <w:nsid w:val="12200854"/>
    <w:multiLevelType w:val="hybridMultilevel"/>
    <w:lvl w:ilvl="0">
      <w:lvlJc w:val="left"/>
      <w:lvlText w:val="(%1)"/>
      <w:numFmt w:val="lowerLetter"/>
      <w:start w:val="5"/>
    </w:lvl>
  </w:abstractNum>
  <w:abstractNum w:abstractNumId="8">
    <w:nsid w:val="4DB127F8"/>
    <w:multiLevelType w:val="hybridMultilevel"/>
    <w:lvl w:ilvl="0">
      <w:lvlJc w:val="left"/>
      <w:lvlText w:val="(%1)"/>
      <w:numFmt w:val="lowerRoman"/>
      <w:start w:val="1"/>
    </w:lvl>
  </w:abstractNum>
  <w:abstractNum w:abstractNumId="9">
    <w:nsid w:val="216231B"/>
    <w:multiLevelType w:val="hybridMultilevel"/>
    <w:lvl w:ilvl="0">
      <w:lvlJc w:val="left"/>
      <w:lvlText w:val="(%1)"/>
      <w:numFmt w:val="lowerRoman"/>
      <w:start w:val="6"/>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2021-02-19T05:11:40Z</dcterms:created>
  <dcterms:modified xsi:type="dcterms:W3CDTF">2021-02-19T05:11:40Z</dcterms:modified>
</cp:coreProperties>
</file>