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23"/>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720" w:right="208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4"/>
          <w:szCs w:val="24"/>
          <w:color w:val="auto"/>
        </w:rPr>
      </w:pPr>
    </w:p>
    <w:p>
      <w:pPr>
        <w:jc w:val="center"/>
        <w:ind w:right="-223"/>
        <w:spacing w:after="0"/>
        <w:rPr>
          <w:sz w:val="20"/>
          <w:szCs w:val="20"/>
          <w:color w:val="auto"/>
        </w:rPr>
      </w:pPr>
      <w:r>
        <w:rPr>
          <w:rFonts w:ascii="Times New Roman" w:cs="Times New Roman" w:eastAsia="Times New Roman" w:hAnsi="Times New Roman"/>
          <w:sz w:val="43"/>
          <w:szCs w:val="43"/>
          <w:b w:val="1"/>
          <w:bCs w:val="1"/>
          <w:color w:val="auto"/>
        </w:rPr>
        <w:t>PHARVARIS B.V.</w:t>
      </w:r>
      <w:r>
        <w:rPr>
          <w:rFonts w:ascii="Times New Roman" w:cs="Times New Roman" w:eastAsia="Times New Roman" w:hAnsi="Times New Roman"/>
          <w:sz w:val="73"/>
          <w:szCs w:val="73"/>
          <w:b w:val="1"/>
          <w:bCs w:val="1"/>
          <w:color w:val="auto"/>
          <w:vertAlign w:val="superscript"/>
        </w:rPr>
        <w:t>†</w:t>
      </w:r>
    </w:p>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44"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5380" w:type="dxa"/>
            <w:vAlign w:val="bottom"/>
            <w:gridSpan w:val="4"/>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190"/>
        </w:trPr>
        <w:tc>
          <w:tcPr>
            <w:tcW w:w="6540" w:type="dxa"/>
            <w:vAlign w:val="bottom"/>
            <w:gridSpan w:val="5"/>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246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J.H. Oortweg 21</w:t>
            </w: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Leiden, The Netherlands</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2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2333 CH</w:t>
            </w: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5380" w:type="dxa"/>
            <w:vAlign w:val="bottom"/>
            <w:gridSpan w:val="4"/>
            <w:vMerge w:val="restart"/>
          </w:tcPr>
          <w:p>
            <w:pPr>
              <w:jc w:val="center"/>
              <w:ind w:right="3040"/>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300" w:type="dxa"/>
            <w:vAlign w:val="bottom"/>
          </w:tcPr>
          <w:p>
            <w:pPr>
              <w:spacing w:after="0"/>
              <w:rPr>
                <w:sz w:val="24"/>
                <w:szCs w:val="24"/>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3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Ordinary shares, par value €0.12 per share</w:t>
            </w:r>
          </w:p>
        </w:tc>
        <w:tc>
          <w:tcPr>
            <w:tcW w:w="302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4" w:right="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ectPr>
          <w:pgSz w:w="11900" w:h="16838" w:orient="portrait"/>
          <w:cols w:equalWidth="0" w:num="1">
            <w:col w:w="10804"/>
          </w:cols>
          <w:pgMar w:left="436" w:top="335" w:right="659" w:bottom="1440" w:gutter="0" w:footer="0" w:header="0"/>
        </w:sectPr>
      </w:pPr>
    </w:p>
    <w:p>
      <w:pPr>
        <w:spacing w:after="0" w:line="281" w:lineRule="exact"/>
        <w:rPr>
          <w:sz w:val="24"/>
          <w:szCs w:val="24"/>
          <w:color w:val="auto"/>
        </w:rPr>
      </w:pPr>
    </w:p>
    <w:p>
      <w:pPr>
        <w:ind w:left="444" w:right="2040"/>
        <w:spacing w:after="0" w:line="282" w:lineRule="auto"/>
        <w:rPr>
          <w:sz w:val="20"/>
          <w:szCs w:val="20"/>
          <w:color w:val="auto"/>
        </w:rPr>
      </w:pPr>
      <w:r>
        <w:rPr>
          <w:rFonts w:ascii="Times New Roman" w:cs="Times New Roman" w:eastAsia="Times New Roman" w:hAnsi="Times New Roman"/>
          <w:sz w:val="18"/>
          <w:szCs w:val="18"/>
          <w:color w:val="auto"/>
        </w:rPr>
        <w:t>Securities Act registration statement file number to which this form relates:</w:t>
      </w:r>
    </w:p>
    <w:p>
      <w:pPr>
        <w:spacing w:after="0" w:line="54"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7"/>
          <w:szCs w:val="17"/>
          <w:color w:val="auto"/>
        </w:rPr>
        <w:t>Securities to be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290195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333375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453390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333-252157</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(If applicable)</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0" w:lineRule="exact"/>
        <w:rPr>
          <w:sz w:val="24"/>
          <w:szCs w:val="24"/>
          <w:color w:val="auto"/>
        </w:rPr>
      </w:pPr>
    </w:p>
    <w:p>
      <w:pPr>
        <w:sectPr>
          <w:pgSz w:w="11900" w:h="16838" w:orient="portrait"/>
          <w:cols w:equalWidth="0" w:num="2">
            <w:col w:w="6944" w:space="720"/>
            <w:col w:w="3140"/>
          </w:cols>
          <w:pgMar w:left="436" w:top="335" w:right="659" w:bottom="1440" w:gutter="0" w:footer="0" w:header="0"/>
          <w:type w:val="continuous"/>
        </w:sectPr>
      </w:pPr>
    </w:p>
    <w:p>
      <w:pPr>
        <w:spacing w:after="0" w:line="368" w:lineRule="exact"/>
        <w:rPr>
          <w:sz w:val="24"/>
          <w:szCs w:val="24"/>
          <w:color w:val="auto"/>
        </w:rPr>
      </w:pPr>
    </w:p>
    <w:p>
      <w:pPr>
        <w:jc w:val="both"/>
        <w:ind w:left="424" w:hanging="424"/>
        <w:spacing w:after="0" w:line="267" w:lineRule="auto"/>
        <w:tabs>
          <w:tab w:leader="none" w:pos="424"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We intend to convert the legal form of our company under Dutch law from a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to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to change our name from Pharvaris B.V.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Pharvaris N.V. prior to the consummation of this offering.</w:t>
      </w:r>
    </w:p>
    <w:p>
      <w:pPr>
        <w:sectPr>
          <w:pgSz w:w="11900" w:h="16838" w:orient="portrait"/>
          <w:cols w:equalWidth="0" w:num="1">
            <w:col w:w="10804"/>
          </w:cols>
          <w:pgMar w:left="436" w:top="335" w:right="6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description under the heading “Description of Share Capital and Articles of Association” relating to the Registrant’s ordinary shares, par value €0.12 per share (the “Ordinary Shares”), in the prospectus included in the Registrant’s Registration Statement on Form F-1 (Registration</w:t>
      </w:r>
    </w:p>
    <w:p>
      <w:pPr>
        <w:ind w:right="60"/>
        <w:spacing w:after="0" w:line="273" w:lineRule="auto"/>
        <w:rPr>
          <w:sz w:val="20"/>
          <w:szCs w:val="20"/>
          <w:color w:val="auto"/>
        </w:rPr>
      </w:pPr>
      <w:r>
        <w:rPr>
          <w:rFonts w:ascii="Times New Roman" w:cs="Times New Roman" w:eastAsia="Times New Roman" w:hAnsi="Times New Roman"/>
          <w:sz w:val="17"/>
          <w:szCs w:val="17"/>
          <w:color w:val="auto"/>
        </w:rPr>
        <w:t>No. 333-252157) originally filed with the Securities and Exchange Commission on January 15, 2021, as amended (the “Registration Statement”), is incorporated by reference herein. In addition, the description that will be included under the heading “Description of Share Capital and Articles of Association” relating to the Ordinary Shares in the Registrant’s final prospectus relating to the Registration Statement to be subsequently filed with the Securities and Exchange Commission pursuant to Rule 424(b) under the Securities Act of 1933, as amended, shall be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20"/>
          </w:cols>
          <w:pgMar w:left="440" w:top="266"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Pharvaris B.V.</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2021-02-04T10:06:37Z</dcterms:created>
  <dcterms:modified xsi:type="dcterms:W3CDTF">2021-02-04T10:06:37Z</dcterms:modified>
</cp:coreProperties>
</file>