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158750</wp:posOffset>
            </wp:positionV>
            <wp:extent cx="274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190500</wp:posOffset>
            </wp:positionV>
            <wp:extent cx="274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173990</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180340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835660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0"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11, 2022, Pharvaris N.V. issued a press release.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333-227933) and Form S-8 (Registration Numbers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0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4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r>
      <w:tr>
        <w:trPr>
          <w:trHeight w:val="189"/>
        </w:trPr>
        <w:tc>
          <w:tcPr>
            <w:tcW w:w="10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6"/>
                <w:szCs w:val="16"/>
                <w:color w:val="auto"/>
              </w:rPr>
            </w:pPr>
          </w:p>
        </w:tc>
        <w:tc>
          <w:tcPr>
            <w:tcW w:w="10100" w:type="dxa"/>
            <w:vAlign w:val="bottom"/>
            <w:tcBorders>
              <w:top w:val="single" w:sz="8" w:color="auto"/>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Press Release, dated May 11, 2022</w:t>
            </w:r>
          </w:p>
        </w:tc>
        <w:tc>
          <w:tcPr>
            <w:tcW w:w="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as of and for the Three Months Ended March 31,</w:t>
            </w: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2140" w:type="dxa"/>
            <w:vAlign w:val="bottom"/>
            <w:tcBorders>
              <w:top w:val="single" w:sz="8" w:color="0000EE"/>
            </w:tcBorders>
          </w:tcPr>
          <w:p>
            <w:pPr>
              <w:spacing w:after="0"/>
              <w:rPr>
                <w:sz w:val="17"/>
                <w:szCs w:val="17"/>
                <w:color w:val="auto"/>
              </w:rPr>
            </w:pPr>
          </w:p>
        </w:tc>
        <w:tc>
          <w:tcPr>
            <w:tcW w:w="61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Unaudited Condensed Consolidated Interim Financial Statements as of and for the Three Months Ended March 31, 2022</w:t>
            </w:r>
          </w:p>
        </w:tc>
        <w:tc>
          <w:tcPr>
            <w:tcW w:w="20" w:type="dxa"/>
            <w:vAlign w:val="bottom"/>
          </w:tcPr>
          <w:p>
            <w:pPr>
              <w:spacing w:after="0"/>
              <w:rPr>
                <w:sz w:val="24"/>
                <w:szCs w:val="24"/>
                <w:color w:val="auto"/>
              </w:rPr>
            </w:pPr>
          </w:p>
        </w:tc>
      </w:tr>
      <w:tr>
        <w:trPr>
          <w:trHeight w:val="824"/>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2140" w:type="dxa"/>
            <w:vAlign w:val="bottom"/>
            <w:tcBorders>
              <w:top w:val="single" w:sz="8" w:color="0000EE"/>
              <w:bottom w:val="single" w:sz="8" w:color="9A9A9A"/>
            </w:tcBorders>
          </w:tcPr>
          <w:p>
            <w:pPr>
              <w:spacing w:after="0"/>
              <w:rPr>
                <w:sz w:val="24"/>
                <w:szCs w:val="24"/>
                <w:color w:val="auto"/>
              </w:rPr>
            </w:pPr>
          </w:p>
        </w:tc>
        <w:tc>
          <w:tcPr>
            <w:tcW w:w="6180" w:type="dxa"/>
            <w:vAlign w:val="bottom"/>
            <w:tcBorders>
              <w:top w:val="single" w:sz="8" w:color="0000EE"/>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9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25"/>
        </w:trPr>
        <w:tc>
          <w:tcPr>
            <w:tcW w:w="3540" w:type="dxa"/>
            <w:vAlign w:val="bottom"/>
          </w:tcPr>
          <w:p>
            <w:pPr>
              <w:spacing w:after="0"/>
              <w:rPr>
                <w:sz w:val="19"/>
                <w:szCs w:val="19"/>
                <w:color w:val="auto"/>
              </w:rPr>
            </w:pP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540" w:type="dxa"/>
            <w:vAlign w:val="bottom"/>
          </w:tcPr>
          <w:p>
            <w:pPr>
              <w:spacing w:after="0"/>
              <w:rPr>
                <w:sz w:val="20"/>
                <w:szCs w:val="20"/>
                <w:color w:val="auto"/>
              </w:rPr>
            </w:pP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161925</wp:posOffset>
            </wp:positionV>
            <wp:extent cx="192024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Reports First Quarter 2022 Financial Results and Provides Business Highlights</w:t>
      </w:r>
    </w:p>
    <w:p>
      <w:pPr>
        <w:spacing w:after="0" w:line="241" w:lineRule="exact"/>
        <w:rPr>
          <w:sz w:val="20"/>
          <w:szCs w:val="20"/>
          <w:color w:val="auto"/>
        </w:rPr>
      </w:pPr>
    </w:p>
    <w:p>
      <w:pPr>
        <w:ind w:left="800" w:right="40" w:hanging="401"/>
        <w:spacing w:after="0" w:line="253"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Target enrollment achieved in RAPIDe-1, Phase 2 on-demand study of PHVS416 for the treatment of HAE attacks; top-line data anticipated in 4Q22</w:t>
      </w:r>
    </w:p>
    <w:p>
      <w:pPr>
        <w:ind w:left="800" w:right="900" w:hanging="401"/>
        <w:spacing w:after="0" w:line="239"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Enrollment underway in HAE CHAPTER-1, proof-of-concept Phase 2 prophylactic study using PHVS416 for the prevention of HAE attacks; top-line data anticipated in 4Q22</w:t>
      </w:r>
    </w:p>
    <w:p>
      <w:pPr>
        <w:ind w:left="800" w:right="460" w:hanging="401"/>
        <w:spacing w:after="0" w:line="239" w:lineRule="auto"/>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RAPIDe-2, long-term extension on-demand study of PHVS416 for the treatment of HAE attacks, on-track to initiate in 2H22</w:t>
      </w:r>
    </w:p>
    <w:p>
      <w:pPr>
        <w:ind w:left="800" w:hanging="401"/>
        <w:spacing w:after="0"/>
        <w:tabs>
          <w:tab w:leader="none" w:pos="8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Continue to execute from a strong financial position with cash and cash equivalents of €194.8 million as of March 31, 2022</w:t>
      </w:r>
    </w:p>
    <w:p>
      <w:pPr>
        <w:spacing w:after="0" w:line="203" w:lineRule="exact"/>
        <w:rPr>
          <w:sz w:val="20"/>
          <w:szCs w:val="20"/>
          <w:color w:val="auto"/>
        </w:rPr>
      </w:pPr>
    </w:p>
    <w:p>
      <w:pPr>
        <w:jc w:val="both"/>
        <w:ind w:right="4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May 11, 2022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0563C1"/>
        </w:rPr>
        <w:t>Pharvaris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PHVS), a clinical-stage company developing novel, oral bradykinin-B2-receptor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antagonists to treat and prevent HAE attacks, building on its deep-seated roots in hereditary angioedema (HAE), today reported financial results for the first quarter ended March 31, 2022, and provided an update on recent business highlights.</w:t>
      </w:r>
    </w:p>
    <w:p>
      <w:pPr>
        <w:spacing w:after="0" w:line="18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"We met our operational goals for PHVS416 for the on-demand treatment of HAE attacks and have reached our target patient enrollment in the RAPIDe-1 Phase 2 study,” said Berndt Modig, chief executive officer of Pharvaris. “We sincerely thank the HAE patients and HAE community, investigators, and site staff across the globe who are participating in this trial, as well as our outstanding team. Pharvaris is also enrolling patients in CHAPTER-1, a proof-of-concept Phase 2 clinical trial using PHVS416 for the prophylactic treatment of HAE attacks. We continue to collaborate with the HAE community to further understand how our clinical research can address remaining unmet needs in HAE."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Highlights and Updates</w:t>
      </w:r>
    </w:p>
    <w:p>
      <w:pPr>
        <w:spacing w:after="0" w:line="229" w:lineRule="exact"/>
        <w:rPr>
          <w:sz w:val="20"/>
          <w:szCs w:val="20"/>
          <w:color w:val="auto"/>
        </w:rPr>
      </w:pPr>
    </w:p>
    <w:p>
      <w:pPr>
        <w:ind w:left="800" w:right="120" w:hanging="401"/>
        <w:spacing w:after="0" w:line="250" w:lineRule="auto"/>
        <w:tabs>
          <w:tab w:leader="none" w:pos="8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Target enrollment achieved for Phase 2 on-demand study (RAPIDe-1) of PHVS416. </w:t>
      </w:r>
      <w:r>
        <w:rPr>
          <w:rFonts w:ascii="Times New Roman" w:cs="Times New Roman" w:eastAsia="Times New Roman" w:hAnsi="Times New Roman"/>
          <w:sz w:val="20"/>
          <w:szCs w:val="20"/>
          <w:color w:val="auto"/>
        </w:rPr>
        <w:t>RAPIDe-1, a Phase 2 clinical study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PHVS416 for the on-demand treatment of HAE attacks, has reached its target enrollment and continues to assess HAE attacks across 33 clinical sites in Canada, Europe, Israel, the UK and the U.S. Top-line data from the study is anticipated to be available in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ind w:left="800" w:right="80" w:hanging="401"/>
        <w:spacing w:after="0" w:line="248" w:lineRule="auto"/>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Enrollment ongoing in Phase 2 prophylactic study (HAE CHAPTER-1) of PHVS416. </w:t>
      </w:r>
      <w:r>
        <w:rPr>
          <w:rFonts w:ascii="Times New Roman" w:cs="Times New Roman" w:eastAsia="Times New Roman" w:hAnsi="Times New Roman"/>
          <w:sz w:val="20"/>
          <w:szCs w:val="20"/>
          <w:color w:val="auto"/>
        </w:rPr>
        <w:t>HAE CHAPTER-1, a proof-of-concept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Phase 2 clinical trial using PHVS416 for the prophylactic treatment of HAE attacks, is enrolling across clinical sites in Canada, Europe, Israel, the UK and the U.S. Top-line data from the study are anticipated in the fourth quarter of 2022.</w:t>
      </w:r>
    </w:p>
    <w:p>
      <w:pPr>
        <w:spacing w:after="0" w:line="1" w:lineRule="exact"/>
        <w:rPr>
          <w:rFonts w:ascii="Times New Roman" w:cs="Times New Roman" w:eastAsia="Times New Roman" w:hAnsi="Times New Roman"/>
          <w:sz w:val="20"/>
          <w:szCs w:val="20"/>
          <w:color w:val="auto"/>
        </w:rPr>
      </w:pPr>
    </w:p>
    <w:p>
      <w:pPr>
        <w:ind w:left="800" w:right="700" w:hanging="401"/>
        <w:spacing w:after="0" w:line="246" w:lineRule="auto"/>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RAPIDe-2 expected to initiate in 2022. </w:t>
      </w:r>
      <w:r>
        <w:rPr>
          <w:rFonts w:ascii="Times New Roman" w:cs="Times New Roman" w:eastAsia="Times New Roman" w:hAnsi="Times New Roman"/>
          <w:sz w:val="20"/>
          <w:szCs w:val="20"/>
          <w:color w:val="auto"/>
        </w:rPr>
        <w:t>RAPIDe-2, a long-term extension study evaluating PHVS416 for the on-demand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of people with HAE, is expected to initiate in the second half of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2022 Financial Results</w:t>
      </w:r>
    </w:p>
    <w:p>
      <w:pPr>
        <w:spacing w:after="0" w:line="229" w:lineRule="exact"/>
        <w:rPr>
          <w:sz w:val="20"/>
          <w:szCs w:val="20"/>
          <w:color w:val="auto"/>
        </w:rPr>
      </w:pPr>
    </w:p>
    <w:p>
      <w:pPr>
        <w:ind w:left="800" w:right="560" w:hanging="401"/>
        <w:spacing w:after="0" w:line="253"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Liquidity Position</w:t>
      </w:r>
      <w:r>
        <w:rPr>
          <w:rFonts w:ascii="Times New Roman" w:cs="Times New Roman" w:eastAsia="Times New Roman" w:hAnsi="Times New Roman"/>
          <w:sz w:val="20"/>
          <w:szCs w:val="20"/>
          <w:color w:val="auto"/>
        </w:rPr>
        <w:t>. Cash and cash equivalents were €194.8 million as of March 31, 2022, compared to €209.4 million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2021.</w:t>
      </w:r>
    </w:p>
    <w:p>
      <w:pPr>
        <w:ind w:left="800" w:right="700" w:hanging="401"/>
        <w:spacing w:after="0" w:line="239"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Research and Development (R&amp;D) Expenses</w:t>
      </w:r>
      <w:r>
        <w:rPr>
          <w:rFonts w:ascii="Times New Roman" w:cs="Times New Roman" w:eastAsia="Times New Roman" w:hAnsi="Times New Roman"/>
          <w:sz w:val="20"/>
          <w:szCs w:val="20"/>
          <w:color w:val="auto"/>
        </w:rPr>
        <w:t>. R&amp;D expenses were €13.5 million for the quarter ended March 31,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€8.1 million for the quarter ended March 31, 2021.</w:t>
      </w:r>
    </w:p>
    <w:p>
      <w:pPr>
        <w:ind w:left="800" w:right="700" w:hanging="401"/>
        <w:spacing w:after="0" w:line="239"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and Administrative (G&amp;A) Expenses</w:t>
      </w:r>
      <w:r>
        <w:rPr>
          <w:rFonts w:ascii="Times New Roman" w:cs="Times New Roman" w:eastAsia="Times New Roman" w:hAnsi="Times New Roman"/>
          <w:sz w:val="20"/>
          <w:szCs w:val="20"/>
          <w:color w:val="auto"/>
        </w:rPr>
        <w:t>. G&amp;A expenses were €5.9 million for the quarter ended March 31,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€3.8 million for the quarter ended March 31, 2021.</w:t>
      </w:r>
    </w:p>
    <w:p>
      <w:pPr>
        <w:jc w:val="both"/>
        <w:ind w:left="800" w:hanging="401"/>
        <w:spacing w:after="0" w:line="242"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Loss for the period</w:t>
      </w:r>
      <w:r>
        <w:rPr>
          <w:rFonts w:ascii="Times New Roman" w:cs="Times New Roman" w:eastAsia="Times New Roman" w:hAnsi="Times New Roman"/>
          <w:sz w:val="20"/>
          <w:szCs w:val="20"/>
          <w:color w:val="auto"/>
        </w:rPr>
        <w:t>. Loss for the quarter ended March 31, 2022 was €16.0 million, or basic and diluted loss per share of €0.48,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quarter ended March 31, 2022 compared to loss for the quarter ended March 31, 2021 of €6.0 million, or basic and diluted loss per share of €0.66 for the quarter ended March 31,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Events</w:t>
      </w:r>
    </w:p>
    <w:p>
      <w:pPr>
        <w:spacing w:after="0" w:line="233" w:lineRule="exact"/>
        <w:rPr>
          <w:sz w:val="20"/>
          <w:szCs w:val="20"/>
          <w:color w:val="auto"/>
        </w:rPr>
      </w:pPr>
    </w:p>
    <w:p>
      <w:pPr>
        <w:ind w:left="800" w:hanging="401"/>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BofA 2022 Healthcare Conference, presentation at 10:00 am PDT/1:00 pm EDT on May 12, 2022 in Las Vegas, NV</w:t>
      </w:r>
    </w:p>
    <w:p>
      <w:pPr>
        <w:spacing w:after="0" w:line="21" w:lineRule="exact"/>
        <w:rPr>
          <w:rFonts w:ascii="Times New Roman" w:cs="Times New Roman" w:eastAsia="Times New Roman" w:hAnsi="Times New Roman"/>
          <w:sz w:val="20"/>
          <w:szCs w:val="20"/>
          <w:color w:val="auto"/>
        </w:rPr>
      </w:pPr>
    </w:p>
    <w:p>
      <w:pPr>
        <w:ind w:left="800" w:right="40" w:hanging="401"/>
        <w:spacing w:after="0" w:line="259" w:lineRule="auto"/>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Kinin2022 Conference, symposium (“Tailored drug development for patients living with HAE”) with Anne Lesage, Ph.D., Chief Early Development Officer, on </w:t>
      </w:r>
      <w:r>
        <w:rPr>
          <w:rFonts w:ascii="Times New Roman" w:cs="Times New Roman" w:eastAsia="Times New Roman" w:hAnsi="Times New Roman"/>
          <w:sz w:val="18"/>
          <w:szCs w:val="18"/>
          <w:color w:val="auto"/>
        </w:rPr>
        <w:t>June 7,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RAPIDe-1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569595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153670</wp:posOffset>
            </wp:positionV>
            <wp:extent cx="149987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160"/>
          </w:cols>
          <w:pgMar w:left="320" w:top="572" w:right="419" w:bottom="1440" w:gutter="0" w:footer="0" w:header="0"/>
        </w:sectPr>
      </w:pPr>
    </w:p>
    <w:bookmarkStart w:id="6" w:name="page7"/>
    <w:bookmarkEnd w:id="6"/>
    <w:p>
      <w:pPr>
        <w:ind w:right="40"/>
        <w:spacing w:after="0" w:line="246" w:lineRule="auto"/>
        <w:rPr>
          <w:sz w:val="20"/>
          <w:szCs w:val="20"/>
          <w:color w:val="auto"/>
        </w:rPr>
      </w:pPr>
      <w:r>
        <w:rPr>
          <w:rFonts w:ascii="Times New Roman" w:cs="Times New Roman" w:eastAsia="Times New Roman" w:hAnsi="Times New Roman"/>
          <w:sz w:val="20"/>
          <w:szCs w:val="20"/>
          <w:color w:val="auto"/>
        </w:rPr>
        <w:t xml:space="preserve">The RAPIDe-1 study is a clinical research study for people who have been diagnosed with HAE. The main purpose of the study is to find out how effective three different doses of the study drug, PHVS416, are in relieving symptoms associated with HAE attacks. Researchers developed the study drug in the form of softgel capsules which are taken orally and could be a more convenient alternative to an injection into a vein or under the skin for resolving HAE attacks. For more information, visit </w:t>
      </w:r>
      <w:r>
        <w:rPr>
          <w:rFonts w:ascii="Times New Roman" w:cs="Times New Roman" w:eastAsia="Times New Roman" w:hAnsi="Times New Roman"/>
          <w:sz w:val="20"/>
          <w:szCs w:val="20"/>
          <w:u w:val="single" w:color="auto"/>
          <w:color w:val="0563C1"/>
        </w:rPr>
        <w:t>https://hae-rapide.com/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563C1"/>
        </w:rPr>
        <w:t>https://hae-rapide.us/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563C1"/>
        </w:rPr>
        <w:t>https://clinicaltrials.gov/ct2/show/NCT04618211</w:t>
      </w:r>
      <w:r>
        <w:rPr>
          <w:rFonts w:ascii="Times New Roman" w:cs="Times New Roman" w:eastAsia="Times New Roman" w:hAnsi="Times New Roman"/>
          <w:sz w:val="20"/>
          <w:szCs w:val="20"/>
          <w:color w:val="000000"/>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HAE CHAPTER-1</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The HAE CHAPTER-1 study is a clinical research study for people who have been diagnosed with HAE. The main purpose of the study is to evaluate two different doses of the study drug, PHVS416, in preventing HAE attacks. Researchers developed the study drug in the form of softgel capsules which are taken orally and could be a more convenient alternative to an injection into a vein or under the skin for preventing HAE attacks. For more information, visit </w:t>
      </w:r>
      <w:r>
        <w:rPr>
          <w:rFonts w:ascii="Times New Roman" w:cs="Times New Roman" w:eastAsia="Times New Roman" w:hAnsi="Times New Roman"/>
          <w:sz w:val="20"/>
          <w:szCs w:val="20"/>
          <w:u w:val="single" w:color="auto"/>
          <w:color w:val="0563C1"/>
        </w:rPr>
        <w:t>https://haechapter-1.com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563C1"/>
        </w:rPr>
        <w:t>https://clinicaltrials.gov/show/NCT05047185</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PHVS416</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PHVS416 is a softgel capsule formulation containing PHA121, a highly potent, specific, and orally bioavailable competitive antagonist of the bradykinin B2 receptor. Pharvaris is developing this formulation to provide fast and reliable symptom relief when patients want, through rapid exposure of attack-mitigating medicine in a convenient, small oral dosage form. In healthy volunteers, a single dose of PHVS416 showed rapid exposure exceeding predicted therapeutically efficacious levels within 15 minutes. PHVS416 is currently in Phase 2 clinical development for the on-demand treatment of HAE.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PHVS719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PHVS719 is an extended-release tablet formulation containing PHA121, a highly potent, specific, and orally bioavailable competitive</w:t>
      </w:r>
    </w:p>
    <w:p>
      <w:pPr>
        <w:spacing w:after="0"/>
        <w:rPr>
          <w:sz w:val="20"/>
          <w:szCs w:val="20"/>
          <w:color w:val="auto"/>
        </w:rPr>
      </w:pPr>
      <w:r>
        <w:rPr>
          <w:rFonts w:ascii="Times New Roman" w:cs="Times New Roman" w:eastAsia="Times New Roman" w:hAnsi="Times New Roman"/>
          <w:sz w:val="20"/>
          <w:szCs w:val="20"/>
          <w:color w:val="auto"/>
        </w:rPr>
        <w:t>antagonist of the bradykinin B2 receptor. Pharvaris is developing this formulation to provide an easy way to prevent attacks with sustained</w:t>
      </w:r>
    </w:p>
    <w:p>
      <w:pPr>
        <w:spacing w:after="0"/>
        <w:rPr>
          <w:sz w:val="20"/>
          <w:szCs w:val="20"/>
          <w:color w:val="auto"/>
        </w:rPr>
      </w:pPr>
      <w:r>
        <w:rPr>
          <w:rFonts w:ascii="Times New Roman" w:cs="Times New Roman" w:eastAsia="Times New Roman" w:hAnsi="Times New Roman"/>
          <w:sz w:val="20"/>
          <w:szCs w:val="20"/>
          <w:color w:val="auto"/>
        </w:rPr>
        <w:t>exposure of attack-preventing medicine in a convenient, small oral dosage form. PHVS719 is currently in Phase 1 clinical development for</w:t>
      </w:r>
    </w:p>
    <w:p>
      <w:pPr>
        <w:spacing w:after="0"/>
        <w:rPr>
          <w:sz w:val="20"/>
          <w:szCs w:val="20"/>
          <w:color w:val="auto"/>
        </w:rPr>
      </w:pPr>
      <w:r>
        <w:rPr>
          <w:rFonts w:ascii="Times New Roman" w:cs="Times New Roman" w:eastAsia="Times New Roman" w:hAnsi="Times New Roman"/>
          <w:sz w:val="20"/>
          <w:szCs w:val="20"/>
          <w:color w:val="auto"/>
        </w:rPr>
        <w:t>the prophylactic treatment of HAE. In healthy volunteers, a single dose of PHVS719 was well tolerated with an extended-release profile</w:t>
      </w:r>
    </w:p>
    <w:p>
      <w:pPr>
        <w:spacing w:after="0"/>
        <w:rPr>
          <w:sz w:val="20"/>
          <w:szCs w:val="20"/>
          <w:color w:val="auto"/>
        </w:rPr>
      </w:pPr>
      <w:r>
        <w:rPr>
          <w:rFonts w:ascii="Times New Roman" w:cs="Times New Roman" w:eastAsia="Times New Roman" w:hAnsi="Times New Roman"/>
          <w:sz w:val="20"/>
          <w:szCs w:val="20"/>
          <w:color w:val="auto"/>
        </w:rPr>
        <w:t>supporting</w:t>
      </w:r>
    </w:p>
    <w:p>
      <w:pPr>
        <w:spacing w:after="0"/>
        <w:rPr>
          <w:sz w:val="20"/>
          <w:szCs w:val="20"/>
          <w:color w:val="auto"/>
        </w:rPr>
      </w:pPr>
      <w:r>
        <w:rPr>
          <w:rFonts w:ascii="Times New Roman" w:cs="Times New Roman" w:eastAsia="Times New Roman" w:hAnsi="Times New Roman"/>
          <w:sz w:val="20"/>
          <w:szCs w:val="20"/>
          <w:color w:val="auto"/>
        </w:rPr>
        <w:t>once-daily dosing.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PHA121</w:t>
      </w:r>
    </w:p>
    <w:p>
      <w:pPr>
        <w:spacing w:after="0" w:line="26"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PHA121 (PHA-022121) is a highly potent, specific, and orally bioavailable competitive antagonist of the bradykinin B2 receptor that has completed Phase 1 clinical development for the treatment of HAE. PHA121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129540</wp:posOffset>
            </wp:positionV>
            <wp:extent cx="1499870" cy="213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9870" cy="21399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line="243" w:lineRule="auto"/>
        <w:rPr>
          <w:sz w:val="20"/>
          <w:szCs w:val="20"/>
          <w:color w:val="auto"/>
        </w:rPr>
      </w:pPr>
      <w:r>
        <w:rPr>
          <w:rFonts w:ascii="Times New Roman" w:cs="Times New Roman" w:eastAsia="Times New Roman" w:hAnsi="Times New Roman"/>
          <w:sz w:val="20"/>
          <w:szCs w:val="20"/>
          <w:color w:val="auto"/>
        </w:rPr>
        <w:t>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linear pharmacokinetics at doses up to 50 mg. In a bradykinin-challenge study in healthy volunteers, PHA121 showed significant inhibition of bradykinin-induced hemodynamic changes with an average composite EC</w:t>
      </w:r>
      <w:r>
        <w:rPr>
          <w:rFonts w:ascii="Times New Roman" w:cs="Times New Roman" w:eastAsia="Times New Roman" w:hAnsi="Times New Roman"/>
          <w:sz w:val="16"/>
          <w:szCs w:val="16"/>
          <w:color w:val="auto"/>
        </w:rPr>
        <w:t>50</w:t>
      </w:r>
      <w:r>
        <w:rPr>
          <w:rFonts w:ascii="Times New Roman" w:cs="Times New Roman" w:eastAsia="Times New Roman" w:hAnsi="Times New Roman"/>
          <w:sz w:val="20"/>
          <w:szCs w:val="20"/>
          <w:color w:val="auto"/>
        </w:rPr>
        <w:t xml:space="preserve"> of 2.4 ng/mL and EC</w:t>
      </w:r>
      <w:r>
        <w:rPr>
          <w:rFonts w:ascii="Times New Roman" w:cs="Times New Roman" w:eastAsia="Times New Roman" w:hAnsi="Times New Roman"/>
          <w:sz w:val="16"/>
          <w:szCs w:val="16"/>
          <w:color w:val="auto"/>
        </w:rPr>
        <w:t>85</w:t>
      </w:r>
      <w:r>
        <w:rPr>
          <w:rFonts w:ascii="Times New Roman" w:cs="Times New Roman" w:eastAsia="Times New Roman" w:hAnsi="Times New Roman"/>
          <w:sz w:val="20"/>
          <w:szCs w:val="20"/>
          <w:color w:val="auto"/>
        </w:rPr>
        <w:t xml:space="preserve"> of 13.8 ng/mL, approximately four-fold more potent than historical data for icatibant. Quantitative modeling indicates that single oral doses of PHA121 will maintain pharmacological effectiveness for a substantially longer time than 30 mg of subcutaneous icatibant. PHA121 has been observed to be well-tolerated at all doses studied to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more effective and convenient alternatives to treat attacks,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20"/>
          <w:szCs w:val="20"/>
          <w:u w:val="single" w:color="auto"/>
          <w:color w:val="0563C1"/>
        </w:rPr>
        <w:t>https://pharvaris.com/</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mid-stage clinical trials;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131445</wp:posOffset>
            </wp:positionV>
            <wp:extent cx="149987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120"/>
        <w:spacing w:after="0" w:line="243" w:lineRule="auto"/>
        <w:rPr>
          <w:sz w:val="20"/>
          <w:szCs w:val="20"/>
          <w:color w:val="auto"/>
        </w:rPr>
      </w:pPr>
      <w:r>
        <w:rPr>
          <w:rFonts w:ascii="Times New Roman" w:cs="Times New Roman" w:eastAsia="Times New Roman" w:hAnsi="Times New Roman"/>
          <w:sz w:val="20"/>
          <w:szCs w:val="20"/>
          <w:color w:val="auto"/>
        </w:rPr>
        <w:t>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w:t>
      </w:r>
      <w:r>
        <w:rPr>
          <w:rFonts w:ascii="Arial" w:cs="Arial" w:eastAsia="Arial" w:hAnsi="Arial"/>
          <w:sz w:val="16"/>
          <w:szCs w:val="16"/>
          <w:color w:val="auto"/>
        </w:rPr>
        <w:t>—</w:t>
      </w:r>
      <w:r>
        <w:rPr>
          <w:rFonts w:ascii="Times New Roman" w:cs="Times New Roman" w:eastAsia="Times New Roman" w:hAnsi="Times New Roman"/>
          <w:sz w:val="20"/>
          <w:szCs w:val="20"/>
          <w:color w:val="auto"/>
        </w:rPr>
        <w:t>D. Risk Factors” in our Annual Report on Form 20-F and other periodic filings with the Securities and Exchange Commission.</w:t>
      </w:r>
    </w:p>
    <w:p>
      <w:pPr>
        <w:spacing w:after="0" w:line="21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Maryann Cimino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of Corporate Relations</w:t>
      </w:r>
    </w:p>
    <w:p>
      <w:pPr>
        <w:spacing w:after="0"/>
        <w:rPr>
          <w:sz w:val="20"/>
          <w:szCs w:val="20"/>
          <w:color w:val="auto"/>
        </w:rPr>
      </w:pPr>
      <w:r>
        <w:rPr>
          <w:rFonts w:ascii="Times New Roman" w:cs="Times New Roman" w:eastAsia="Times New Roman" w:hAnsi="Times New Roman"/>
          <w:sz w:val="20"/>
          <w:szCs w:val="20"/>
          <w:u w:val="single" w:color="auto"/>
          <w:color w:val="0563C1"/>
        </w:rPr>
        <w:t>maryann.cimino@pharvaris.com</w:t>
      </w:r>
    </w:p>
    <w:p>
      <w:pPr>
        <w:spacing w:after="0"/>
        <w:rPr>
          <w:sz w:val="20"/>
          <w:szCs w:val="20"/>
          <w:color w:val="auto"/>
        </w:rPr>
      </w:pPr>
      <w:r>
        <w:rPr>
          <w:rFonts w:ascii="Times New Roman" w:cs="Times New Roman" w:eastAsia="Times New Roman" w:hAnsi="Times New Roman"/>
          <w:sz w:val="20"/>
          <w:szCs w:val="20"/>
          <w:color w:val="auto"/>
        </w:rPr>
        <w:t>+1-617-710-7305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283210</wp:posOffset>
            </wp:positionV>
            <wp:extent cx="149987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6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months ended March 31, 2022 and 2021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2021, and the notes thereto, which appear in our Annual Report on Form 20-F for the year ended December 31, 2021 (the “Annual Report”) filed with the U.S. Securities and Exchange Commission (the “SEC”). In addition, we recommend that you read any public announcements made from time to time by Pharvaris N.V.</w:t>
      </w:r>
    </w:p>
    <w:p>
      <w:pPr>
        <w:spacing w:after="0" w:line="16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13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w:t>
      </w:r>
    </w:p>
    <w:p>
      <w:pPr>
        <w:spacing w:after="0" w:line="135"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to “Pharvaris” or the “Company,” “we,” “our,” “ours,” “us”, or similar terms refer to Pharvaris N.V. and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w:t>
      </w:r>
    </w:p>
    <w:p>
      <w:pPr>
        <w:spacing w:after="0" w:line="151" w:lineRule="exact"/>
        <w:rPr>
          <w:sz w:val="20"/>
          <w:szCs w:val="20"/>
          <w:color w:val="auto"/>
        </w:rPr>
      </w:pPr>
    </w:p>
    <w:p>
      <w:pPr>
        <w:ind w:right="260" w:firstLine="432"/>
        <w:spacing w:after="0" w:line="256" w:lineRule="auto"/>
        <w:rPr>
          <w:sz w:val="20"/>
          <w:szCs w:val="20"/>
          <w:color w:val="auto"/>
        </w:rPr>
      </w:pPr>
      <w:r>
        <w:rPr>
          <w:rFonts w:ascii="Times New Roman" w:cs="Times New Roman" w:eastAsia="Times New Roman" w:hAnsi="Times New Roman"/>
          <w:sz w:val="18"/>
          <w:szCs w:val="18"/>
          <w:color w:val="auto"/>
        </w:rPr>
        <w:t>In our completed Phase 1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in comparison with that of icatibant, but we do not yet have data from a PHA121 Phase 2 study. We plan to efficiently progress PHA121 through clinical development for on-demand and prophylactic use with our on-demand product candidate, PHVS416, and extended-release product candidate, PHVS719, respectively.</w:t>
      </w:r>
    </w:p>
    <w:p>
      <w:pPr>
        <w:spacing w:after="0" w:line="200" w:lineRule="exact"/>
        <w:rPr>
          <w:sz w:val="20"/>
          <w:szCs w:val="20"/>
          <w:color w:val="auto"/>
        </w:rPr>
      </w:pPr>
    </w:p>
    <w:p>
      <w:pPr>
        <w:spacing w:after="0" w:line="203"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commenced our RAPIDe-1 Phase 2 clinical trial of PHVS416 in February 2021 and anticipate we will have top line Phase 2 data for the acute treatment of patients with HAE attacks in the fourth quarter of 2022. We also commenced a Phase 2 clinical trial for prophylaxis in 2021 using twice-daily dosing of the PHVS416 softgel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capsules. Our primary objective with this trial is to assess the safety profile of PHVS416 dose regimens for prophylactic treatments in HAE patients. Top-line data from the study are anticipated in the fourth quarter of 2022. We also initiated a Phase 1 clinical trial with PHVS719 in 2021 to assess pharmacokinetics of the extended-release formulation and reported results in the first quarter of 2022. In healthy volunteers, a single dose of PHVS719 was well tolerated with an extended-release profile supporting once-daily dosing.</w:t>
      </w:r>
    </w:p>
    <w:p>
      <w:pPr>
        <w:spacing w:after="0" w:line="153" w:lineRule="exact"/>
        <w:rPr>
          <w:sz w:val="20"/>
          <w:szCs w:val="20"/>
          <w:color w:val="auto"/>
        </w:rPr>
      </w:pPr>
    </w:p>
    <w:p>
      <w:pPr>
        <w:ind w:right="520" w:firstLine="432"/>
        <w:spacing w:after="0" w:line="258" w:lineRule="auto"/>
        <w:rPr>
          <w:sz w:val="20"/>
          <w:szCs w:val="20"/>
          <w:color w:val="auto"/>
        </w:rPr>
      </w:pPr>
      <w:r>
        <w:rPr>
          <w:rFonts w:ascii="Times New Roman" w:cs="Times New Roman" w:eastAsia="Times New Roman" w:hAnsi="Times New Roman"/>
          <w:sz w:val="18"/>
          <w:szCs w:val="18"/>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210"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Variants of COVID-19 virus continue to spread globally.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We have also taken steps to identify and mitigate the adverse effects and risks to the Company as a result of the pandemic.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study includes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Announcements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11, 2022, the Company announced the expansion of its leadership team through the appointment of Ms. J. Schmidt as Chief Legal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are focused on the clinical development of PHA121. Since our inception, we have devoted substantially all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expenses consist of the following:</w:t>
      </w:r>
    </w:p>
    <w:p>
      <w:pPr>
        <w:spacing w:after="0" w:line="185" w:lineRule="exact"/>
        <w:rPr>
          <w:sz w:val="20"/>
          <w:szCs w:val="20"/>
          <w:color w:val="auto"/>
        </w:rPr>
      </w:pPr>
    </w:p>
    <w:p>
      <w:pPr>
        <w:ind w:left="880" w:right="32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expenses, which includes salaries, pensions, share-based compensation expenses, bonus plans and other related costs for research and development staff;</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expenses, which include costs of our outsourced discovery and nonclinical development studies;</w:t>
      </w:r>
    </w:p>
    <w:p>
      <w:pPr>
        <w:spacing w:after="0" w:line="184"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121" w:lineRule="exact"/>
        <w:rPr>
          <w:rFonts w:ascii="Times New Roman" w:cs="Times New Roman" w:eastAsia="Times New Roman" w:hAnsi="Times New Roman"/>
          <w:sz w:val="18"/>
          <w:szCs w:val="18"/>
          <w:color w:val="auto"/>
        </w:rPr>
      </w:pPr>
    </w:p>
    <w:p>
      <w:pPr>
        <w:ind w:left="880" w:right="10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expenses, which include costs related to manufacturing of active pharmaceutical ingredients and manufacturing of the products used in our clinical trials and research and development activities;</w:t>
      </w:r>
    </w:p>
    <w:p>
      <w:pPr>
        <w:spacing w:after="0" w:line="121"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connection with investigator-sponsored clinical trials and evaluations;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advisers’ fees, including discovery, nonclinical, clinical, chemistry, manufacturing, and controls- related and other consulting services;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costs, which includes costs associated with obtaining and maintaining patents and other intellectual property;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costs.</w:t>
      </w:r>
    </w:p>
    <w:p>
      <w:pPr>
        <w:spacing w:after="0" w:line="18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anticipate that our total research and development expenses will continue to increase as we continue to progress PHVS416 and PHVS719 through clinical development.</w:t>
      </w:r>
    </w:p>
    <w:p>
      <w:pPr>
        <w:spacing w:after="0" w:line="13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is a risk that any clinical development or product discovery program may not result in commercial approval. To the extent that we fail to obtain approval to commercialize our product candidate in a timely manner, we would need to continue to conduct clinical trials over a longer period of time, and we anticipate that our research and development expenses may further increase.</w:t>
      </w:r>
    </w:p>
    <w:p>
      <w:pPr>
        <w:spacing w:after="0" w:line="13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development of, or the period, if any, in which material net cash inflows may commence from, our product candidates.</w:t>
      </w:r>
    </w:p>
    <w:p>
      <w:pPr>
        <w:spacing w:after="0" w:line="19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for a discussion of these risks and uncertainties.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189"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anticipate that we will continue to incur significant general and administrative expenses as we advance our research and development portfolio.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consist of the following:</w:t>
      </w:r>
    </w:p>
    <w:p>
      <w:pPr>
        <w:spacing w:after="0" w:line="166" w:lineRule="exact"/>
        <w:rPr>
          <w:sz w:val="20"/>
          <w:szCs w:val="20"/>
          <w:color w:val="auto"/>
        </w:rPr>
      </w:pPr>
    </w:p>
    <w:p>
      <w:pPr>
        <w:ind w:left="880" w:right="70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including salaries, pensions, share-based compensation expenses, bonus plans and other related costs for staff and independent contractors in executive and operational functions;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auditors’ and advisers’ fees, including accounting, tax, legal and other consulting services;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expenses, facilities and IT expenses and other general expenses relating to our operations; and</w:t>
      </w:r>
    </w:p>
    <w:p>
      <w:pPr>
        <w:spacing w:after="0" w:line="184"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build-out of our commercial organization, including assessments of the HAE market landscape, pricing research and congress attendance.</w:t>
      </w:r>
    </w:p>
    <w:p>
      <w:pPr>
        <w:spacing w:after="0" w:line="12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p>
      <w:pPr>
        <w:spacing w:after="0" w:line="202"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The financial information shown below was derived from our unaudited condensed consolidated interim financial statements for the three months ended March 31, 2022 and 2021 included as Exhibit 99.3 to this Report on Form 6-K. The discussion below should be read along with these condensed consolidated interim financial statements, and it is qualified in its entirety by reference to them.</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2021</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0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20" w:type="dxa"/>
            <w:vAlign w:val="bottom"/>
          </w:tcPr>
          <w:p>
            <w:pPr>
              <w:spacing w:after="0"/>
              <w:rPr>
                <w:sz w:val="18"/>
                <w:szCs w:val="18"/>
                <w:color w:val="auto"/>
              </w:rPr>
            </w:pPr>
          </w:p>
        </w:tc>
      </w:tr>
      <w:tr>
        <w:trPr>
          <w:trHeight w:val="238"/>
        </w:trPr>
        <w:tc>
          <w:tcPr>
            <w:tcW w:w="5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(in €)</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(13,514,488)</w:t>
            </w:r>
          </w:p>
        </w:tc>
        <w:tc>
          <w:tcPr>
            <w:tcW w:w="16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(8,071,451)</w:t>
            </w:r>
          </w:p>
        </w:tc>
        <w:tc>
          <w:tcPr>
            <w:tcW w:w="12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(5,443,037)</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(5,865,006)</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(3,771,693)</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(2,093,313)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(19,379,494)</w:t>
            </w:r>
          </w:p>
        </w:tc>
        <w:tc>
          <w:tcPr>
            <w:tcW w:w="16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(11,843,144)</w:t>
            </w:r>
          </w:p>
        </w:tc>
        <w:tc>
          <w:tcPr>
            <w:tcW w:w="12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(7,536,350)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(19,379,494)</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(11,843,144)</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(7,536,350)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income/(loss)</w:t>
            </w:r>
          </w:p>
        </w:tc>
        <w:tc>
          <w:tcPr>
            <w:tcW w:w="1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3,391,179</w:t>
            </w:r>
          </w:p>
        </w:tc>
        <w:tc>
          <w:tcPr>
            <w:tcW w:w="1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5,818,856</w:t>
            </w:r>
          </w:p>
        </w:tc>
        <w:tc>
          <w:tcPr>
            <w:tcW w:w="12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(2,427,677)</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(15,988,315)</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(6,024,288)</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(9,964,027)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(38,715)</w:t>
            </w:r>
          </w:p>
        </w:tc>
        <w:tc>
          <w:tcPr>
            <w:tcW w:w="16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(18,589)</w:t>
            </w:r>
          </w:p>
        </w:tc>
        <w:tc>
          <w:tcPr>
            <w:tcW w:w="12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(20,126)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(16,027,030)</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(6,042,877)</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(9,984,153)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r>
    </w:tbl>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generate any revenues for the three months ended March 31, 2022 and March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0"/>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360" w:type="dxa"/>
            <w:vAlign w:val="bottom"/>
          </w:tcPr>
          <w:p>
            <w:pPr>
              <w:spacing w:after="0"/>
              <w:rPr>
                <w:sz w:val="24"/>
                <w:szCs w:val="24"/>
                <w:color w:val="auto"/>
              </w:rPr>
            </w:pPr>
          </w:p>
        </w:tc>
      </w:tr>
      <w:tr>
        <w:trPr>
          <w:trHeight w:val="238"/>
        </w:trPr>
        <w:tc>
          <w:tcPr>
            <w:tcW w:w="5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(in €)</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(2,529,171)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(2,008,496)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(520,675)</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(6,566,065)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(3,300,363)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(816,125)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(962,053)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145,928</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(3,464,524)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(1,318,192)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(2,146,332)</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costs</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(138,603)</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(121,595)</w:t>
            </w:r>
          </w:p>
        </w:tc>
        <w:tc>
          <w:tcPr>
            <w:tcW w:w="14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(13,514,488)</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(8,071,451)</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(5,443,037)</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0"/>
        </w:trPr>
        <w:tc>
          <w:tcPr>
            <w:tcW w:w="5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from €8,071,451 for the three months ended March 31, 2021 to €13,514,488 for the three months ended March 31, 2022. The increase in the research and development expenses is mainly driven by the progress made in the PHVS416 and PHVS719 development programs in the three months ended March 31, 2022. Clinical expenses increased by €3,300,363 for the three months ended March 31, 2022 compared to the three months ended March 31, 2021 due to the progression of the RAPIDe-1 on demand and CHAPTER-1 prophylactic Phase 2 studies and preparations for their open-label extension studies. Nonclinical expenses decreased by €145,928 for the three months ended March 31, 2022 compared to the three months ended March 31, 2021 due to our completing preparations for the Phase 2 and Phase 3 clinical PHVS416 and PHVS719 programs. Manufacturing costs relating to the API and pharmaceutical development of PHVS416 and PHVS719 increased by €2,146,332 for the three months ended March 31, 2022 compared to the three months ended March 31, 2021 due to supply costs associated with the clinical programs and preparations for the pre-commercialization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4" w:name="page15"/>
    <w:bookmarkEnd w:id="14"/>
    <w:p>
      <w:pPr>
        <w:ind w:right="160"/>
        <w:spacing w:after="0" w:line="282" w:lineRule="auto"/>
        <w:rPr>
          <w:sz w:val="20"/>
          <w:szCs w:val="20"/>
          <w:color w:val="auto"/>
        </w:rPr>
      </w:pPr>
      <w:r>
        <w:rPr>
          <w:rFonts w:ascii="Times New Roman" w:cs="Times New Roman" w:eastAsia="Times New Roman" w:hAnsi="Times New Roman"/>
          <w:sz w:val="18"/>
          <w:szCs w:val="18"/>
          <w:color w:val="auto"/>
        </w:rPr>
        <w:t>phase. In the personnel expenses for the three months ended March 31, 2022 and 2021 an amount of €928,911 and €1,358,701, respectively, was included which related to share-based compensation arrangements.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0"/>
        </w:trPr>
        <w:tc>
          <w:tcPr>
            <w:tcW w:w="5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60" w:type="dxa"/>
            <w:vAlign w:val="bottom"/>
          </w:tcPr>
          <w:p>
            <w:pPr>
              <w:spacing w:after="0"/>
              <w:rPr>
                <w:sz w:val="24"/>
                <w:szCs w:val="24"/>
                <w:color w:val="auto"/>
              </w:rPr>
            </w:pPr>
          </w:p>
        </w:tc>
      </w:tr>
      <w:tr>
        <w:trPr>
          <w:trHeight w:val="238"/>
        </w:trPr>
        <w:tc>
          <w:tcPr>
            <w:tcW w:w="58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800" w:type="dxa"/>
            <w:vAlign w:val="bottom"/>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(in €)</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(2,444,883)</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(1,241,065)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(1,203,818)</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51,405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(884,000)</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(807,913)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(304,498)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133,632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communication and office expenses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(1,628,098)</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(951,581)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(676,517)</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(142,960)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w:t>
            </w: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(281,861)</w:t>
            </w:r>
          </w:p>
        </w:tc>
        <w:tc>
          <w:tcPr>
            <w:tcW w:w="1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(102,893)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(178,968)</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(5,865,006)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(3,771,693)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(2,093,314)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0"/>
        </w:trPr>
        <w:tc>
          <w:tcPr>
            <w:tcW w:w="5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from €3,771,693 for the three months ended March 31, 2021 to €5,865,006 for the three months ended March 31, 2022. The increase in general and administrative expenses was mainly driven by the growth of the Company in connection with the completion of the IPO, which also led to additional expenses inherent to being a public company and the initiation of our commercial buildout. In the personnel expenses for the three months ended March 31, 2022 and 2021 an amount of €1,018,027 and €737,909 respectively, was included which related to share-based compensation arrangements.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Net foreign exchange income/(loss)</w:t>
      </w:r>
    </w:p>
    <w:p>
      <w:pPr>
        <w:spacing w:after="0" w:line="18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Net foreign exchange income/(loss) for the three months ended March 31, 2022 and 2021 were €3,391,179 and €5,818,856, respectively. The amount mainly relates to unrealized foreign exchange income, which is mostly the result of translating the Company’s bank balances held in USD to EUR. The foreign exchange rates developed in favor of the Company in the first quarter 2022.</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 basis (P&amp;L) and subsequently allocated using the expected full year effective tax rate. The one-off items are recognized in full in the interim period in which they emerge. In the total interim tax charge, no distinction is made between current and deferred tax expenses/income.</w:t>
      </w:r>
    </w:p>
    <w:p>
      <w:pPr>
        <w:spacing w:after="0" w:line="156"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The total tax expense over the three months ended March 31, 2022 relate to the utilisation of the deferred tax asset as a result of a temporary difference which occurred in the Company's US subsidiary.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For the three months ended March 31, 2022 and 2021 we incurred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€16,027,030 and €6,042,887, respectively. Since inception, we have not generated any revenues or net cash flows from sales. We will not receive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or net cash flows from sales of our product candidate until it has been approved by regulatory authorities and we have commercialized it. There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that we will be able to do so.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To date, we have relied solely on the issuance of equity securities to finance our operations and internal growth. On March 1, 2022, we entered into a sales agreement with SVB Securities LLC, or SVB Leerink, pursuant to which we may sell ordinary shares having an aggregate offering price of up to $75 million from time to time through SVB Leerink. During the three months ended March 31, 2022, we sold 500 ordinary shares under the sales agreement generating net proceeds of $9,258, after deducting $278 which was payable to SVB Leerink as commission in respect of such sales. As of March 31, 2022 we had cash and cash equivalents of €194.8 million. Our cash and cash equivalents consist solely of cash at bank.</w:t>
      </w:r>
    </w:p>
    <w:p>
      <w:pPr>
        <w:spacing w:after="0" w:line="210"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Our contractual obligations and commitments as of March 31, 2022 amounted to €17 million, primarily related to research and development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Comparison for the three months ended March 31, 2022 and March 31, 2021</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our cash and cash equivalents for each of the periods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4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24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(in €)</w:t>
            </w: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(17,881,192)</w:t>
            </w:r>
          </w:p>
        </w:tc>
        <w:tc>
          <w:tcPr>
            <w:tcW w:w="1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(10,199,606)</w:t>
            </w:r>
          </w:p>
        </w:tc>
        <w:tc>
          <w:tcPr>
            <w:tcW w:w="14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(7,681,586)</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(26,372)</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(10,065)</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(16,307)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13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(110,126)</w:t>
            </w:r>
          </w:p>
        </w:tc>
        <w:tc>
          <w:tcPr>
            <w:tcW w:w="1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144,001,539</w:t>
            </w:r>
          </w:p>
        </w:tc>
        <w:tc>
          <w:tcPr>
            <w:tcW w:w="14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(144,111,665)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(18,017,690)</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133,791,868</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(151,809,558)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13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209,353,132</w:t>
            </w:r>
          </w:p>
        </w:tc>
        <w:tc>
          <w:tcPr>
            <w:tcW w:w="1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98,628,871</w:t>
            </w:r>
          </w:p>
        </w:tc>
        <w:tc>
          <w:tcPr>
            <w:tcW w:w="14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110,724,261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3,439,302</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5,902,838</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(2,463,536)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3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194,774,744</w:t>
            </w:r>
          </w:p>
        </w:tc>
        <w:tc>
          <w:tcPr>
            <w:tcW w:w="1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238,323,577</w:t>
            </w:r>
          </w:p>
        </w:tc>
        <w:tc>
          <w:tcPr>
            <w:tcW w:w="14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(43,548,833)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bl>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reflects our results for the period adjusted for, among other things, depreciation, unrealized foreign exchange results, share-based compensation, changes in working capital and interest accruals and payments.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was €17,881,192 for the three months ended March 31, 2022, an increase of €7,681,586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€10,199,606 for the three months ended March 31, 2021, primarily reflecting the increase in research and development expenses and other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due to progression made in the PHVS416 and PHVS719 development programs and the growth of our organization in 2021 and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increased by €16,307 from €10,065 for the three months ended March 31, 2021 to €26,372 for the three months ended March 31, 2022, primarily as a result of capital expenditure related to office equipment in 2022.</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Net cash flows provided by financing activities decreased by €144,111,665 from €144,001,539 for the three months ended March 31, 2021, to € (110,126) for the three months ended March 31, 2022. The high net cash inflow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6" w:name="page17"/>
    <w:bookmarkEnd w:id="16"/>
    <w:p>
      <w:pPr>
        <w:ind w:right="420"/>
        <w:spacing w:after="0" w:line="282" w:lineRule="auto"/>
        <w:rPr>
          <w:sz w:val="20"/>
          <w:szCs w:val="20"/>
          <w:color w:val="auto"/>
        </w:rPr>
      </w:pPr>
      <w:r>
        <w:rPr>
          <w:rFonts w:ascii="Times New Roman" w:cs="Times New Roman" w:eastAsia="Times New Roman" w:hAnsi="Times New Roman"/>
          <w:sz w:val="18"/>
          <w:szCs w:val="18"/>
          <w:color w:val="auto"/>
        </w:rPr>
        <w:t>in 2021 was the result of the proceeds from the IPO net of underwriting discount and other transaction costs. The cash outflow in three months ended March 31, 2022 relates to the financial lease and transaction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2022,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0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were no significant changes to our quantitative and qualitative disclosures about market risk from those reported in “Item 11. Quantitative and Qualitative Disclosures About Market Risk” in the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189"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in Note 2.19 to our consolidated financial statements in the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2"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215" w:lineRule="exact"/>
        <w:rPr>
          <w:sz w:val="20"/>
          <w:szCs w:val="20"/>
          <w:color w:val="auto"/>
        </w:rPr>
      </w:pPr>
    </w:p>
    <w:p>
      <w:pPr>
        <w:ind w:left="88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or success of our clinical development programs, especially for PHVS416 and PHVS719, which are in mid-stage clinical trials;</w:t>
      </w:r>
    </w:p>
    <w:p>
      <w:pPr>
        <w:spacing w:after="0" w:line="188" w:lineRule="exact"/>
        <w:rPr>
          <w:rFonts w:ascii="Times New Roman" w:cs="Times New Roman" w:eastAsia="Times New Roman" w:hAnsi="Times New Roman"/>
          <w:sz w:val="18"/>
          <w:szCs w:val="18"/>
          <w:color w:val="auto"/>
        </w:rPr>
      </w:pPr>
    </w:p>
    <w:p>
      <w:pPr>
        <w:ind w:left="880" w:right="12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COVID-19 pandemic, which may adversely impact our business, nonclinical studies and clinical trials, the timing of regulatory approvals and the value of our ordinary shares;</w:t>
      </w:r>
    </w:p>
    <w:p>
      <w:pPr>
        <w:spacing w:after="0" w:line="188" w:lineRule="exact"/>
        <w:rPr>
          <w:rFonts w:ascii="Times New Roman" w:cs="Times New Roman" w:eastAsia="Times New Roman" w:hAnsi="Times New Roman"/>
          <w:sz w:val="18"/>
          <w:szCs w:val="18"/>
          <w:color w:val="auto"/>
        </w:rPr>
      </w:pPr>
    </w:p>
    <w:p>
      <w:pPr>
        <w:ind w:left="880" w:right="26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other limitations involved in obtaining regulatory approval for our product candidates PHVS416 and PHVS719 or any other product candidate that we may develop in the future;</w:t>
      </w:r>
    </w:p>
    <w:p>
      <w:pPr>
        <w:spacing w:after="0" w:line="188" w:lineRule="exact"/>
        <w:rPr>
          <w:rFonts w:ascii="Times New Roman" w:cs="Times New Roman" w:eastAsia="Times New Roman" w:hAnsi="Times New Roman"/>
          <w:sz w:val="18"/>
          <w:szCs w:val="18"/>
          <w:color w:val="auto"/>
        </w:rPr>
      </w:pPr>
    </w:p>
    <w:p>
      <w:pPr>
        <w:ind w:left="880" w:right="22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our product candidates PHVS416 and PHVS719 or any of our other product candidates that we may develop in the future, if approved;</w:t>
      </w:r>
    </w:p>
    <w:p>
      <w:pPr>
        <w:spacing w:after="0" w:line="18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commercial capabilities or enter into agreements with third parties to market, sell and distribute our product candidates;</w:t>
      </w:r>
    </w:p>
    <w:p>
      <w:pPr>
        <w:spacing w:after="0" w:line="252"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perform critical activities related to the research, nonclinical safety and toxicology studies, development and manufacturing of our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w:t>
      </w:r>
    </w:p>
    <w:p>
      <w:pPr>
        <w:spacing w:after="0" w:line="225"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time and uncertainty involved in the development and consistent manufacturing and supply of our product candidates, some or all of which may never reach the regulatory approval stage;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17" w:name="page18"/>
    <w:bookmarkEnd w:id="17"/>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and on acceptable terms;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any new licensing agreements or to maintain any licensing agreements with respect to our product candidates;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and licensees, whose actions we cannot control;</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private insurers and other payors to provide reimbursement for our products;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European Union and other jurisdictions;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price negotiations with governmental authorities;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 industry and with competitive generic products;</w:t>
      </w:r>
    </w:p>
    <w:p>
      <w:pPr>
        <w:spacing w:after="0" w:line="225"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know-how and operate our business without infringing the intellectual property rights or regulatory exclusivity of others;</w:t>
      </w:r>
    </w:p>
    <w:p>
      <w:pPr>
        <w:spacing w:after="0" w:line="188"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associated with the use of our product candidates;</w:t>
      </w:r>
    </w:p>
    <w:p>
      <w:pPr>
        <w:spacing w:after="0" w:line="225" w:lineRule="exact"/>
        <w:rPr>
          <w:rFonts w:ascii="Times New Roman" w:cs="Times New Roman" w:eastAsia="Times New Roman" w:hAnsi="Times New Roman"/>
          <w:sz w:val="18"/>
          <w:szCs w:val="18"/>
          <w:color w:val="auto"/>
        </w:rPr>
      </w:pPr>
    </w:p>
    <w:p>
      <w:pPr>
        <w:ind w:left="880" w:right="62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costly and damaging liability claims resulting from the testing of our product candidates in the clinic or, if, approved, any commercial sales;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any of our key personnel;</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market sizes and anticipated uses of our product candidates;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performance;</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anticipated operating losses, future revenues, expenses, capital requirements and our needs for additional financing;</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or future laws and regulations in a cost-efficient manner;</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negative consequences from changes in applicable laws and regulations, including tax laws;</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weaknesses in our internal control over financial reporting and to maintain an effective system of internal control over financial reporting;</w:t>
      </w:r>
    </w:p>
    <w:p>
      <w:pPr>
        <w:spacing w:after="0" w:line="161"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or a foreign private issuer; and</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political and economic conditions, including as a result of the current conflict between Russia and Ukraine.</w:t>
      </w:r>
    </w:p>
    <w:p>
      <w:pPr>
        <w:spacing w:after="0" w:line="252"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You should refer to “ITEM 3. Key information—D. Risk factors.” section of our Annual Report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8" w:name="page19"/>
    <w:bookmarkEnd w:id="18"/>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except as required by law.</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121" w:right="5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Pharvaris N.V.</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Interim Financial Statements</w:t>
      </w:r>
    </w:p>
    <w:p>
      <w:pPr>
        <w:spacing w:after="0"/>
        <w:rPr>
          <w:sz w:val="20"/>
          <w:szCs w:val="20"/>
          <w:color w:val="auto"/>
        </w:rPr>
      </w:pPr>
      <w:r>
        <w:rPr>
          <w:rFonts w:ascii="Times New Roman" w:cs="Times New Roman" w:eastAsia="Times New Roman" w:hAnsi="Times New Roman"/>
          <w:sz w:val="22"/>
          <w:szCs w:val="22"/>
          <w:b w:val="1"/>
          <w:bCs w:val="1"/>
          <w:color w:val="auto"/>
        </w:rPr>
        <w:t>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 and other comprehensive income</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3</w:t>
            </w:r>
          </w:p>
        </w:tc>
        <w:tc>
          <w:tcPr>
            <w:tcW w:w="20" w:type="dxa"/>
            <w:vAlign w:val="bottom"/>
          </w:tcPr>
          <w:p>
            <w:pPr>
              <w:spacing w:after="0"/>
              <w:rPr>
                <w:sz w:val="17"/>
                <w:szCs w:val="17"/>
                <w:color w:val="auto"/>
              </w:rPr>
            </w:pPr>
          </w:p>
        </w:tc>
      </w:tr>
      <w:tr>
        <w:trPr>
          <w:trHeight w:val="426"/>
        </w:trPr>
        <w:tc>
          <w:tcPr>
            <w:tcW w:w="1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4</w:t>
            </w:r>
          </w:p>
        </w:tc>
        <w:tc>
          <w:tcPr>
            <w:tcW w:w="20" w:type="dxa"/>
            <w:vAlign w:val="bottom"/>
          </w:tcPr>
          <w:p>
            <w:pPr>
              <w:spacing w:after="0"/>
              <w:rPr>
                <w:sz w:val="24"/>
                <w:szCs w:val="24"/>
                <w:color w:val="auto"/>
              </w:rPr>
            </w:pPr>
          </w:p>
        </w:tc>
      </w:tr>
      <w:tr>
        <w:trPr>
          <w:trHeight w:val="426"/>
        </w:trPr>
        <w:tc>
          <w:tcPr>
            <w:tcW w:w="1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equity</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5</w:t>
            </w:r>
          </w:p>
        </w:tc>
        <w:tc>
          <w:tcPr>
            <w:tcW w:w="20" w:type="dxa"/>
            <w:vAlign w:val="bottom"/>
          </w:tcPr>
          <w:p>
            <w:pPr>
              <w:spacing w:after="0"/>
              <w:rPr>
                <w:sz w:val="24"/>
                <w:szCs w:val="24"/>
                <w:color w:val="auto"/>
              </w:rPr>
            </w:pPr>
          </w:p>
        </w:tc>
      </w:tr>
      <w:tr>
        <w:trPr>
          <w:trHeight w:val="425"/>
        </w:trPr>
        <w:tc>
          <w:tcPr>
            <w:tcW w:w="1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6</w:t>
            </w:r>
          </w:p>
        </w:tc>
        <w:tc>
          <w:tcPr>
            <w:tcW w:w="20" w:type="dxa"/>
            <w:vAlign w:val="bottom"/>
          </w:tcPr>
          <w:p>
            <w:pPr>
              <w:spacing w:after="0"/>
              <w:rPr>
                <w:sz w:val="24"/>
                <w:szCs w:val="24"/>
                <w:color w:val="auto"/>
              </w:rPr>
            </w:pPr>
          </w:p>
        </w:tc>
      </w:tr>
      <w:tr>
        <w:trPr>
          <w:trHeight w:val="426"/>
        </w:trPr>
        <w:tc>
          <w:tcPr>
            <w:tcW w:w="1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interim financial statements</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7</w:t>
            </w:r>
          </w:p>
        </w:tc>
        <w:tc>
          <w:tcPr>
            <w:tcW w:w="20" w:type="dxa"/>
            <w:vAlign w:val="bottom"/>
          </w:tcPr>
          <w:p>
            <w:pPr>
              <w:spacing w:after="0"/>
              <w:rPr>
                <w:sz w:val="24"/>
                <w:szCs w:val="24"/>
                <w:color w:val="auto"/>
              </w:rPr>
            </w:pPr>
          </w:p>
        </w:tc>
      </w:tr>
      <w:tr>
        <w:trPr>
          <w:trHeight w:val="888"/>
        </w:trPr>
        <w:tc>
          <w:tcPr>
            <w:tcW w:w="11140" w:type="dxa"/>
            <w:vAlign w:val="bottom"/>
          </w:tcPr>
          <w:p>
            <w:pPr>
              <w:ind w:left="5580"/>
              <w:spacing w:after="0"/>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8"/>
        </w:trPr>
        <w:tc>
          <w:tcPr>
            <w:tcW w:w="1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7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profit or loss and other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8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40"/>
        </w:trPr>
        <w:tc>
          <w:tcPr>
            <w:tcW w:w="6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(13,514,488)</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(8,071,451)</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(5,865,006)</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(3,771,693)</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vMerge w:val="continue"/>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(19,379,494)</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(11,843,144)</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income/(expense)</w:t>
            </w:r>
          </w:p>
        </w:tc>
        <w:tc>
          <w:tcPr>
            <w:tcW w:w="11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3,391,179</w:t>
            </w:r>
          </w:p>
        </w:tc>
        <w:tc>
          <w:tcPr>
            <w:tcW w:w="260" w:type="dxa"/>
            <w:vAlign w:val="bottom"/>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5,818,856</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1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(15,988,315)</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(6,024,288)</w:t>
            </w:r>
          </w:p>
        </w:tc>
        <w:tc>
          <w:tcPr>
            <w:tcW w:w="0" w:type="dxa"/>
            <w:vAlign w:val="bottom"/>
          </w:tcPr>
          <w:p>
            <w:pPr>
              <w:spacing w:after="0"/>
              <w:rPr>
                <w:sz w:val="1"/>
                <w:szCs w:val="1"/>
                <w:color w:val="auto"/>
              </w:rPr>
            </w:pPr>
          </w:p>
        </w:tc>
      </w:tr>
      <w:tr>
        <w:trPr>
          <w:trHeight w:val="236"/>
        </w:trPr>
        <w:tc>
          <w:tcPr>
            <w:tcW w:w="6680" w:type="dxa"/>
            <w:vAlign w:val="bottom"/>
            <w:tcBorders>
              <w:top w:val="single" w:sz="8" w:color="CFF0FC"/>
            </w:tcBorders>
            <w:shd w:val="clear" w:color="auto" w:fill="CFF0FC"/>
          </w:tcPr>
          <w:p>
            <w:pPr>
              <w:spacing w:after="0"/>
              <w:rPr>
                <w:sz w:val="20"/>
                <w:szCs w:val="20"/>
                <w:color w:val="auto"/>
              </w:rPr>
            </w:pPr>
          </w:p>
        </w:tc>
        <w:tc>
          <w:tcPr>
            <w:tcW w:w="1180" w:type="dxa"/>
            <w:vAlign w:val="bottom"/>
            <w:tcBorders>
              <w:top w:val="single" w:sz="8" w:color="CFF0FC"/>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(38,715)</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(18,589)</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vMerge w:val="continue"/>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(16,027,030)</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(6,042,877)</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Exchange gains arising on translation of foreign operations</w:t>
            </w:r>
          </w:p>
        </w:tc>
        <w:tc>
          <w:tcPr>
            <w:tcW w:w="1180" w:type="dxa"/>
            <w:vAlign w:val="bottom"/>
            <w:tcBorders>
              <w:bottom w:val="single" w:sz="8" w:color="CFF0FC"/>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260" w:type="dxa"/>
            <w:vAlign w:val="bottom"/>
            <w:tcBorders>
              <w:bottom w:val="single" w:sz="8" w:color="CFF0FC"/>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w:t>
            </w:r>
          </w:p>
        </w:tc>
        <w:tc>
          <w:tcPr>
            <w:tcW w:w="1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holders of the Company</w:t>
            </w:r>
          </w:p>
        </w:tc>
        <w:tc>
          <w:tcPr>
            <w:tcW w:w="1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(16,018,350)</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(6,041,628)</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 attributable to the equity holders of the Company during the periods</w:t>
            </w:r>
          </w:p>
        </w:tc>
        <w:tc>
          <w:tcPr>
            <w:tcW w:w="1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(0.48)</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31</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7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3"/>
        </w:trPr>
        <w:tc>
          <w:tcPr>
            <w:tcW w:w="4720" w:type="dxa"/>
            <w:vAlign w:val="bottom"/>
          </w:tcPr>
          <w:p>
            <w:pPr>
              <w:spacing w:after="0"/>
              <w:rPr>
                <w:sz w:val="21"/>
                <w:szCs w:val="21"/>
                <w:color w:val="auto"/>
              </w:rPr>
            </w:pPr>
          </w:p>
        </w:tc>
        <w:tc>
          <w:tcPr>
            <w:tcW w:w="338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Notes</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80" w:type="dxa"/>
            <w:vAlign w:val="bottom"/>
            <w:shd w:val="clear" w:color="auto" w:fill="CFF0FC"/>
          </w:tcPr>
          <w:p>
            <w:pPr>
              <w:jc w:val="center"/>
              <w:ind w:left="1930"/>
              <w:spacing w:after="0"/>
              <w:rPr>
                <w:sz w:val="20"/>
                <w:szCs w:val="20"/>
                <w:color w:val="auto"/>
              </w:rPr>
            </w:pPr>
            <w:r>
              <w:rPr>
                <w:rFonts w:ascii="Times New Roman" w:cs="Times New Roman" w:eastAsia="Times New Roman" w:hAnsi="Times New Roman"/>
                <w:sz w:val="18"/>
                <w:szCs w:val="18"/>
                <w:color w:val="auto"/>
                <w:w w:val="88"/>
              </w:rPr>
              <w:t>8</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126,927</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38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88"/>
              </w:rPr>
              <w:t>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222,759</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243,251</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38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88"/>
              </w:rPr>
              <w:t>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136,646</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172,052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380" w:type="dxa"/>
            <w:vAlign w:val="bottom"/>
            <w:shd w:val="clear" w:color="auto" w:fill="CFF0FC"/>
          </w:tcPr>
          <w:p>
            <w:pPr>
              <w:jc w:val="center"/>
              <w:ind w:left="1950"/>
              <w:spacing w:after="0"/>
              <w:rPr>
                <w:sz w:val="20"/>
                <w:szCs w:val="20"/>
                <w:color w:val="auto"/>
              </w:rPr>
            </w:pPr>
            <w:r>
              <w:rPr>
                <w:rFonts w:ascii="Times New Roman" w:cs="Times New Roman" w:eastAsia="Times New Roman" w:hAnsi="Times New Roman"/>
                <w:sz w:val="18"/>
                <w:szCs w:val="18"/>
                <w:color w:val="auto"/>
                <w:w w:val="99"/>
              </w:rPr>
              <w:t>10</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669,014</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700,079</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38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11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5,202,002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1,513,452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80" w:type="dxa"/>
            <w:vAlign w:val="bottom"/>
            <w:shd w:val="clear" w:color="auto" w:fill="CFF0FC"/>
          </w:tcPr>
          <w:p>
            <w:pPr>
              <w:jc w:val="center"/>
              <w:ind w:left="1950"/>
              <w:spacing w:after="0"/>
              <w:rPr>
                <w:sz w:val="20"/>
                <w:szCs w:val="20"/>
                <w:color w:val="auto"/>
              </w:rPr>
            </w:pPr>
            <w:r>
              <w:rPr>
                <w:rFonts w:ascii="Times New Roman" w:cs="Times New Roman" w:eastAsia="Times New Roman" w:hAnsi="Times New Roman"/>
                <w:sz w:val="18"/>
                <w:szCs w:val="18"/>
                <w:color w:val="auto"/>
                <w:w w:val="99"/>
              </w:rPr>
              <w:t>12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194,774,744</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209,353,132</w:t>
            </w:r>
          </w:p>
        </w:tc>
        <w:tc>
          <w:tcPr>
            <w:tcW w:w="100" w:type="dxa"/>
            <w:vAlign w:val="bottom"/>
            <w:shd w:val="clear" w:color="auto" w:fill="CFF0FC"/>
          </w:tcPr>
          <w:p>
            <w:pPr>
              <w:spacing w:after="0"/>
              <w:rPr>
                <w:sz w:val="21"/>
                <w:szCs w:val="21"/>
                <w:color w:val="auto"/>
              </w:rPr>
            </w:pPr>
          </w:p>
        </w:tc>
      </w:tr>
      <w:tr>
        <w:trPr>
          <w:trHeight w:val="276"/>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380" w:type="dxa"/>
            <w:vAlign w:val="bottom"/>
            <w:tcBorders>
              <w:bottom w:val="single" w:sz="8" w:color="CFF0FC"/>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201,132,092</w:t>
            </w:r>
          </w:p>
        </w:tc>
        <w:tc>
          <w:tcPr>
            <w:tcW w:w="260" w:type="dxa"/>
            <w:vAlign w:val="bottom"/>
            <w:tcBorders>
              <w:bottom w:val="single" w:sz="8" w:color="CFF0FC"/>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212,090,064</w:t>
            </w:r>
          </w:p>
        </w:tc>
        <w:tc>
          <w:tcPr>
            <w:tcW w:w="100" w:type="dxa"/>
            <w:vAlign w:val="bottom"/>
            <w:tcBorders>
              <w:bottom w:val="single" w:sz="8" w:color="CFF0FC"/>
            </w:tcBorders>
          </w:tcPr>
          <w:p>
            <w:pPr>
              <w:spacing w:after="0"/>
              <w:rPr>
                <w:sz w:val="24"/>
                <w:szCs w:val="24"/>
                <w:color w:val="auto"/>
              </w:rPr>
            </w:pPr>
          </w:p>
        </w:tc>
      </w:tr>
      <w:tr>
        <w:trPr>
          <w:trHeight w:val="224"/>
        </w:trPr>
        <w:tc>
          <w:tcPr>
            <w:tcW w:w="472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38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3,978,286</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3,978,226</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278,750,929</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278,742,900</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11,721,354</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9,774,416</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reserve</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34,608</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w:t>
            </w:r>
          </w:p>
        </w:tc>
        <w:tc>
          <w:tcPr>
            <w:tcW w:w="33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(103,595,431)</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(87,568,401)</w:t>
            </w:r>
          </w:p>
        </w:tc>
      </w:tr>
      <w:tr>
        <w:trPr>
          <w:trHeight w:val="236"/>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38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190,889,746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204,953,069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7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33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122,507</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38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14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3,356,266</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2,490,572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380" w:type="dxa"/>
            <w:vAlign w:val="bottom"/>
            <w:shd w:val="clear" w:color="auto" w:fill="CFF0FC"/>
          </w:tcPr>
          <w:p>
            <w:pPr>
              <w:jc w:val="center"/>
              <w:ind w:left="1950"/>
              <w:spacing w:after="0"/>
              <w:rPr>
                <w:sz w:val="20"/>
                <w:szCs w:val="20"/>
                <w:color w:val="auto"/>
              </w:rPr>
            </w:pPr>
            <w:r>
              <w:rPr>
                <w:rFonts w:ascii="Times New Roman" w:cs="Times New Roman" w:eastAsia="Times New Roman" w:hAnsi="Times New Roman"/>
                <w:sz w:val="18"/>
                <w:szCs w:val="18"/>
                <w:color w:val="auto"/>
                <w:w w:val="99"/>
              </w:rPr>
              <w:t>15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6,533,027</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4,270,082</w:t>
            </w:r>
          </w:p>
        </w:tc>
        <w:tc>
          <w:tcPr>
            <w:tcW w:w="100" w:type="dxa"/>
            <w:vAlign w:val="bottom"/>
            <w:shd w:val="clear" w:color="auto" w:fill="CFF0F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338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88"/>
              </w:rPr>
              <w:t>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99,432</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payable</w:t>
            </w:r>
          </w:p>
        </w:tc>
        <w:tc>
          <w:tcPr>
            <w:tcW w:w="3380" w:type="dxa"/>
            <w:vAlign w:val="bottom"/>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128,714</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126,157</w:t>
            </w:r>
          </w:p>
        </w:tc>
        <w:tc>
          <w:tcPr>
            <w:tcW w:w="100" w:type="dxa"/>
            <w:vAlign w:val="bottom"/>
            <w:shd w:val="clear" w:color="auto" w:fill="CFF0FC"/>
          </w:tcPr>
          <w:p>
            <w:pPr>
              <w:spacing w:after="0"/>
              <w:rPr>
                <w:sz w:val="21"/>
                <w:szCs w:val="21"/>
                <w:color w:val="auto"/>
              </w:rPr>
            </w:pPr>
          </w:p>
        </w:tc>
      </w:tr>
      <w:tr>
        <w:trPr>
          <w:trHeight w:val="237"/>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8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10,242,346</w:t>
            </w:r>
          </w:p>
        </w:tc>
        <w:tc>
          <w:tcPr>
            <w:tcW w:w="26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7,136,995</w:t>
            </w:r>
          </w:p>
        </w:tc>
        <w:tc>
          <w:tcPr>
            <w:tcW w:w="100" w:type="dxa"/>
            <w:vAlign w:val="bottom"/>
            <w:tcBorders>
              <w:bottom w:val="single" w:sz="8" w:color="CFF0FC"/>
            </w:tcBorders>
          </w:tcPr>
          <w:p>
            <w:pPr>
              <w:spacing w:after="0"/>
              <w:rPr>
                <w:sz w:val="20"/>
                <w:szCs w:val="20"/>
                <w:color w:val="auto"/>
              </w:rPr>
            </w:pPr>
          </w:p>
        </w:tc>
      </w:tr>
      <w:tr>
        <w:trPr>
          <w:trHeight w:val="23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3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201,132,092</w:t>
            </w:r>
          </w:p>
        </w:tc>
        <w:tc>
          <w:tcPr>
            <w:tcW w:w="2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212,090,064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changes in equity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and March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Currency</w:t>
            </w: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2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Share</w:t>
            </w: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Share</w:t>
            </w:r>
          </w:p>
        </w:tc>
        <w:tc>
          <w:tcPr>
            <w:tcW w:w="13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Other</w:t>
            </w: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translation</w:t>
            </w:r>
          </w:p>
        </w:tc>
        <w:tc>
          <w:tcPr>
            <w:tcW w:w="13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Accumulated</w:t>
            </w: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Total</w:t>
            </w:r>
          </w:p>
        </w:tc>
      </w:tr>
      <w:tr>
        <w:trPr>
          <w:trHeight w:val="243"/>
        </w:trPr>
        <w:tc>
          <w:tcPr>
            <w:tcW w:w="2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capital</w:t>
            </w: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premium</w:t>
            </w:r>
          </w:p>
        </w:tc>
        <w:tc>
          <w:tcPr>
            <w:tcW w:w="13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reserves</w:t>
            </w: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reserve</w:t>
            </w:r>
          </w:p>
        </w:tc>
        <w:tc>
          <w:tcPr>
            <w:tcW w:w="13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losses</w:t>
            </w: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Equity</w:t>
            </w:r>
          </w:p>
        </w:tc>
      </w:tr>
      <w:tr>
        <w:trPr>
          <w:trHeight w:val="243"/>
        </w:trPr>
        <w:tc>
          <w:tcPr>
            <w:tcW w:w="2680" w:type="dxa"/>
            <w:vAlign w:val="bottom"/>
          </w:tcPr>
          <w:p>
            <w:pPr>
              <w:spacing w:after="0"/>
              <w:rPr>
                <w:sz w:val="21"/>
                <w:szCs w:val="21"/>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Notes</w:t>
            </w: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85"/>
              </w:rPr>
              <w:t>€</w:t>
            </w:r>
          </w:p>
        </w:tc>
      </w:tr>
      <w:tr>
        <w:trPr>
          <w:trHeight w:val="23"/>
        </w:trPr>
        <w:tc>
          <w:tcPr>
            <w:tcW w:w="2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12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235,693</w:t>
            </w:r>
          </w:p>
        </w:tc>
        <w:tc>
          <w:tcPr>
            <w:tcW w:w="11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138,034,580</w:t>
            </w:r>
          </w:p>
        </w:tc>
        <w:tc>
          <w:tcPr>
            <w:tcW w:w="130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1,979,875</w:t>
            </w:r>
          </w:p>
        </w:tc>
        <w:tc>
          <w:tcPr>
            <w:tcW w:w="12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(4,365)</w:t>
            </w:r>
          </w:p>
        </w:tc>
        <w:tc>
          <w:tcPr>
            <w:tcW w:w="132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(44,459,954)</w:t>
            </w:r>
          </w:p>
        </w:tc>
        <w:tc>
          <w:tcPr>
            <w:tcW w:w="11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95,785,829</w:t>
            </w:r>
          </w:p>
        </w:tc>
      </w:tr>
      <w:tr>
        <w:trPr>
          <w:trHeight w:val="22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200" w:type="dxa"/>
            <w:vAlign w:val="bottom"/>
          </w:tcPr>
          <w:p>
            <w:pPr>
              <w:spacing w:after="0"/>
              <w:rPr>
                <w:sz w:val="19"/>
                <w:szCs w:val="19"/>
                <w:color w:val="auto"/>
              </w:rPr>
            </w:pP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(6,042,877)</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(6,042,877)</w:t>
            </w:r>
          </w:p>
        </w:tc>
      </w:tr>
      <w:tr>
        <w:trPr>
          <w:trHeight w:val="23"/>
        </w:trPr>
        <w:tc>
          <w:tcPr>
            <w:tcW w:w="2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Increase in par value</w:t>
            </w:r>
          </w:p>
        </w:tc>
        <w:tc>
          <w:tcPr>
            <w:tcW w:w="12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2,592,621</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(2,592,621)</w:t>
            </w:r>
          </w:p>
        </w:tc>
        <w:tc>
          <w:tcPr>
            <w:tcW w:w="130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Issue of share capital</w:t>
            </w:r>
          </w:p>
        </w:tc>
        <w:tc>
          <w:tcPr>
            <w:tcW w:w="12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w:t>
            </w: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1,141,329</w:t>
            </w: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156,014,570</w:t>
            </w:r>
          </w:p>
        </w:tc>
        <w:tc>
          <w:tcPr>
            <w:tcW w:w="1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157,155,899</w:t>
            </w:r>
          </w:p>
        </w:tc>
      </w:tr>
      <w:tr>
        <w:trPr>
          <w:trHeight w:val="23"/>
        </w:trPr>
        <w:tc>
          <w:tcPr>
            <w:tcW w:w="2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Transaction costs on issue of shares</w:t>
            </w:r>
          </w:p>
        </w:tc>
        <w:tc>
          <w:tcPr>
            <w:tcW w:w="1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(13,154,360)</w:t>
            </w:r>
          </w:p>
        </w:tc>
        <w:tc>
          <w:tcPr>
            <w:tcW w:w="13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(13,154,360)</w:t>
            </w:r>
          </w:p>
        </w:tc>
      </w:tr>
      <w:tr>
        <w:trPr>
          <w:trHeight w:val="23"/>
        </w:trPr>
        <w:tc>
          <w:tcPr>
            <w:tcW w:w="26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r>
    </w:tbl>
    <w:p>
      <w:pPr>
        <w:spacing w:after="0" w:line="31" w:lineRule="exact"/>
        <w:rPr>
          <w:sz w:val="20"/>
          <w:szCs w:val="20"/>
          <w:color w:val="auto"/>
        </w:rPr>
      </w:pPr>
    </w:p>
    <w:p>
      <w:pPr>
        <w:sectPr>
          <w:pgSz w:w="11900" w:h="16838" w:orient="portrait"/>
          <w:cols w:equalWidth="0" w:num="1">
            <w:col w:w="11240"/>
          </w:cols>
          <w:pgMar w:left="320" w:top="675"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Currency translation reserve</w:t>
      </w:r>
    </w:p>
    <w:p>
      <w:pPr>
        <w:spacing w:after="0" w:line="82" w:lineRule="exact"/>
        <w:rPr>
          <w:sz w:val="20"/>
          <w:szCs w:val="20"/>
          <w:color w:val="auto"/>
        </w:rPr>
      </w:pPr>
    </w:p>
    <w:p>
      <w:pPr>
        <w:ind w:right="80"/>
        <w:spacing w:after="0" w:line="362" w:lineRule="auto"/>
        <w:rPr>
          <w:sz w:val="20"/>
          <w:szCs w:val="20"/>
          <w:color w:val="auto"/>
        </w:rPr>
      </w:pPr>
      <w:r>
        <w:rPr>
          <w:rFonts w:ascii="Times New Roman" w:cs="Times New Roman" w:eastAsia="Times New Roman" w:hAnsi="Times New Roman"/>
          <w:sz w:val="14"/>
          <w:szCs w:val="14"/>
          <w:color w:val="auto"/>
        </w:rPr>
        <w:t>Shares issued upon exercise of options or RSU's</w:t>
      </w:r>
    </w:p>
    <w:p>
      <w:pPr>
        <w:spacing w:after="0"/>
        <w:rPr>
          <w:sz w:val="20"/>
          <w:szCs w:val="20"/>
          <w:color w:val="auto"/>
        </w:rPr>
      </w:pPr>
      <w:r>
        <w:rPr>
          <w:rFonts w:ascii="Times New Roman" w:cs="Times New Roman" w:eastAsia="Times New Roman" w:hAnsi="Times New Roman"/>
          <w:sz w:val="14"/>
          <w:szCs w:val="14"/>
          <w:color w:val="auto"/>
        </w:rPr>
        <w:t>Share-based payments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14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1,249</w:t>
            </w:r>
          </w:p>
        </w:tc>
        <w:tc>
          <w:tcPr>
            <w:tcW w:w="12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365"/>
        </w:trPr>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9"/>
              </w:rPr>
              <w:t>18</w:t>
            </w:r>
          </w:p>
        </w:tc>
        <w:tc>
          <w:tcPr>
            <w:tcW w:w="14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1,709</w:t>
            </w: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(35,161)</w:t>
            </w: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(231,803)</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(265,255)</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7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9"/>
              </w:rPr>
              <w:t>18</w:t>
            </w:r>
          </w:p>
        </w:tc>
        <w:tc>
          <w:tcPr>
            <w:tcW w:w="14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2,096,610</w:t>
            </w: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-447675</wp:posOffset>
            </wp:positionV>
            <wp:extent cx="71323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2620" w:space="720"/>
            <w:col w:w="7900"/>
          </w:cols>
          <w:pgMar w:left="320" w:top="67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3,971,352</w:t>
            </w:r>
          </w:p>
        </w:tc>
        <w:tc>
          <w:tcPr>
            <w:tcW w:w="130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278,302,169</w:t>
            </w:r>
          </w:p>
        </w:tc>
        <w:tc>
          <w:tcPr>
            <w:tcW w:w="134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4,041,324</w:t>
            </w:r>
          </w:p>
        </w:tc>
        <w:tc>
          <w:tcPr>
            <w:tcW w:w="10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(3,116)</w:t>
            </w:r>
          </w:p>
        </w:tc>
        <w:tc>
          <w:tcPr>
            <w:tcW w:w="1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(50,734,634)</w:t>
            </w:r>
          </w:p>
        </w:tc>
        <w:tc>
          <w:tcPr>
            <w:tcW w:w="11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235,577,095</w:t>
            </w:r>
          </w:p>
        </w:tc>
      </w:tr>
      <w:tr>
        <w:trPr>
          <w:trHeight w:val="219"/>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140" w:type="dxa"/>
            <w:vAlign w:val="bottom"/>
          </w:tcPr>
          <w:p>
            <w:pPr>
              <w:spacing w:after="0"/>
              <w:rPr>
                <w:sz w:val="19"/>
                <w:szCs w:val="19"/>
                <w:color w:val="auto"/>
              </w:rPr>
            </w:pP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3,978,226</w:t>
            </w: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278,742,900</w:t>
            </w:r>
          </w:p>
        </w:tc>
        <w:tc>
          <w:tcPr>
            <w:tcW w:w="13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9,774,416</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25,928</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(87,568,401)</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204,953,069</w:t>
            </w:r>
          </w:p>
        </w:tc>
      </w:tr>
      <w:tr>
        <w:trPr>
          <w:trHeight w:val="23"/>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(16,027,030)</w:t>
            </w:r>
          </w:p>
        </w:tc>
        <w:tc>
          <w:tcPr>
            <w:tcW w:w="11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(16,027,030)</w:t>
            </w:r>
          </w:p>
        </w:tc>
      </w:tr>
      <w:tr>
        <w:trPr>
          <w:trHeight w:val="219"/>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Issue of share capital</w:t>
            </w: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13</w:t>
            </w: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w:t>
            </w: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8,279</w:t>
            </w:r>
          </w:p>
        </w:tc>
        <w:tc>
          <w:tcPr>
            <w:tcW w:w="13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8,339</w:t>
            </w:r>
          </w:p>
        </w:tc>
      </w:tr>
      <w:tr>
        <w:trPr>
          <w:trHeight w:val="23"/>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Transaction costs on issue of shares</w:t>
            </w:r>
          </w:p>
        </w:tc>
        <w:tc>
          <w:tcPr>
            <w:tcW w:w="1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(250)</w:t>
            </w:r>
          </w:p>
        </w:tc>
        <w:tc>
          <w:tcPr>
            <w:tcW w:w="134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r>
      <w:tr>
        <w:trPr>
          <w:trHeight w:val="219"/>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reserve</w:t>
            </w:r>
          </w:p>
        </w:tc>
        <w:tc>
          <w:tcPr>
            <w:tcW w:w="1140" w:type="dxa"/>
            <w:vAlign w:val="bottom"/>
          </w:tcPr>
          <w:p>
            <w:pPr>
              <w:spacing w:after="0"/>
              <w:rPr>
                <w:sz w:val="19"/>
                <w:szCs w:val="19"/>
                <w:color w:val="auto"/>
              </w:rPr>
            </w:pP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8,680</w:t>
            </w:r>
          </w:p>
        </w:tc>
        <w:tc>
          <w:tcPr>
            <w:tcW w:w="12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8,680</w:t>
            </w:r>
          </w:p>
        </w:tc>
      </w:tr>
      <w:tr>
        <w:trPr>
          <w:trHeight w:val="23"/>
        </w:trPr>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Share-based payments</w:t>
            </w:r>
          </w:p>
        </w:tc>
        <w:tc>
          <w:tcPr>
            <w:tcW w:w="1140" w:type="dxa"/>
            <w:vAlign w:val="bottom"/>
            <w:tcBorders>
              <w:bottom w:val="single" w:sz="8" w:color="CFF0FC"/>
            </w:tcBorders>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18</w:t>
            </w:r>
          </w:p>
        </w:tc>
        <w:tc>
          <w:tcPr>
            <w:tcW w:w="124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FF0FC"/>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1,946,938</w:t>
            </w:r>
          </w:p>
        </w:tc>
        <w:tc>
          <w:tcPr>
            <w:tcW w:w="1080" w:type="dxa"/>
            <w:vAlign w:val="bottom"/>
            <w:tcBorders>
              <w:bottom w:val="single" w:sz="8" w:color="CFF0FC"/>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1,946,938</w:t>
            </w:r>
          </w:p>
        </w:tc>
      </w:tr>
      <w:tr>
        <w:trPr>
          <w:trHeight w:val="220"/>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140" w:type="dxa"/>
            <w:vAlign w:val="bottom"/>
          </w:tcPr>
          <w:p>
            <w:pPr>
              <w:spacing w:after="0"/>
              <w:rPr>
                <w:sz w:val="19"/>
                <w:szCs w:val="19"/>
                <w:color w:val="auto"/>
              </w:rPr>
            </w:pP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3,978,286</w:t>
            </w: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278,750,929</w:t>
            </w:r>
          </w:p>
        </w:tc>
        <w:tc>
          <w:tcPr>
            <w:tcW w:w="13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11,721,354</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34,608</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(103,595,431)</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190,889,746</w:t>
            </w:r>
          </w:p>
        </w:tc>
      </w:tr>
    </w:tbl>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cash flows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Notes</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3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(15,988,315)</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(6,024,288)</w:t>
            </w: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Non-cash adjustments to reconcile loss before tax to net cash flows from operations:</w:t>
            </w: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1,946,938</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(3,436,187)</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(5,905,895)</w:t>
            </w: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 costs</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(87,040)</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receivables</w:t>
            </w:r>
          </w:p>
        </w:tc>
        <w:tc>
          <w:tcPr>
            <w:tcW w:w="1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1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(3,275,589)</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(4,463,880)</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trade and other payables</w:t>
            </w:r>
          </w:p>
        </w:tc>
        <w:tc>
          <w:tcPr>
            <w:tcW w:w="1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854,291</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3,500,664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accrued liabilities</w:t>
            </w: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1,963,578</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Paid interest</w:t>
            </w:r>
          </w:p>
        </w:tc>
        <w:tc>
          <w:tcPr>
            <w:tcW w:w="13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(50,134)</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3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vMerge w:val="continue"/>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(17,881,192)</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(10,199,606)</w:t>
            </w: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(26,372)</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3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vMerge w:val="continue"/>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(26,372)</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157,155,899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1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(102,443)</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(13,154,360)</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(16,022)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provided by financing activities</w:t>
            </w:r>
          </w:p>
        </w:tc>
        <w:tc>
          <w:tcPr>
            <w:tcW w:w="13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vMerge w:val="continue"/>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(110,126)</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144,001,539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(18,017,690)</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133,791,868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209,353,132</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98,628,871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300" w:type="dxa"/>
            <w:vAlign w:val="bottom"/>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3,439,302</w:t>
            </w:r>
          </w:p>
        </w:tc>
        <w:tc>
          <w:tcPr>
            <w:tcW w:w="260" w:type="dxa"/>
            <w:vAlign w:val="bottom"/>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5,902,838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194,774,744</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238,323,577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Notes to the unaudited condensed consolidated interim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general corporate and group information about Pharvaris N.V. and its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Corporate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 was incorporated on September 30, 2015 and is based in Leiden, the Netherlands.</w:t>
      </w:r>
    </w:p>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address of its registered office is J.H. Oortweg 21, Leiden. The Company’s registered office is located at J.H. Oortweg 21, Leiden. It has been registered at the Chamber of Commerce under file number 64239411.</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135" w:lineRule="exact"/>
        <w:rPr>
          <w:sz w:val="20"/>
          <w:szCs w:val="20"/>
          <w:color w:val="auto"/>
        </w:rPr>
      </w:pPr>
    </w:p>
    <w:p>
      <w:pPr>
        <w:jc w:val="both"/>
        <w:ind w:right="84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Pharvaris N.V. (the “Company” or “Pharvaris”) and its subsidiaries (collectively, “The Group”) as at March 31, 2022 and December 31, 2021, and for the three months ended March 31, 2022 and 2021 were authorized for issue in accordance with a resolution of the directors on May 11,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Group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Group include: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 of equity interest as</w:t>
            </w:r>
          </w:p>
        </w:tc>
      </w:tr>
      <w:tr>
        <w:trPr>
          <w:trHeight w:val="243"/>
        </w:trPr>
        <w:tc>
          <w:tcPr>
            <w:tcW w:w="3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of</w:t>
            </w:r>
          </w:p>
        </w:tc>
        <w:tc>
          <w:tcPr>
            <w:tcW w:w="1140" w:type="dxa"/>
            <w:vAlign w:val="bottom"/>
          </w:tcPr>
          <w:p>
            <w:pPr>
              <w:spacing w:after="0"/>
              <w:rPr>
                <w:sz w:val="21"/>
                <w:szCs w:val="21"/>
                <w:color w:val="auto"/>
              </w:rPr>
            </w:pPr>
          </w:p>
        </w:tc>
        <w:tc>
          <w:tcPr>
            <w:tcW w:w="23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March 31,</w:t>
            </w:r>
          </w:p>
        </w:tc>
      </w:tr>
      <w:tr>
        <w:trPr>
          <w:trHeight w:val="23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Legal seat</w:t>
            </w:r>
          </w:p>
        </w:tc>
        <w:tc>
          <w:tcPr>
            <w:tcW w:w="180" w:type="dxa"/>
            <w:vAlign w:val="bottom"/>
            <w:tcBorders>
              <w:bottom w:val="single" w:sz="8" w:color="CFF0FC"/>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180" w:type="dxa"/>
            <w:vAlign w:val="bottom"/>
            <w:tcBorders>
              <w:bottom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CFF0FC"/>
            </w:tcBorders>
          </w:tcPr>
          <w:p>
            <w:pPr>
              <w:spacing w:after="0"/>
              <w:rPr>
                <w:sz w:val="20"/>
                <w:szCs w:val="20"/>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FF0FC"/>
            </w:tcBorders>
          </w:tcPr>
          <w:p>
            <w:pPr>
              <w:spacing w:after="0"/>
              <w:rPr>
                <w:sz w:val="20"/>
                <w:szCs w:val="20"/>
                <w:color w:val="auto"/>
              </w:rPr>
            </w:pPr>
          </w:p>
        </w:tc>
      </w:tr>
      <w:tr>
        <w:trPr>
          <w:trHeight w:val="23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Pharvaris Holdings B.V.</w:t>
            </w:r>
          </w:p>
        </w:tc>
        <w:tc>
          <w:tcPr>
            <w:tcW w:w="20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Leiden</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14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0"/>
                <w:szCs w:val="20"/>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Pharvaris Netherlands B.V.</w:t>
            </w:r>
          </w:p>
        </w:tc>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Leiden</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1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r>
      <w:tr>
        <w:trPr>
          <w:trHeight w:val="24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Pharvaris GmbH</w:t>
            </w:r>
          </w:p>
        </w:tc>
        <w:tc>
          <w:tcPr>
            <w:tcW w:w="20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Zug</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4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Pharvaris, Inc.</w:t>
            </w:r>
          </w:p>
        </w:tc>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100%</w:t>
            </w:r>
          </w:p>
        </w:tc>
        <w:tc>
          <w:tcPr>
            <w:tcW w:w="2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ultimate parent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ultimate parent company of the Group is Pharvaris N.V., which is based in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Basis of preparation</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of the Group have been prepared in accordance with International Financial Reporting Standards (IFRS) as issued by the International Accounting Standards Board (IASB).</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in accordance with IAS 34 Interim Financial Reporting and should be read in conjunction with the Group’s annual consolidated financial statements for the year ended December 31, 2021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32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12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Going concern</w:t>
      </w:r>
    </w:p>
    <w:p>
      <w:pPr>
        <w:spacing w:after="0" w:line="20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This makes the Group dependent on external capital sources, debt capital and equity capital. The Group is currently funded to date wholly with equity capital.</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Group had cash of €194.8 million and €209.4 million, respectively. The Group incurred net losses of €16.0 million in the three months ended March 31, 2022 and €6.0 million in the same period in 2021 and negative operating cash flows of €17.9 million and €10.2 million in the three months ended March 31, 2022 and the three months ended March 31, 2021 respectively.</w:t>
      </w:r>
    </w:p>
    <w:p>
      <w:pPr>
        <w:spacing w:after="0" w:line="1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Group does not expect positive operating cash flows in the foreseeable future and remains dependent on additional financing to fund its research and development expenses, general and administrative expenses and financing costs. However, the Group believes that the available cash balances are sufficient to execute the Group’s operating plan and strategies and to meet the anticipated working capital requirements and settle all expected liabilities into the first quarter of 2024. Accordingly, unaudited condensed consolidated interim financial statements have been prepared on a going concern basis.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COVID-19 outbreak spread globally and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Group has taken steps to identify and mitigate the adverse effects and risks to it as a result of the pandemic. The Group has modified its business practices, including implementing work from home arrangements for employees able to perform their duties remotely, restricting non-essential travel, and practicing safe social distancing in our operations. The Group expects to continue to take actions as may be required or recommended by government authorities or in the best interests of its employees and business partners. While the impact of COVID-19 on the Group’s operations and financial performance has so far been limited, the extent to which COVID-19 may impact its financial condition or results of operations in the future is uncertain. For instance, the ongoing spread of variants of the COVID-19 virus may continue to interrupt, or delay, the Group’s clinical trial activities, regulatory reviews, manufacturing activities and supply chain.</w:t>
      </w:r>
    </w:p>
    <w:p>
      <w:pPr>
        <w:spacing w:after="0" w:line="14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COVID-19 outbreak delayed, and may continue to delay, enrollment in the Group’s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the Company experienced an approximate two-month delay in starting the enrollment of its now completed Phase 1 multiple ascending dose study of PHA121 in healthy volunteers as a result of COVID-19. In addition, even with the Group’s distributed operations, employee vaccinations and its observation of social distancing measures, there remains the possibility that key personnel may become ill or are otherwise unable to work, which could affect the Group’s operations.</w:t>
      </w:r>
    </w:p>
    <w:p>
      <w:pPr>
        <w:spacing w:after="0" w:line="3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the spread of the virus may affect the operations of key governmental agencies, such as the FDA, which may delay the development of the Company’s product candidates. The spread of an infectious disease, including COVID-19 may also result in the inability of the Group’s suppliers to deliver components or raw materials, and the inability of the Group’s CDMOs to provide supplies of our product candidates for the Group’s planned clinical trials, on a timely basis or at all. Further, an infectious disease. including COVID-19 may also impact the ability of the Group’s CROs, including nonclinical CROs, to provide services to support the Group’s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the Group’s clinical trials, any of which could materially affect the Group’s business, financial condition and results of operations.</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impacts the Group’s business will depend on future developments, which are uncertain and cannot be predicted, including amongst other things, new information which may emerge concerning the severity of the COVID-19 pandemic and the actions to contain COVID-19 or treat its impact, including among other things the effectiveness and outreach of COVID-19 vaccines. If the Group is unable to meet its milestones it might jeopardize our funding opportunities.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Use of judgements and estimates</w:t>
      </w:r>
    </w:p>
    <w:p>
      <w:pPr>
        <w:spacing w:after="0" w:line="18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3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Group’s accounting policies and the key sources of estimation uncertainty were the same as those described in the last annual financial statements.</w:t>
      </w:r>
    </w:p>
    <w:p>
      <w:pPr>
        <w:spacing w:after="0" w:line="1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2.4 Change in significant accounting policies</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accounting policies applied in these unaudited condensed consolidated interim financial statements are the same as those applied in the consolidated financial statements for the year ended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Research and development expenses</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6"/>
        </w:trPr>
        <w:tc>
          <w:tcPr>
            <w:tcW w:w="7240" w:type="dxa"/>
            <w:vAlign w:val="bottom"/>
          </w:tcPr>
          <w:p>
            <w:pPr>
              <w:spacing w:after="0"/>
              <w:rPr>
                <w:sz w:val="24"/>
                <w:szCs w:val="24"/>
                <w:color w:val="auto"/>
              </w:rPr>
            </w:pPr>
          </w:p>
        </w:tc>
        <w:tc>
          <w:tcPr>
            <w:tcW w:w="40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7240" w:type="dxa"/>
            <w:vAlign w:val="bottom"/>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r>
      <w:tr>
        <w:trPr>
          <w:trHeight w:val="237"/>
        </w:trPr>
        <w:tc>
          <w:tcPr>
            <w:tcW w:w="7240" w:type="dxa"/>
            <w:vAlign w:val="bottom"/>
          </w:tcPr>
          <w:p>
            <w:pPr>
              <w:spacing w:after="0"/>
              <w:rPr>
                <w:sz w:val="20"/>
                <w:szCs w:val="20"/>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(Note 5)</w:t>
            </w:r>
          </w:p>
        </w:tc>
        <w:tc>
          <w:tcPr>
            <w:tcW w:w="2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(2,529,171)</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(2,008,496)</w:t>
            </w:r>
          </w:p>
        </w:tc>
      </w:tr>
      <w:tr>
        <w:trPr>
          <w:trHeight w:val="24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(6,566,065)</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(3,265,702)</w:t>
            </w:r>
          </w:p>
        </w:tc>
      </w:tr>
      <w:tr>
        <w:trPr>
          <w:trHeight w:val="24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2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(816,125)</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(962,053)</w:t>
            </w:r>
          </w:p>
        </w:tc>
      </w:tr>
      <w:tr>
        <w:trPr>
          <w:trHeight w:val="24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(3,464,524)</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(1,318,192)</w:t>
            </w:r>
          </w:p>
        </w:tc>
      </w:tr>
      <w:tr>
        <w:trPr>
          <w:trHeight w:val="24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costs</w:t>
            </w:r>
          </w:p>
        </w:tc>
        <w:tc>
          <w:tcPr>
            <w:tcW w:w="2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(138,603)</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(17,008)</w:t>
            </w:r>
          </w:p>
        </w:tc>
      </w:tr>
      <w:tr>
        <w:trPr>
          <w:trHeight w:val="20"/>
        </w:trPr>
        <w:tc>
          <w:tcPr>
            <w:tcW w:w="72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240" w:type="dxa"/>
            <w:vAlign w:val="bottom"/>
          </w:tcPr>
          <w:p>
            <w:pPr>
              <w:spacing w:after="0"/>
              <w:rPr>
                <w:sz w:val="20"/>
                <w:szCs w:val="20"/>
                <w:color w:val="auto"/>
              </w:rPr>
            </w:pP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(13,514,488)</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(8,071,451)</w:t>
            </w:r>
          </w:p>
        </w:tc>
      </w:tr>
      <w:tr>
        <w:trPr>
          <w:trHeight w:val="20"/>
        </w:trPr>
        <w:tc>
          <w:tcPr>
            <w:tcW w:w="72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Nonclinical expenses include costs of our outsourced discovery, preclinical and nonclinical development studies.</w:t>
      </w:r>
    </w:p>
    <w:p>
      <w:pPr>
        <w:spacing w:after="0" w:line="239"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8"/>
          <w:szCs w:val="18"/>
          <w:color w:val="auto"/>
        </w:rPr>
        <w:t>Manufacturing expenses include costs related to manufacturing of active pharmaceutical ingredients and manufacturing of the products used in our clinical trials and research and development activities.</w:t>
      </w:r>
    </w:p>
    <w:p>
      <w:pPr>
        <w:spacing w:after="0" w:line="9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License costs during the period ended March 31, 2021 consist of a milestone payment of €500,000 which was paid to AnalytiCon upon commencement of Phase 2 development.</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General and administrative expenses</w:t>
            </w:r>
          </w:p>
        </w:tc>
        <w:tc>
          <w:tcPr>
            <w:tcW w:w="2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(Note 5)</w:t>
            </w:r>
          </w:p>
        </w:tc>
        <w:tc>
          <w:tcPr>
            <w:tcW w:w="4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(2,444,883)</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(1,241,065)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(177,912)</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(884,000)</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(807,913)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Accounting, tax and auditing fees</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(304,498)</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communication &amp; office expenses</w:t>
            </w:r>
          </w:p>
        </w:tc>
        <w:tc>
          <w:tcPr>
            <w:tcW w:w="48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(1,628,098)</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(951,581)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(143,754)</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2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(281,861)</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(102,893)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(5,865,006)</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(3,771,693)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20" w:type="dxa"/>
            <w:vAlign w:val="bottom"/>
            <w:vMerge w:val="restart"/>
          </w:tcPr>
          <w:p>
            <w:pPr>
              <w:jc w:val="right"/>
              <w:ind w:right="1470"/>
              <w:spacing w:after="0"/>
              <w:rPr>
                <w:sz w:val="20"/>
                <w:szCs w:val="20"/>
                <w:color w:val="auto"/>
              </w:rPr>
            </w:pPr>
            <w:r>
              <w:rPr>
                <w:rFonts w:ascii="Calibri" w:cs="Calibri" w:eastAsia="Calibri" w:hAnsi="Calibri"/>
                <w:sz w:val="18"/>
                <w:szCs w:val="18"/>
                <w:color w:val="auto"/>
              </w:rPr>
              <w:t>10</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4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460" w:type="dxa"/>
            <w:vAlign w:val="bottom"/>
            <w:tcBorders>
              <w:bottom w:val="single" w:sz="8" w:color="9A9A9A"/>
            </w:tcBorders>
          </w:tcPr>
          <w:p>
            <w:pPr>
              <w:spacing w:after="0"/>
              <w:rPr>
                <w:sz w:val="12"/>
                <w:szCs w:val="12"/>
                <w:color w:val="auto"/>
              </w:rPr>
            </w:pPr>
          </w:p>
        </w:tc>
        <w:tc>
          <w:tcPr>
            <w:tcW w:w="282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30" w:right="319" w:bottom="1440" w:gutter="0" w:footer="0" w:header="0"/>
        </w:sectPr>
      </w:pPr>
    </w:p>
    <w:bookmarkStart w:id="29" w:name="page30"/>
    <w:bookmarkEnd w:id="29"/>
    <w:p>
      <w:pPr>
        <w:ind w:right="120"/>
        <w:spacing w:after="0" w:line="257" w:lineRule="auto"/>
        <w:rPr>
          <w:sz w:val="20"/>
          <w:szCs w:val="20"/>
          <w:color w:val="auto"/>
        </w:rPr>
      </w:pPr>
      <w:r>
        <w:rPr>
          <w:rFonts w:ascii="Times New Roman" w:cs="Times New Roman" w:eastAsia="Times New Roman" w:hAnsi="Times New Roman"/>
          <w:sz w:val="18"/>
          <w:szCs w:val="18"/>
          <w:color w:val="auto"/>
        </w:rPr>
        <w:t>In 2021 the Group entered into a number of lease arrangements, which were assessed to be short-term leases (with a lease term of 12 months equaling its non-cancellable period). The total outflow for the leases in the first three months of 2022 was €63,122 (2021: €42,652) and is included in the Facilities, communication &amp; office expenses line.</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Depreciation expense in the first three months of 2022 was €32,850 (2021: €3,061), which related to property, plant and equipment and leases and is included in the other expenses line.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Personnel expenses</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020" w:type="dxa"/>
            <w:vAlign w:val="bottom"/>
          </w:tcPr>
          <w:p>
            <w:pPr>
              <w:spacing w:after="0"/>
              <w:rPr>
                <w:sz w:val="24"/>
                <w:szCs w:val="24"/>
                <w:color w:val="auto"/>
              </w:rPr>
            </w:pPr>
          </w:p>
        </w:tc>
        <w:tc>
          <w:tcPr>
            <w:tcW w:w="5040" w:type="dxa"/>
            <w:vAlign w:val="bottom"/>
            <w:gridSpan w:val="4"/>
          </w:tcPr>
          <w:p>
            <w:pPr>
              <w:jc w:val="right"/>
              <w:ind w:right="116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6020" w:type="dxa"/>
            <w:vAlign w:val="bottom"/>
          </w:tcPr>
          <w:p>
            <w:pPr>
              <w:spacing w:after="0"/>
              <w:rPr>
                <w:sz w:val="20"/>
                <w:szCs w:val="20"/>
                <w:color w:val="auto"/>
              </w:rPr>
            </w:pPr>
          </w:p>
        </w:tc>
        <w:tc>
          <w:tcPr>
            <w:tcW w:w="232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tcBorders>
          </w:tcPr>
          <w:p>
            <w:pPr>
              <w:spacing w:after="0"/>
              <w:rPr>
                <w:sz w:val="20"/>
                <w:szCs w:val="20"/>
                <w:color w:val="auto"/>
              </w:rPr>
            </w:pPr>
          </w:p>
        </w:tc>
        <w:tc>
          <w:tcPr>
            <w:tcW w:w="234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37"/>
        </w:trPr>
        <w:tc>
          <w:tcPr>
            <w:tcW w:w="6020" w:type="dxa"/>
            <w:vAlign w:val="bottom"/>
          </w:tcPr>
          <w:p>
            <w:pPr>
              <w:spacing w:after="0"/>
              <w:rPr>
                <w:sz w:val="20"/>
                <w:szCs w:val="20"/>
                <w:color w:val="auto"/>
              </w:rPr>
            </w:pPr>
          </w:p>
        </w:tc>
        <w:tc>
          <w:tcPr>
            <w:tcW w:w="2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2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(2,565,583)</w:t>
            </w:r>
          </w:p>
        </w:tc>
        <w:tc>
          <w:tcPr>
            <w:tcW w:w="2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(1,011,675)</w:t>
            </w: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Pension charges</w:t>
            </w:r>
          </w:p>
        </w:tc>
        <w:tc>
          <w:tcPr>
            <w:tcW w:w="2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(178,544)</w:t>
            </w:r>
          </w:p>
        </w:tc>
        <w:tc>
          <w:tcPr>
            <w:tcW w:w="2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(29,962)</w:t>
            </w:r>
          </w:p>
        </w:tc>
      </w:tr>
      <w:tr>
        <w:trPr>
          <w:trHeight w:val="24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social security charges</w:t>
            </w:r>
          </w:p>
        </w:tc>
        <w:tc>
          <w:tcPr>
            <w:tcW w:w="2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(282,989)</w:t>
            </w:r>
          </w:p>
        </w:tc>
        <w:tc>
          <w:tcPr>
            <w:tcW w:w="2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(111,314)</w:t>
            </w: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(1,946,938)</w:t>
            </w:r>
          </w:p>
        </w:tc>
        <w:tc>
          <w:tcPr>
            <w:tcW w:w="2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(2,096,610)</w:t>
            </w:r>
          </w:p>
        </w:tc>
      </w:tr>
      <w:tr>
        <w:trPr>
          <w:trHeight w:val="20"/>
        </w:trPr>
        <w:tc>
          <w:tcPr>
            <w:tcW w:w="6020" w:type="dxa"/>
            <w:vAlign w:val="bottom"/>
            <w:shd w:val="clear" w:color="auto" w:fill="CFF0FC"/>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02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(4,974,054)</w:t>
            </w:r>
          </w:p>
        </w:tc>
        <w:tc>
          <w:tcPr>
            <w:tcW w:w="2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(3,249,561)</w:t>
            </w:r>
          </w:p>
        </w:tc>
      </w:tr>
      <w:tr>
        <w:trPr>
          <w:trHeight w:val="20"/>
        </w:trPr>
        <w:tc>
          <w:tcPr>
            <w:tcW w:w="602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number of staff (in FTEs) employed by the Group in the three months ended March 31, 2022 was 41 (2021:14).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Finance income/(expense)</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740" w:type="dxa"/>
            <w:vAlign w:val="bottom"/>
          </w:tcPr>
          <w:p>
            <w:pPr>
              <w:spacing w:after="0"/>
              <w:rPr>
                <w:sz w:val="24"/>
                <w:szCs w:val="24"/>
                <w:color w:val="auto"/>
              </w:rPr>
            </w:pPr>
          </w:p>
        </w:tc>
        <w:tc>
          <w:tcPr>
            <w:tcW w:w="35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774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r>
      <w:tr>
        <w:trPr>
          <w:trHeight w:val="237"/>
        </w:trPr>
        <w:tc>
          <w:tcPr>
            <w:tcW w:w="7740" w:type="dxa"/>
            <w:vAlign w:val="bottom"/>
          </w:tcPr>
          <w:p>
            <w:pPr>
              <w:spacing w:after="0"/>
              <w:rPr>
                <w:sz w:val="20"/>
                <w:szCs w:val="20"/>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3,436,187</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5,905,896</w:t>
            </w:r>
          </w:p>
        </w:tc>
        <w:tc>
          <w:tcPr>
            <w:tcW w:w="12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over bank balances</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(45,060)</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(82,212)</w:t>
            </w:r>
          </w:p>
        </w:tc>
      </w:tr>
      <w:tr>
        <w:trPr>
          <w:trHeight w:val="24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(4,828)</w:t>
            </w:r>
          </w:p>
        </w:tc>
      </w:tr>
      <w:tr>
        <w:trPr>
          <w:trHeight w:val="237"/>
        </w:trPr>
        <w:tc>
          <w:tcPr>
            <w:tcW w:w="774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3,391,179</w:t>
            </w:r>
          </w:p>
        </w:tc>
        <w:tc>
          <w:tcPr>
            <w:tcW w:w="26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5,818,856</w:t>
            </w:r>
          </w:p>
        </w:tc>
        <w:tc>
          <w:tcPr>
            <w:tcW w:w="12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3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 year basis (P&amp;L) and subsequently allocated using the expected full year effective tax rate. The one-off items are recognized in full in the interim period in which they emerge. In the total interim tax charge, no distinction is made between current and deferred tax expenses/income.</w:t>
      </w: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776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r>
      <w:tr>
        <w:trPr>
          <w:trHeight w:val="237"/>
        </w:trPr>
        <w:tc>
          <w:tcPr>
            <w:tcW w:w="776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(38,715)</w:t>
            </w:r>
          </w:p>
        </w:tc>
        <w:tc>
          <w:tcPr>
            <w:tcW w:w="18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(18,589)</w:t>
            </w:r>
          </w:p>
        </w:tc>
      </w:tr>
      <w:tr>
        <w:trPr>
          <w:trHeight w:val="20"/>
        </w:trPr>
        <w:tc>
          <w:tcPr>
            <w:tcW w:w="77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6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(38,715)</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(18,589)</w:t>
            </w:r>
          </w:p>
        </w:tc>
      </w:tr>
      <w:tr>
        <w:trPr>
          <w:trHeight w:val="20"/>
        </w:trPr>
        <w:tc>
          <w:tcPr>
            <w:tcW w:w="77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tax expenses over the three months ended March 31, 2022 relate to the utilisation of the deferred tax asset (DTA) as a result of a temporary difference which occurred in the Company's US subsidiary.</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Reconciliation of income tax benefit at statutory tax rate and the income tax expense as reported in the unaudited condensed consolidated statement of profit or loss and other comprehensive income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3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79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36"/>
        </w:trPr>
        <w:tc>
          <w:tcPr>
            <w:tcW w:w="790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Income/(loss) before income tax</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(15,988,315)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(6,024,288)</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against statutory rate in The Netherlands (25.8%)</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(4,124,985)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(1,506,072)</w:t>
            </w:r>
          </w:p>
        </w:tc>
      </w:tr>
      <w:tr>
        <w:trPr>
          <w:trHeight w:val="24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tax rates in other countries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2,806,044</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2,011,488</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differences for which no deferred tax assets/liabilities have been recognized</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(22,049)</w:t>
            </w:r>
          </w:p>
        </w:tc>
      </w:tr>
      <w:tr>
        <w:trPr>
          <w:trHeight w:val="243"/>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105,366</w:t>
            </w:r>
          </w:p>
        </w:tc>
        <w:tc>
          <w:tcPr>
            <w:tcW w:w="2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(95,538)</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losses for which no deferred tax asset has been recognized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1,252,290</w:t>
            </w:r>
          </w:p>
        </w:tc>
        <w:tc>
          <w:tcPr>
            <w:tcW w:w="28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(369,240)</w:t>
            </w:r>
          </w:p>
        </w:tc>
      </w:tr>
      <w:tr>
        <w:trPr>
          <w:trHeight w:val="237"/>
        </w:trPr>
        <w:tc>
          <w:tcPr>
            <w:tcW w:w="7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tax charge</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38,715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right="100"/>
        <w:spacing w:after="0" w:line="250" w:lineRule="auto"/>
        <w:rPr>
          <w:sz w:val="20"/>
          <w:szCs w:val="20"/>
          <w:color w:val="auto"/>
        </w:rPr>
      </w:pPr>
      <w:r>
        <w:rPr>
          <w:rFonts w:ascii="Times New Roman" w:cs="Times New Roman" w:eastAsia="Times New Roman" w:hAnsi="Times New Roman"/>
          <w:sz w:val="18"/>
          <w:szCs w:val="18"/>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for the applicable statutory tax rate.</w:t>
      </w:r>
    </w:p>
    <w:p>
      <w:pPr>
        <w:spacing w:after="0" w:line="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The estimated average annual tax rate used for the three months ended March 31, 2022 is 0.2%, compared to 0.3% for the three months ended March 31, 2021. For the three months ended March 31, 2022 and 2021 no discrete items are applicable. Hence, tax expense is in line with estimated effective tax rate. The effect of current period losses for which no DTA has been recognized includes the offsetting effect from the derecognition of losses reported through equity/ consolidated statement of profit or loss and other comprehensive income.</w:t>
      </w:r>
    </w:p>
    <w:p>
      <w:pPr>
        <w:spacing w:after="0" w:line="188"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The differences in the overseas tax rates are due to the lower tax rate in Switzerland and the higher tax rate in the USA compared to the statutory income tax rate in the Netherlands.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 is the head of the fiscal unity including Pharvaris Netherlands B.V. and Pharvaris Holdings B.V.</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Deferred tax assets relating to losses carried forward have not been recognized, and deferred tax assets on deductible temporary differences in excess of deferred tax liabilities on taxable temporary differences have neither been recognized in the unaudited condensed consolidated statement of profit or loss and other comprehensive income nor in the unaudited condensed consolidated statement of financial position.</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4"/>
        </w:trPr>
        <w:tc>
          <w:tcPr>
            <w:tcW w:w="772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Office</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8"/>
        </w:trPr>
        <w:tc>
          <w:tcPr>
            <w:tcW w:w="772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21"/>
                <w:szCs w:val="21"/>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108,099</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26,372</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26,372</w:t>
            </w: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(7,544)</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(7,544)</w:t>
            </w:r>
          </w:p>
        </w:tc>
      </w:tr>
      <w:tr>
        <w:trPr>
          <w:trHeight w:val="27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126,927</w:t>
            </w:r>
          </w:p>
        </w:tc>
        <w:tc>
          <w:tcPr>
            <w:tcW w:w="300" w:type="dxa"/>
            <w:vAlign w:val="bottom"/>
            <w:tcBorders>
              <w:bottom w:val="single" w:sz="8" w:color="CFF0FC"/>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126,927</w:t>
            </w:r>
          </w:p>
        </w:tc>
        <w:tc>
          <w:tcPr>
            <w:tcW w:w="120" w:type="dxa"/>
            <w:vAlign w:val="bottom"/>
            <w:tcBorders>
              <w:bottom w:val="single" w:sz="8" w:color="CFF0FC"/>
            </w:tcBorders>
          </w:tcPr>
          <w:p>
            <w:pPr>
              <w:spacing w:after="0"/>
              <w:rPr>
                <w:sz w:val="24"/>
                <w:szCs w:val="24"/>
                <w:color w:val="auto"/>
              </w:rPr>
            </w:pPr>
          </w:p>
        </w:tc>
      </w:tr>
      <w:tr>
        <w:trPr>
          <w:trHeight w:val="223"/>
        </w:trPr>
        <w:tc>
          <w:tcPr>
            <w:tcW w:w="77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161,076</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161,076</w:t>
            </w:r>
          </w:p>
        </w:tc>
        <w:tc>
          <w:tcPr>
            <w:tcW w:w="120" w:type="dxa"/>
            <w:vAlign w:val="bottom"/>
            <w:shd w:val="clear" w:color="auto" w:fill="CFF0FC"/>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(34,149)</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(34,149)</w:t>
            </w:r>
          </w:p>
        </w:tc>
      </w:tr>
      <w:tr>
        <w:trPr>
          <w:trHeight w:val="236"/>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126,927</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126,927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Group acquired assets with a cost of €26,372 (December 31, 2021: €78,251). The acquisitions were mainly related to equipment, tools and installations.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243,251</w:t>
            </w:r>
          </w:p>
        </w:tc>
        <w:tc>
          <w:tcPr>
            <w:tcW w:w="2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3460" w:type="dxa"/>
            <w:vAlign w:val="bottom"/>
          </w:tcPr>
          <w:p>
            <w:pPr>
              <w:spacing w:after="0"/>
              <w:rPr>
                <w:sz w:val="21"/>
                <w:szCs w:val="21"/>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charges</w:t>
            </w:r>
          </w:p>
        </w:tc>
        <w:tc>
          <w:tcPr>
            <w:tcW w:w="5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(25,306)</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Impact of transaction of foreign currency</w:t>
            </w:r>
          </w:p>
        </w:tc>
        <w:tc>
          <w:tcPr>
            <w:tcW w:w="346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8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222,759</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60" w:type="dxa"/>
            <w:vAlign w:val="bottom"/>
            <w:vMerge w:val="restart"/>
          </w:tcPr>
          <w:p>
            <w:pPr>
              <w:jc w:val="right"/>
              <w:ind w:right="1970"/>
              <w:spacing w:after="0"/>
              <w:rPr>
                <w:sz w:val="20"/>
                <w:szCs w:val="20"/>
                <w:color w:val="auto"/>
              </w:rPr>
            </w:pPr>
            <w:r>
              <w:rPr>
                <w:rFonts w:ascii="Calibri" w:cs="Calibri" w:eastAsia="Calibri" w:hAnsi="Calibri"/>
                <w:sz w:val="18"/>
                <w:szCs w:val="18"/>
                <w:color w:val="auto"/>
              </w:rPr>
              <w:t>13</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3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320" w:type="dxa"/>
            <w:vAlign w:val="bottom"/>
            <w:tcBorders>
              <w:bottom w:val="single" w:sz="8" w:color="9A9A9A"/>
            </w:tcBorders>
          </w:tcPr>
          <w:p>
            <w:pPr>
              <w:spacing w:after="0"/>
              <w:rPr>
                <w:sz w:val="12"/>
                <w:szCs w:val="12"/>
                <w:color w:val="auto"/>
              </w:rPr>
            </w:pPr>
          </w:p>
        </w:tc>
        <w:tc>
          <w:tcPr>
            <w:tcW w:w="34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995"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 at March 31, 2022:</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0"/>
        </w:trPr>
        <w:tc>
          <w:tcPr>
            <w:tcW w:w="7780" w:type="dxa"/>
            <w:vAlign w:val="bottom"/>
          </w:tcPr>
          <w:p>
            <w:pPr>
              <w:spacing w:after="0"/>
              <w:rPr>
                <w:sz w:val="24"/>
                <w:szCs w:val="24"/>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77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3"/>
        </w:trPr>
        <w:tc>
          <w:tcPr>
            <w:tcW w:w="7780" w:type="dxa"/>
            <w:vAlign w:val="bottom"/>
          </w:tcPr>
          <w:p>
            <w:pPr>
              <w:spacing w:after="0"/>
              <w:rPr>
                <w:sz w:val="21"/>
                <w:szCs w:val="21"/>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lease</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(224,339)</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(250,184)</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(224,339)</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(250,184)</w:t>
            </w:r>
          </w:p>
        </w:tc>
      </w:tr>
      <w:tr>
        <w:trPr>
          <w:trHeight w:val="24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(101,832)</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(99,432)</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(122,507)</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(150,752)</w:t>
            </w:r>
          </w:p>
        </w:tc>
      </w:tr>
      <w:tr>
        <w:trPr>
          <w:trHeight w:val="20"/>
        </w:trPr>
        <w:tc>
          <w:tcPr>
            <w:tcW w:w="7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lease agreement started on June 1, 2021 and has a lease term of three years. The average incremental borrowing rate applied to the lease liabilities was 2.91% during the three months ended March 31, 2022 (2021: 3.12%). Cash outflows related to leases during the three months ended March 31, 2022 and 2021 were €16,022 and €0, respectively.</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Receivables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March 31</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662,373</w:t>
            </w:r>
          </w:p>
        </w:tc>
        <w:tc>
          <w:tcPr>
            <w:tcW w:w="300" w:type="dxa"/>
            <w:vAlign w:val="bottom"/>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669,014</w:t>
            </w:r>
          </w:p>
        </w:tc>
        <w:tc>
          <w:tcPr>
            <w:tcW w:w="3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4"/>
                <w:szCs w:val="24"/>
                <w:color w:val="auto"/>
              </w:rPr>
            </w:pP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March 31</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4,760,906</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1,507,753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441,096</w:t>
            </w:r>
          </w:p>
        </w:tc>
        <w:tc>
          <w:tcPr>
            <w:tcW w:w="30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5,202,002</w:t>
            </w:r>
          </w:p>
        </w:tc>
        <w:tc>
          <w:tcPr>
            <w:tcW w:w="30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1,513,452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mainly relate to prepaid insurance, sign-on bonus to personnel, prepaid R&amp;D expenses and rent.</w:t>
      </w:r>
    </w:p>
    <w:p>
      <w:pPr>
        <w:spacing w:after="0" w:line="2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assets mainly consist of deferred transaction costs related to Group’s in-process equity financing. The company defers the transaction costs related to any in-process financing. Upon recognition of the equity instruments, the related transaction costs are deducted from share premium.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Cash and 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comprise of cash in bank and are not subject to any restriction.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On March 31, 2022, the Company’s authorized share capital amounted to €14,100,000 divided into 58,750,000 ordinary shares and 58,750,000 preferred shares, each with a nominal value of €0.12. In March 2022, the</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440"/>
        <w:spacing w:after="0" w:line="266" w:lineRule="auto"/>
        <w:rPr>
          <w:sz w:val="20"/>
          <w:szCs w:val="20"/>
          <w:color w:val="auto"/>
        </w:rPr>
      </w:pPr>
      <w:r>
        <w:rPr>
          <w:rFonts w:ascii="Times New Roman" w:cs="Times New Roman" w:eastAsia="Times New Roman" w:hAnsi="Times New Roman"/>
          <w:sz w:val="18"/>
          <w:szCs w:val="18"/>
          <w:color w:val="auto"/>
        </w:rPr>
        <w:t>Company filed a Form F-3 Registration Statement and prospectus with the Securities and Exchange Commission relating to an at-the-market program providing for the sales from time to time of up to $75,000,000 of its ordinary shares pursuant to a Sales Agreement with SVB Leerink LLC. As of March 31, 2022, the Company had issued 500 ordinary shares resulting in €8,339 in gross proceeds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March 31, 2022, the total number of issued shares was 33,152,381 (2021: 33,151,881). On March 31, 2022, the issued share capital totalled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€3,978,286 (2021: €3,971,352).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hold the right to one vote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Issued shares</w:t>
            </w: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Number of shares</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Number of shares</w:t>
            </w:r>
          </w:p>
        </w:tc>
        <w:tc>
          <w:tcPr>
            <w:tcW w:w="0" w:type="dxa"/>
            <w:vAlign w:val="bottom"/>
          </w:tcPr>
          <w:p>
            <w:pPr>
              <w:spacing w:after="0"/>
              <w:rPr>
                <w:sz w:val="1"/>
                <w:szCs w:val="1"/>
                <w:color w:val="auto"/>
              </w:rPr>
            </w:pPr>
          </w:p>
        </w:tc>
      </w:tr>
      <w:tr>
        <w:trPr>
          <w:trHeight w:val="236"/>
        </w:trPr>
        <w:tc>
          <w:tcPr>
            <w:tcW w:w="7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33,152,381</w:t>
            </w: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33,151,881</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33,152,381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33,151,881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Trade and other payables</w:t>
            </w: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7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2,854,098</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2,125,511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and social security liabilities</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502,168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365,061</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3,356,266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2,490,572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Accrued liabilities</w:t>
            </w: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March 31</w:t>
            </w: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professional and audit liability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937,863</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786,116</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accrued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1,342,760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accrued liabilities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2,882,003</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1,231,514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accrued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accruals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1,023,879</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1,459,162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6,533,027</w:t>
            </w: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4,270,083</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Risk management activities</w:t>
      </w:r>
    </w:p>
    <w:p>
      <w:pPr>
        <w:spacing w:after="0" w:line="31" w:lineRule="exact"/>
        <w:rPr>
          <w:sz w:val="20"/>
          <w:szCs w:val="20"/>
          <w:color w:val="auto"/>
        </w:rPr>
      </w:pPr>
    </w:p>
    <w:p>
      <w:pPr>
        <w:ind w:right="1020"/>
        <w:spacing w:after="0" w:line="260" w:lineRule="auto"/>
        <w:rPr>
          <w:sz w:val="20"/>
          <w:szCs w:val="20"/>
          <w:color w:val="auto"/>
        </w:rPr>
      </w:pPr>
      <w:r>
        <w:rPr>
          <w:rFonts w:ascii="Times New Roman" w:cs="Times New Roman" w:eastAsia="Times New Roman" w:hAnsi="Times New Roman"/>
          <w:sz w:val="18"/>
          <w:szCs w:val="18"/>
          <w:color w:val="auto"/>
        </w:rPr>
        <w:t>The Group’s risk management activities are the same as disclosed in note 17 of the consolidated financial statements for the year ended December 31, 2021.</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17. Fair values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Share-based payments</w:t>
      </w:r>
    </w:p>
    <w:p>
      <w:pPr>
        <w:spacing w:after="0" w:line="3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is an overview of changes in the Stock Options and Restricted Stock Units (“RSUs”) during the three months ended March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Weighted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average</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25"/>
        </w:trPr>
        <w:tc>
          <w:tcPr>
            <w:tcW w:w="58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exercise</w:t>
            </w:r>
          </w:p>
        </w:tc>
        <w:tc>
          <w:tcPr>
            <w:tcW w:w="1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purchase</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options</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price</w:t>
            </w:r>
          </w:p>
        </w:tc>
        <w:tc>
          <w:tcPr>
            <w:tcW w:w="24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RSUs</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price</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2,470,295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2,540,295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330,489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 2022, a total of 70,000 stock options were granted to members of the Board of Directors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 total of 70,775 RSUs were granted to employees that joined the Group in the same period. The RSUs shall vest equally over a four-year period on each of the four anniversaries of the vesting start date until either the RSUs are fully vested or the RSUs holders’ continuous service terminates.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RSUs is determined based on the share value per ordinary share at the grant date (or at the first trading day after the grant date if the Nasdaq Stock Exchange is not open on this date). The grant dates were January 1, 2022, February 1, 2022 and March 1, 2022. The share closing price was $16.41, $17.00 and $18.47 at January 3, 2022, February 1, 2022 and March 1, 2022, respectively.</w:t>
      </w:r>
    </w:p>
    <w:p>
      <w:pPr>
        <w:spacing w:after="0" w:line="13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Group recognized €1,946,938 of share-based payment expense in the unaudited condensed consolidated statement of income or loss and other comprehensive income (three months ended March 31, 2021: €2,096,610).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 total number of 524,906 stock options are exercisable (March 31, 2021: nil).</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inputs used in the measurement of the fair value per option at each grant/ measurement date using the Black-Scholes formula (including the related number of options and the fair value of the options) were as follows:</w:t>
      </w:r>
    </w:p>
    <w:p>
      <w:pPr>
        <w:spacing w:after="0" w:line="1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5" w:name="page36"/>
    <w:bookmarkEnd w:id="35"/>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options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options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ordinary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volatility (%)</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life (years)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 (%)</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2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January 1,</w:t>
            </w:r>
          </w:p>
        </w:tc>
      </w:tr>
      <w:tr>
        <w:trPr>
          <w:trHeight w:val="241"/>
        </w:trPr>
        <w:tc>
          <w:tcPr>
            <w:tcW w:w="5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2022</w:t>
            </w:r>
          </w:p>
        </w:tc>
      </w:tr>
      <w:tr>
        <w:trPr>
          <w:trHeight w:val="243"/>
        </w:trPr>
        <w:tc>
          <w:tcPr>
            <w:tcW w:w="5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-624840</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-307975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85%</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17145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1.4%</w:t>
      </w:r>
    </w:p>
    <w:p>
      <w:pPr>
        <w:spacing w:after="0" w:line="3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740" w:space="720"/>
            <w:col w:w="2780"/>
          </w:cols>
          <w:pgMar w:left="320" w:top="702" w:right="339" w:bottom="1440" w:gutter="0" w:footer="0" w:header="0"/>
        </w:sectPr>
      </w:pPr>
    </w:p>
    <w:p>
      <w:pPr>
        <w:spacing w:after="0" w:line="26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Expected volatility is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or US Government bonds depending on whether the exercise price is in euros or in US Dollars, with tenure equal to the expected life. The expected dividend yield is zero considering the stage of the Group.</w:t>
      </w:r>
    </w:p>
    <w:p>
      <w:pPr>
        <w:spacing w:after="0" w:line="3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Basic and diluted loss per share</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Basic and diluted loss per share is calculated by dividing the loss attributable to equity holders of the Company by the weighted average number of issued and outstanding ordinary shares during the three months ended March 31, 2022 and March 31, 2021.</w:t>
      </w:r>
    </w:p>
    <w:p>
      <w:pPr>
        <w:spacing w:after="0" w:line="1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of the Company’s potential dilutive securities have been excluded from the computation of diluted net loss per share attributable to ordinary stockholders as the effect of including them would be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778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r>
      <w:tr>
        <w:trPr>
          <w:trHeight w:val="236"/>
        </w:trPr>
        <w:tc>
          <w:tcPr>
            <w:tcW w:w="778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attributable to equity holders of the Company</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(16,018,350)</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(6,041,628)</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33,135,821</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9,104,630</w:t>
            </w:r>
          </w:p>
        </w:tc>
        <w:tc>
          <w:tcPr>
            <w:tcW w:w="280" w:type="dxa"/>
            <w:vAlign w:val="bottom"/>
          </w:tcPr>
          <w:p>
            <w:pPr>
              <w:spacing w:after="0"/>
              <w:rPr>
                <w:sz w:val="21"/>
                <w:szCs w:val="21"/>
                <w:color w:val="auto"/>
              </w:rPr>
            </w:pPr>
          </w:p>
        </w:tc>
      </w:tr>
      <w:tr>
        <w:trPr>
          <w:trHeight w:val="24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claims known to management related to the activities of the Group.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The Group’s contractual obligations and commitments as of March 31, 2022 amounted to €17 million, (December 31, 2021: €19.5 million) primarily related to research and development commitments.</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Group had no contingent liabilities and no contingent assets as at March 31,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parties</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Charité Research Organisation GmbH (Charité CRO)</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Dr. Knolle, who has served as Chief Scientific Officer and Chief Operating Officer since its inception, was a member of the board of Charité Research Organisation GmbH, or Charité CRO until February 28, 2022. The Company entered into a service contract with Charité CRO according to which Charité CRO provides services supporting research for the Company. The aggregate transaction value of the transactions with Charité CRO during the three months ended March 31, 2022 and 2021 were €nil and €608, respectively. The outstanding balances with Charité CRO amounts to €nil on March 31, 2022 and December 31, 2021, respectively.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780" w:type="dxa"/>
            <w:vAlign w:val="bottom"/>
          </w:tcPr>
          <w:p>
            <w:pPr>
              <w:spacing w:after="0"/>
              <w:rPr>
                <w:sz w:val="24"/>
                <w:szCs w:val="24"/>
                <w:color w:val="auto"/>
              </w:rPr>
            </w:pPr>
          </w:p>
        </w:tc>
        <w:tc>
          <w:tcPr>
            <w:tcW w:w="34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the three months ended March 31</w:t>
            </w:r>
          </w:p>
        </w:tc>
      </w:tr>
      <w:tr>
        <w:trPr>
          <w:trHeight w:val="237"/>
        </w:trPr>
        <w:tc>
          <w:tcPr>
            <w:tcW w:w="778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37"/>
        </w:trPr>
        <w:tc>
          <w:tcPr>
            <w:tcW w:w="778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employee benefits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749,165</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541,228</w:t>
            </w:r>
          </w:p>
        </w:tc>
        <w:tc>
          <w:tcPr>
            <w:tcW w:w="100" w:type="dxa"/>
            <w:vAlign w:val="bottom"/>
            <w:shd w:val="clear" w:color="auto" w:fill="CFF0FC"/>
          </w:tcPr>
          <w:p>
            <w:pPr>
              <w:spacing w:after="0"/>
              <w:rPr>
                <w:sz w:val="21"/>
                <w:szCs w:val="21"/>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Post employee benefits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45,382</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21"/>
                <w:szCs w:val="21"/>
                <w:color w:val="auto"/>
              </w:rPr>
            </w:pPr>
          </w:p>
        </w:tc>
      </w:tr>
      <w:tr>
        <w:trPr>
          <w:trHeight w:val="24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1,230,634</w:t>
            </w:r>
          </w:p>
        </w:tc>
        <w:tc>
          <w:tcPr>
            <w:tcW w:w="240" w:type="dxa"/>
            <w:vAlign w:val="bottom"/>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1,297,662</w:t>
            </w:r>
          </w:p>
        </w:tc>
        <w:tc>
          <w:tcPr>
            <w:tcW w:w="100" w:type="dxa"/>
            <w:vAlign w:val="bottom"/>
            <w:shd w:val="clear" w:color="auto" w:fill="CFF0FC"/>
          </w:tcPr>
          <w:p>
            <w:pPr>
              <w:spacing w:after="0"/>
              <w:rPr>
                <w:sz w:val="21"/>
                <w:szCs w:val="21"/>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2,025,181</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1,854,367</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stock options are granted to key management during the three months ended March 31, 2022. Refer to note 18 for disclosures on the share-based payments.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Group engages several management entities for the purpose of providing key management services to the Group. The aggregate value of transactions related to key management personnel, or entities which they control were €268,493 and €764,258 in the three months ended March 31, 2022 and 2021 respectively.</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outstanding balances payable to key management personnel, or entities which they control, as per March 31, 2022 and December 31, 2021 were €574,061 and €1,157,029,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Events after the reporting period</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May 11, 2022, which is the date the condensed consolidated interim financial statements were authorized for issuance and did not identify any significant event after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7" w:name="page38"/>
    <w:bookmarkEnd w:id="37"/>
    <w:p>
      <w:pPr>
        <w:ind w:right="3639"/>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Signatories to the unaudited condensed consolidated interim financial statements </w:t>
      </w:r>
      <w:r>
        <w:rPr>
          <w:rFonts w:ascii="Times New Roman" w:cs="Times New Roman" w:eastAsia="Times New Roman" w:hAnsi="Times New Roman"/>
          <w:sz w:val="18"/>
          <w:szCs w:val="18"/>
          <w:color w:val="auto"/>
        </w:rPr>
        <w:t>Leiden, May 11,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Pharvaris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B.A.E. Modig</w:t>
      </w:r>
      <w:r>
        <w:rPr>
          <w:sz w:val="20"/>
          <w:szCs w:val="20"/>
          <w:color w:val="auto"/>
        </w:rPr>
        <w:tab/>
      </w:r>
      <w:r>
        <w:rPr>
          <w:rFonts w:ascii="Times New Roman" w:cs="Times New Roman" w:eastAsia="Times New Roman" w:hAnsi="Times New Roman"/>
          <w:sz w:val="18"/>
          <w:szCs w:val="18"/>
          <w:color w:val="auto"/>
        </w:rPr>
        <w:t>A.M de Jonge Schuermans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E. Björk</w:t>
      </w:r>
      <w:r>
        <w:rPr>
          <w:sz w:val="20"/>
          <w:szCs w:val="20"/>
          <w:color w:val="auto"/>
        </w:rPr>
        <w:tab/>
      </w:r>
      <w:r>
        <w:rPr>
          <w:rFonts w:ascii="Times New Roman" w:cs="Times New Roman" w:eastAsia="Times New Roman" w:hAnsi="Times New Roman"/>
          <w:sz w:val="18"/>
          <w:szCs w:val="18"/>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D.P. Meeker</w:t>
      </w:r>
      <w:r>
        <w:rPr>
          <w:sz w:val="20"/>
          <w:szCs w:val="20"/>
          <w:color w:val="auto"/>
        </w:rPr>
        <w:tab/>
      </w:r>
      <w:r>
        <w:rPr>
          <w:rFonts w:ascii="Times New Roman" w:cs="Times New Roman" w:eastAsia="Times New Roman" w:hAnsi="Times New Roman"/>
          <w:sz w:val="18"/>
          <w:szCs w:val="18"/>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19</w:t>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2022-05-11T07:03:35Z</dcterms:created>
  <dcterms:modified xsi:type="dcterms:W3CDTF">2022-05-11T07:03:35Z</dcterms:modified>
</cp:coreProperties>
</file>