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175895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186690</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month of July 2021</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color w:val="auto"/>
        </w:rPr>
        <w:t>Pharvaris N.V.</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177800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2" w:lineRule="exact"/>
        <w:rPr>
          <w:sz w:val="24"/>
          <w:szCs w:val="24"/>
          <w:color w:val="auto"/>
        </w:rPr>
      </w:pPr>
    </w:p>
    <w:p>
      <w:pPr>
        <w:spacing w:after="0" w:line="207" w:lineRule="exact"/>
        <w:tabs>
          <w:tab w:leader="none" w:pos="16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236855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41"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 2021, Pharvaris N.V. (the “Company”) issued a press release. The press release is attached as Exhibits 99.1 hereto and are incorporated by reference herein.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b w:val="1"/>
                <w:bCs w:val="1"/>
                <w:color w:val="auto"/>
              </w:rPr>
              <w:t>PHARVARIS N.V.</w:t>
            </w:r>
          </w:p>
        </w:tc>
      </w:tr>
      <w:tr>
        <w:trPr>
          <w:trHeight w:val="493"/>
        </w:trPr>
        <w:tc>
          <w:tcPr>
            <w:tcW w:w="3480" w:type="dxa"/>
            <w:vAlign w:val="bottom"/>
          </w:tcPr>
          <w:p>
            <w:pPr>
              <w:spacing w:after="0"/>
              <w:rPr>
                <w:sz w:val="20"/>
                <w:szCs w:val="20"/>
                <w:color w:val="auto"/>
              </w:rPr>
            </w:pPr>
            <w:r>
              <w:rPr>
                <w:rFonts w:ascii="Arial" w:cs="Arial" w:eastAsia="Arial" w:hAnsi="Arial"/>
                <w:sz w:val="18"/>
                <w:szCs w:val="18"/>
                <w:color w:val="auto"/>
              </w:rPr>
              <w:t>Date: July 1, 2021</w:t>
            </w:r>
          </w:p>
        </w:tc>
        <w:tc>
          <w:tcPr>
            <w:tcW w:w="3080" w:type="dxa"/>
            <w:vAlign w:val="bottom"/>
          </w:tcPr>
          <w:p>
            <w:pPr>
              <w:ind w:left="21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480" w:type="dxa"/>
            <w:vAlign w:val="bottom"/>
          </w:tcPr>
          <w:p>
            <w:pPr>
              <w:spacing w:after="0"/>
              <w:rPr>
                <w:sz w:val="19"/>
                <w:szCs w:val="19"/>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48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688" w:right="339" w:bottom="1440" w:gutter="0" w:footer="0" w:header="0"/>
        </w:sectPr>
      </w:pPr>
    </w:p>
    <w:bookmarkStart w:id="4" w:name="page5"/>
    <w:bookmarkEnd w:id="4"/>
    <w:p>
      <w:pPr>
        <w:ind w:left="10220"/>
        <w:spacing w:after="0"/>
        <w:rPr>
          <w:sz w:val="20"/>
          <w:szCs w:val="20"/>
          <w:color w:val="auto"/>
        </w:rPr>
      </w:pPr>
      <w:r>
        <w:rPr>
          <w:rFonts w:ascii="Arial" w:cs="Arial" w:eastAsia="Arial" w:hAnsi="Arial"/>
          <w:sz w:val="18"/>
          <w:szCs w:val="18"/>
          <w:b w:val="1"/>
          <w:bCs w:val="1"/>
          <w:color w:val="auto"/>
        </w:rPr>
        <w:t>Exhibit 99.1</w:t>
      </w:r>
    </w:p>
    <w:p>
      <w:pPr>
        <w:spacing w:after="0" w:line="25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Pharvaris to Present PHA121 Clinical Data for Oral Treatment of Hereditary Angioedema at the EAACI Annual Congress 2021</w:t>
      </w:r>
    </w:p>
    <w:p>
      <w:pPr>
        <w:spacing w:after="0" w:line="148"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 xml:space="preserve">Zug, Switzerland, July 1, 2021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Pharvaris</w:t>
      </w:r>
      <w:r>
        <w:rPr>
          <w:rFonts w:ascii="Arial" w:cs="Arial" w:eastAsia="Arial" w:hAnsi="Arial"/>
          <w:sz w:val="19"/>
          <w:szCs w:val="19"/>
          <w:b w:val="1"/>
          <w:bCs w:val="1"/>
          <w:color w:val="auto"/>
        </w:rPr>
        <w:t xml:space="preserve"> </w:t>
      </w:r>
      <w:r>
        <w:rPr>
          <w:rFonts w:ascii="Arial" w:cs="Arial" w:eastAsia="Arial" w:hAnsi="Arial"/>
          <w:sz w:val="19"/>
          <w:szCs w:val="19"/>
          <w:color w:val="auto"/>
        </w:rPr>
        <w:t>(Nasdaq: PHVS), a clinical-stage company focused on the development and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novel oral bradykinin-B2-receptor antagonists for the treatment of hereditary angioedema (HAE) and other bradykinin-B2-receptor-mediated indications, today announced that the company will present clinical data for oral PHA121, a novel and potent bradykinin 2 receptor antagonist for treatment of hereditary angioedema, as an e-Poster at the upcoming European Academy of Allergy and Clinical Immunology (EAACI) Annual Congress 2021, to be held virtually July 10-16, 2021.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presentation details are as follows:</w:t>
      </w:r>
    </w:p>
    <w:p>
      <w:pPr>
        <w:spacing w:after="0" w:line="223"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Multiple dose administration of PHA-022121, an orally available, bradykinin B2 receptor antagonist is well tolerated and shows a</w:t>
      </w:r>
      <w:r>
        <w:rPr>
          <w:rFonts w:ascii="Arial" w:cs="Arial" w:eastAsia="Arial" w:hAnsi="Arial"/>
          <w:sz w:val="20"/>
          <w:szCs w:val="20"/>
          <w:b w:val="1"/>
          <w:bCs w:val="1"/>
          <w:color w:val="auto"/>
        </w:rPr>
        <w:t xml:space="preserve"> </w:t>
      </w:r>
      <w:r>
        <w:rPr>
          <w:rFonts w:ascii="Arial" w:cs="Arial" w:eastAsia="Arial" w:hAnsi="Arial"/>
          <w:sz w:val="20"/>
          <w:szCs w:val="20"/>
          <w:color w:val="auto"/>
        </w:rPr>
        <w:t>favorable pharmacokinetic profile for prophylactic treatment of HAE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Poster Number: </w:t>
      </w:r>
      <w:r>
        <w:rPr>
          <w:rFonts w:ascii="Arial" w:cs="Arial" w:eastAsia="Arial" w:hAnsi="Arial"/>
          <w:sz w:val="20"/>
          <w:szCs w:val="20"/>
          <w:color w:val="auto"/>
        </w:rPr>
        <w:t>600</w:t>
      </w:r>
    </w:p>
    <w:p>
      <w:pPr>
        <w:spacing w:after="0"/>
        <w:rPr>
          <w:sz w:val="20"/>
          <w:szCs w:val="20"/>
          <w:color w:val="auto"/>
        </w:rPr>
      </w:pPr>
      <w:r>
        <w:rPr>
          <w:rFonts w:ascii="Arial" w:cs="Arial" w:eastAsia="Arial" w:hAnsi="Arial"/>
          <w:sz w:val="20"/>
          <w:szCs w:val="20"/>
          <w:b w:val="1"/>
          <w:bCs w:val="1"/>
          <w:color w:val="auto"/>
        </w:rPr>
        <w:t xml:space="preserve">Poster Presenter: </w:t>
      </w:r>
      <w:r>
        <w:rPr>
          <w:rFonts w:ascii="Arial" w:cs="Arial" w:eastAsia="Arial" w:hAnsi="Arial"/>
          <w:sz w:val="20"/>
          <w:szCs w:val="20"/>
          <w:color w:val="auto"/>
        </w:rPr>
        <w:t>Kees Groen, Ph.D.</w:t>
      </w:r>
    </w:p>
    <w:p>
      <w:pPr>
        <w:spacing w:after="0" w:line="213" w:lineRule="exact"/>
        <w:rPr>
          <w:sz w:val="20"/>
          <w:szCs w:val="20"/>
          <w:color w:val="auto"/>
        </w:rPr>
      </w:pPr>
    </w:p>
    <w:p>
      <w:pPr>
        <w:ind w:right="380"/>
        <w:spacing w:after="0" w:line="316" w:lineRule="auto"/>
        <w:rPr>
          <w:sz w:val="20"/>
          <w:szCs w:val="20"/>
          <w:color w:val="auto"/>
        </w:rPr>
      </w:pPr>
      <w:r>
        <w:rPr>
          <w:rFonts w:ascii="Arial" w:cs="Arial" w:eastAsia="Arial" w:hAnsi="Arial"/>
          <w:sz w:val="18"/>
          <w:szCs w:val="18"/>
          <w:color w:val="auto"/>
        </w:rPr>
        <w:t xml:space="preserve">The abstract will be published on the </w:t>
      </w:r>
      <w:r>
        <w:rPr>
          <w:rFonts w:ascii="Arial" w:cs="Arial" w:eastAsia="Arial" w:hAnsi="Arial"/>
          <w:sz w:val="18"/>
          <w:szCs w:val="18"/>
          <w:u w:val="single" w:color="auto"/>
          <w:color w:val="auto"/>
        </w:rPr>
        <w:t>EAACI website</w:t>
      </w:r>
      <w:r>
        <w:rPr>
          <w:rFonts w:ascii="Arial" w:cs="Arial" w:eastAsia="Arial" w:hAnsi="Arial"/>
          <w:sz w:val="18"/>
          <w:szCs w:val="18"/>
          <w:color w:val="auto"/>
        </w:rPr>
        <w:t xml:space="preserve"> on Saturday, July 10. The virtual poster presentation will be on the EAACI website from July 10-16, 2021, and will be also accessible through the Investors page on the company’s website at </w:t>
      </w:r>
      <w:r>
        <w:rPr>
          <w:rFonts w:ascii="Arial" w:cs="Arial" w:eastAsia="Arial" w:hAnsi="Arial"/>
          <w:sz w:val="18"/>
          <w:szCs w:val="18"/>
          <w:u w:val="single" w:color="auto"/>
          <w:color w:val="auto"/>
        </w:rPr>
        <w:t>www.pharvaris.com</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Pharvaris</w:t>
      </w:r>
    </w:p>
    <w:p>
      <w:pPr>
        <w:spacing w:after="0" w:line="2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 xml:space="preserve">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w:t>
      </w:r>
      <w:r>
        <w:rPr>
          <w:rFonts w:ascii="Arial" w:cs="Arial" w:eastAsia="Arial" w:hAnsi="Arial"/>
          <w:sz w:val="18"/>
          <w:szCs w:val="18"/>
          <w:u w:val="single" w:color="auto"/>
          <w:color w:val="auto"/>
        </w:rPr>
        <w:t>https://pharvaris.com/</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This press release contains certain forward-looking statements that involve substantial risks and uncertainties. All statements contained in this press release that do not relate to matters of 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8"/>
          <w:szCs w:val="18"/>
          <w:color w:val="auto"/>
        </w:rPr>
        <w:t>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registration statement on Form 20-F and other periodic filings with the Securities and Exchange Commission.</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280670</wp:posOffset>
            </wp:positionV>
            <wp:extent cx="1499870" cy="213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9870" cy="21399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rPr>
          <w:sz w:val="20"/>
          <w:szCs w:val="20"/>
          <w:color w:val="auto"/>
        </w:rPr>
      </w:pPr>
      <w:r>
        <w:rPr>
          <w:rFonts w:ascii="Arial" w:cs="Arial" w:eastAsia="Arial" w:hAnsi="Arial"/>
          <w:sz w:val="20"/>
          <w:szCs w:val="20"/>
          <w:color w:val="auto"/>
        </w:rPr>
        <w:t>Stern Investor Relations, Inc.</w:t>
      </w:r>
    </w:p>
    <w:p>
      <w:pPr>
        <w:spacing w:after="0"/>
        <w:rPr>
          <w:sz w:val="20"/>
          <w:szCs w:val="20"/>
          <w:color w:val="auto"/>
        </w:rPr>
      </w:pPr>
      <w:r>
        <w:rPr>
          <w:rFonts w:ascii="Arial" w:cs="Arial" w:eastAsia="Arial" w:hAnsi="Arial"/>
          <w:sz w:val="20"/>
          <w:szCs w:val="20"/>
          <w:color w:val="auto"/>
        </w:rPr>
        <w:t>+1-212-362-1200</w:t>
      </w:r>
    </w:p>
    <w:p>
      <w:pPr>
        <w:spacing w:after="0"/>
        <w:rPr>
          <w:sz w:val="20"/>
          <w:szCs w:val="20"/>
          <w:color w:val="auto"/>
        </w:rPr>
      </w:pPr>
      <w:r>
        <w:rPr>
          <w:rFonts w:ascii="Arial" w:cs="Arial" w:eastAsia="Arial" w:hAnsi="Arial"/>
          <w:sz w:val="20"/>
          <w:szCs w:val="20"/>
          <w:u w:val="single" w:color="auto"/>
          <w:color w:val="auto"/>
        </w:rPr>
        <w:t>sarah.mccabe@sternir.com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Maggie Beller</w:t>
      </w:r>
    </w:p>
    <w:p>
      <w:pPr>
        <w:spacing w:after="0"/>
        <w:rPr>
          <w:sz w:val="20"/>
          <w:szCs w:val="20"/>
          <w:color w:val="auto"/>
        </w:rPr>
      </w:pPr>
      <w:r>
        <w:rPr>
          <w:rFonts w:ascii="Arial" w:cs="Arial" w:eastAsia="Arial" w:hAnsi="Arial"/>
          <w:sz w:val="20"/>
          <w:szCs w:val="20"/>
          <w:color w:val="auto"/>
        </w:rPr>
        <w:t>Russo Partners, LLC</w:t>
      </w:r>
    </w:p>
    <w:p>
      <w:pPr>
        <w:spacing w:after="0"/>
        <w:rPr>
          <w:sz w:val="20"/>
          <w:szCs w:val="20"/>
          <w:color w:val="auto"/>
        </w:rPr>
      </w:pPr>
      <w:r>
        <w:rPr>
          <w:rFonts w:ascii="Arial" w:cs="Arial" w:eastAsia="Arial" w:hAnsi="Arial"/>
          <w:sz w:val="20"/>
          <w:szCs w:val="20"/>
          <w:color w:val="auto"/>
        </w:rPr>
        <w:t>+1-646-942-5631</w:t>
      </w:r>
    </w:p>
    <w:p>
      <w:pPr>
        <w:spacing w:after="0"/>
        <w:rPr>
          <w:sz w:val="20"/>
          <w:szCs w:val="20"/>
          <w:color w:val="auto"/>
        </w:rPr>
      </w:pPr>
      <w:r>
        <w:rPr>
          <w:rFonts w:ascii="Arial" w:cs="Arial" w:eastAsia="Arial" w:hAnsi="Arial"/>
          <w:sz w:val="16"/>
          <w:szCs w:val="16"/>
          <w:u w:val="single" w:color="auto"/>
          <w:color w:val="auto"/>
        </w:rPr>
        <w:t>maggie.beller@russopartnersllc.com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312420</wp:posOffset>
            </wp:positionV>
            <wp:extent cx="149987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sectPr>
      <w:pgSz w:w="11900" w:h="16838" w:orient="portrait"/>
      <w:cols w:equalWidth="0" w:num="1">
        <w:col w:w="10139"/>
      </w:cols>
      <w:pgMar w:left="320" w:top="8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2021-07-01T06:02:16Z</dcterms:created>
  <dcterms:modified xsi:type="dcterms:W3CDTF">2021-07-01T06:02:16Z</dcterms:modified>
</cp:coreProperties>
</file>