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Pharvaris, N.V.</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N69605108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3"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N69605108</w:t>
      </w:r>
      <w:r>
        <w:rPr>
          <w:sz w:val="20"/>
          <w:szCs w:val="20"/>
          <w:color w:val="auto"/>
        </w:rPr>
        <w:tab/>
      </w:r>
      <w:r>
        <w:rPr>
          <w:rFonts w:ascii="Arial" w:cs="Arial" w:eastAsia="Arial" w:hAnsi="Arial"/>
          <w:sz w:val="16"/>
          <w:szCs w:val="16"/>
          <w:color w:val="auto"/>
        </w:rPr>
        <w:t>Page 1 of 6</w:t>
      </w:r>
    </w:p>
    <w:p>
      <w:pPr>
        <w:spacing w:after="0" w:line="157"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LSP V Coöperatieve U.A.</w:t>
      </w:r>
    </w:p>
    <w:p>
      <w:pPr>
        <w:spacing w:after="0" w:line="36"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The Netherlands</w:t>
      </w:r>
    </w:p>
    <w:p>
      <w:pPr>
        <w:spacing w:after="0" w:line="3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3,607,566</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3,607,566</w:t>
      </w:r>
    </w:p>
    <w:p>
      <w:pPr>
        <w:spacing w:after="0" w:line="36" w:lineRule="exact"/>
        <w:rPr>
          <w:sz w:val="20"/>
          <w:szCs w:val="20"/>
          <w:color w:val="auto"/>
        </w:rPr>
      </w:pPr>
    </w:p>
    <w:p>
      <w:pPr>
        <w:ind w:left="600" w:hanging="357"/>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3,607,566</w:t>
      </w:r>
    </w:p>
    <w:p>
      <w:pPr>
        <w:spacing w:after="0" w:line="36" w:lineRule="exact"/>
        <w:rPr>
          <w:sz w:val="20"/>
          <w:szCs w:val="20"/>
          <w:color w:val="auto"/>
        </w:rPr>
      </w:pPr>
    </w:p>
    <w:p>
      <w:pPr>
        <w:ind w:left="620" w:right="5480" w:hanging="467"/>
        <w:spacing w:after="0" w:line="40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620" w:right="6740" w:hanging="467"/>
        <w:spacing w:after="0" w:line="40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10.9%</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 (Limited Liability Company)</w:t>
      </w:r>
    </w:p>
    <w:p>
      <w:pPr>
        <w:sectPr>
          <w:pgSz w:w="11900" w:h="16838" w:orient="portrait"/>
          <w:cols w:equalWidth="0" w:num="1">
            <w:col w:w="11020"/>
          </w:cols>
          <w:pgMar w:left="440" w:top="274" w:right="439" w:bottom="1440" w:gutter="0" w:footer="0" w:header="0"/>
        </w:sectPr>
      </w:pPr>
    </w:p>
    <w:bookmarkStart w:id="2" w:name="page3"/>
    <w:bookmarkEnd w:id="2"/>
    <w:p>
      <w:pPr>
        <w:jc w:val="cente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p>
    <w:p>
      <w:pPr>
        <w:spacing w:after="0" w:line="23"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N69605108</w:t>
      </w:r>
      <w:r>
        <w:rPr>
          <w:sz w:val="20"/>
          <w:szCs w:val="20"/>
          <w:color w:val="auto"/>
        </w:rPr>
        <w:tab/>
      </w:r>
      <w:r>
        <w:rPr>
          <w:rFonts w:ascii="Arial" w:cs="Arial" w:eastAsia="Arial" w:hAnsi="Arial"/>
          <w:sz w:val="16"/>
          <w:szCs w:val="16"/>
          <w:color w:val="auto"/>
        </w:rPr>
        <w:t>Page 2 of 6</w:t>
      </w:r>
    </w:p>
    <w:p>
      <w:pPr>
        <w:spacing w:after="0" w:line="157" w:lineRule="exact"/>
        <w:rPr>
          <w:sz w:val="20"/>
          <w:szCs w:val="20"/>
          <w:color w:val="auto"/>
        </w:rPr>
      </w:pPr>
    </w:p>
    <w:p>
      <w:pPr>
        <w:ind w:left="620" w:hanging="37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LSP V Management B.V</w:t>
      </w:r>
      <w:r>
        <w:rPr>
          <w:rFonts w:ascii="Arial" w:cs="Arial" w:eastAsia="Arial" w:hAnsi="Arial"/>
          <w:sz w:val="18"/>
          <w:szCs w:val="18"/>
          <w:b w:val="1"/>
          <w:bCs w:val="1"/>
          <w:color w:val="auto"/>
        </w:rPr>
        <w:t>.</w:t>
      </w:r>
    </w:p>
    <w:p>
      <w:pPr>
        <w:spacing w:after="0" w:line="40"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The Netherlands</w:t>
      </w:r>
    </w:p>
    <w:p>
      <w:pPr>
        <w:spacing w:after="0" w:line="3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3,607,566</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3,607,566</w:t>
      </w:r>
    </w:p>
    <w:p>
      <w:pPr>
        <w:spacing w:after="0" w:line="36" w:lineRule="exact"/>
        <w:rPr>
          <w:sz w:val="20"/>
          <w:szCs w:val="20"/>
          <w:color w:val="auto"/>
        </w:rPr>
      </w:pPr>
    </w:p>
    <w:p>
      <w:pPr>
        <w:ind w:left="600" w:hanging="357"/>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3,607,566</w:t>
      </w:r>
    </w:p>
    <w:p>
      <w:pPr>
        <w:spacing w:after="0" w:line="36" w:lineRule="exact"/>
        <w:rPr>
          <w:sz w:val="20"/>
          <w:szCs w:val="20"/>
          <w:color w:val="auto"/>
        </w:rPr>
      </w:pPr>
    </w:p>
    <w:p>
      <w:pPr>
        <w:ind w:left="620" w:right="5480" w:hanging="467"/>
        <w:spacing w:after="0" w:line="406"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620" w:right="6740" w:hanging="467"/>
        <w:spacing w:after="0" w:line="406"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10.9%</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 (Limited Liability Company)</w:t>
      </w:r>
    </w:p>
    <w:p>
      <w:pPr>
        <w:sectPr>
          <w:pgSz w:w="11900" w:h="16838" w:orient="portrait"/>
          <w:cols w:equalWidth="0" w:num="1">
            <w:col w:w="11020"/>
          </w:cols>
          <w:pgMar w:left="440" w:top="274" w:right="439" w:bottom="1440" w:gutter="0" w:footer="0" w:header="0"/>
        </w:sectPr>
      </w:pPr>
    </w:p>
    <w:bookmarkStart w:id="3" w:name="page4"/>
    <w:bookmarkEnd w:id="3"/>
    <w:p>
      <w:pPr>
        <w:jc w:val="cente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ectPr>
          <w:pgSz w:w="11900" w:h="16838" w:orient="portrait"/>
          <w:cols w:equalWidth="0" w:num="1">
            <w:col w:w="11020"/>
          </w:cols>
          <w:pgMar w:left="440" w:top="274" w:right="4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CUSIP No. N69605108</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Page 3 of 6</w:t>
      </w:r>
    </w:p>
    <w:p>
      <w:pPr>
        <w:spacing w:after="0" w:line="162" w:lineRule="exact"/>
        <w:rPr>
          <w:sz w:val="20"/>
          <w:szCs w:val="20"/>
          <w:color w:val="auto"/>
        </w:rPr>
      </w:pPr>
    </w:p>
    <w:p>
      <w:pPr>
        <w:sectPr>
          <w:pgSz w:w="11900" w:h="16838" w:orient="portrait"/>
          <w:cols w:equalWidth="0" w:num="2">
            <w:col w:w="9480" w:space="720"/>
            <w:col w:w="820"/>
          </w:cols>
          <w:pgMar w:left="440" w:top="274" w:right="4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ectPr>
          <w:pgSz w:w="11900" w:h="16838" w:orient="portrait"/>
          <w:cols w:equalWidth="0" w:num="2">
            <w:col w:w="660" w:space="420"/>
            <w:col w:w="9940"/>
          </w:cols>
          <w:pgMar w:left="440" w:top="274" w:right="4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Pharvaris, N.V. (the “Issuer”).</w:t>
      </w:r>
    </w:p>
    <w:p>
      <w:pPr>
        <w:sectPr>
          <w:pgSz w:w="11900" w:h="16838" w:orient="portrait"/>
          <w:cols w:equalWidth="0" w:num="1">
            <w:col w:w="11020"/>
          </w:cols>
          <w:pgMar w:left="440" w:top="274" w:right="439" w:bottom="1440" w:gutter="0" w:footer="0" w:header="0"/>
          <w:type w:val="continuous"/>
        </w:sectPr>
      </w:pPr>
    </w:p>
    <w:p>
      <w:pPr>
        <w:spacing w:after="0" w:line="150" w:lineRule="exact"/>
        <w:rPr>
          <w:sz w:val="20"/>
          <w:szCs w:val="20"/>
          <w:color w:val="auto"/>
        </w:rPr>
      </w:pPr>
    </w:p>
    <w:p>
      <w:pPr>
        <w:ind w:left="1820" w:right="5440" w:hanging="623"/>
        <w:spacing w:after="0" w:line="488" w:lineRule="auto"/>
        <w:tabs>
          <w:tab w:leader="none" w:pos="1746"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J.H. Oortweg 21, 2333 CH Leiden, The Netherlands</w:t>
      </w:r>
    </w:p>
    <w:p>
      <w:pPr>
        <w:spacing w:after="0" w:line="156" w:lineRule="exact"/>
        <w:rPr>
          <w:sz w:val="20"/>
          <w:szCs w:val="20"/>
          <w:color w:val="auto"/>
        </w:rPr>
      </w:pPr>
    </w:p>
    <w:p>
      <w:pPr>
        <w:spacing w:after="0"/>
        <w:tabs>
          <w:tab w:leader="none" w:pos="1060" w:val="left"/>
          <w:tab w:leader="none" w:pos="14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420" w:right="780" w:firstLine="383"/>
        <w:spacing w:after="0" w:line="277" w:lineRule="auto"/>
        <w:rPr>
          <w:sz w:val="20"/>
          <w:szCs w:val="20"/>
          <w:color w:val="auto"/>
        </w:rPr>
      </w:pPr>
      <w:r>
        <w:rPr>
          <w:rFonts w:ascii="Arial" w:cs="Arial" w:eastAsia="Arial" w:hAnsi="Arial"/>
          <w:sz w:val="18"/>
          <w:szCs w:val="18"/>
          <w:color w:val="auto"/>
        </w:rPr>
        <w:t>This statement is being filed on behalf of LSP V Coöperatieve U.A. (“LSP V”) and LSP V Management B.V. (each a “Reporting Person” and, collectively, the “Reporting Persons”).</w:t>
      </w:r>
    </w:p>
    <w:p>
      <w:pPr>
        <w:spacing w:after="0" w:line="72" w:lineRule="exact"/>
        <w:rPr>
          <w:sz w:val="20"/>
          <w:szCs w:val="20"/>
          <w:color w:val="auto"/>
        </w:rPr>
      </w:pPr>
    </w:p>
    <w:p>
      <w:pPr>
        <w:ind w:left="1740" w:hanging="543"/>
        <w:spacing w:after="0"/>
        <w:tabs>
          <w:tab w:leader="none" w:pos="17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The business address of the Reporting Persons is Johannes Vermeerplein 9, 1071 DV Amsterdam, the Netherlands.</w:t>
      </w:r>
    </w:p>
    <w:p>
      <w:pPr>
        <w:spacing w:after="0" w:line="138" w:lineRule="exact"/>
        <w:rPr>
          <w:sz w:val="20"/>
          <w:szCs w:val="20"/>
          <w:color w:val="auto"/>
        </w:rPr>
      </w:pPr>
    </w:p>
    <w:p>
      <w:pPr>
        <w:ind w:left="1740" w:hanging="543"/>
        <w:spacing w:after="0"/>
        <w:tabs>
          <w:tab w:leader="none" w:pos="17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of each Reporting Person is: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Each of the Reporting Persons is organized under the laws of The Netherlands.</w:t>
      </w:r>
    </w:p>
    <w:p>
      <w:pPr>
        <w:spacing w:after="0" w:line="127" w:lineRule="exact"/>
        <w:rPr>
          <w:sz w:val="20"/>
          <w:szCs w:val="20"/>
          <w:color w:val="auto"/>
        </w:rPr>
      </w:pPr>
    </w:p>
    <w:p>
      <w:pPr>
        <w:ind w:left="1740" w:hanging="543"/>
        <w:spacing w:after="0"/>
        <w:tabs>
          <w:tab w:leader="none" w:pos="17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Ordinary Shares, par value € 0.12 per share (“Ordinary Shares”).</w:t>
      </w:r>
    </w:p>
    <w:p>
      <w:pPr>
        <w:spacing w:after="0" w:line="127" w:lineRule="exact"/>
        <w:rPr>
          <w:sz w:val="20"/>
          <w:szCs w:val="20"/>
          <w:color w:val="auto"/>
        </w:rPr>
      </w:pPr>
    </w:p>
    <w:p>
      <w:pPr>
        <w:ind w:left="1820" w:right="8000" w:hanging="623"/>
        <w:spacing w:after="0" w:line="445" w:lineRule="auto"/>
        <w:tabs>
          <w:tab w:leader="none" w:pos="174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N69605108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w:t>
      </w:r>
    </w:p>
    <w:p>
      <w:pPr>
        <w:spacing w:after="0" w:line="121" w:lineRule="exact"/>
        <w:rPr>
          <w:sz w:val="20"/>
          <w:szCs w:val="20"/>
          <w:color w:val="auto"/>
        </w:rPr>
      </w:pPr>
    </w:p>
    <w:p>
      <w:pPr>
        <w:jc w:val="both"/>
        <w:ind w:left="980" w:right="280" w:firstLine="401"/>
        <w:spacing w:after="0" w:line="263" w:lineRule="auto"/>
        <w:rPr>
          <w:sz w:val="20"/>
          <w:szCs w:val="20"/>
          <w:color w:val="auto"/>
        </w:rPr>
      </w:pPr>
      <w:r>
        <w:rPr>
          <w:rFonts w:ascii="Arial" w:cs="Arial" w:eastAsia="Arial" w:hAnsi="Arial"/>
          <w:sz w:val="18"/>
          <w:szCs w:val="18"/>
          <w:color w:val="auto"/>
        </w:rPr>
        <w:t>The ownership information presented below represents beneficial ownership of Ordinary Shares of the Issuer as of December 31, 2021, based upon 33,128,593 Ordinary Shares outstanding as of April 22, 2021 as reported in the Issuer’s Annual Report on Form 20-F filed on April 29, 2021.</w:t>
      </w:r>
    </w:p>
    <w:p>
      <w:pPr>
        <w:sectPr>
          <w:pgSz w:w="11900" w:h="16838" w:orient="portrait"/>
          <w:cols w:equalWidth="0" w:num="1">
            <w:col w:w="11020"/>
          </w:cols>
          <w:pgMar w:left="440" w:top="274" w:right="4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N69605108</w:t>
            </w:r>
          </w:p>
        </w:tc>
        <w:tc>
          <w:tcPr>
            <w:tcW w:w="3260" w:type="dxa"/>
            <w:vAlign w:val="bottom"/>
            <w:gridSpan w:val="2"/>
          </w:tcPr>
          <w:p>
            <w:pPr>
              <w:jc w:val="right"/>
              <w:ind w:right="219"/>
              <w:spacing w:after="0"/>
              <w:rPr>
                <w:sz w:val="20"/>
                <w:szCs w:val="20"/>
                <w:color w:val="auto"/>
              </w:rPr>
            </w:pPr>
            <w:r>
              <w:rPr>
                <w:rFonts w:ascii="Arial" w:cs="Arial" w:eastAsia="Arial" w:hAnsi="Arial"/>
                <w:sz w:val="18"/>
                <w:szCs w:val="18"/>
                <w:color w:val="auto"/>
              </w:rPr>
              <w:t>Schedule 13G</w:t>
            </w: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vMerge w:val="restart"/>
          </w:tcPr>
          <w:p>
            <w:pPr>
              <w:jc w:val="center"/>
              <w:ind w:left="103"/>
              <w:spacing w:after="0"/>
              <w:rPr>
                <w:sz w:val="20"/>
                <w:szCs w:val="20"/>
                <w:color w:val="auto"/>
              </w:rPr>
            </w:pPr>
            <w:r>
              <w:rPr>
                <w:rFonts w:ascii="Arial" w:cs="Arial" w:eastAsia="Arial" w:hAnsi="Arial"/>
                <w:sz w:val="18"/>
                <w:szCs w:val="18"/>
                <w:color w:val="auto"/>
                <w:w w:val="89"/>
              </w:rPr>
              <w:t>Page 4 of 6</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2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Sole</w:t>
            </w:r>
          </w:p>
        </w:tc>
        <w:tc>
          <w:tcPr>
            <w:tcW w:w="1000" w:type="dxa"/>
            <w:vAlign w:val="bottom"/>
          </w:tcPr>
          <w:p>
            <w:pPr>
              <w:jc w:val="center"/>
              <w:ind w:left="3"/>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power to</w:t>
            </w:r>
          </w:p>
        </w:tc>
        <w:tc>
          <w:tcPr>
            <w:tcW w:w="100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2300" w:type="dxa"/>
            <w:vAlign w:val="bottom"/>
            <w:vMerge w:val="restart"/>
          </w:tcPr>
          <w:p>
            <w:pPr>
              <w:jc w:val="center"/>
              <w:ind w:left="1079"/>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Sole power</w:t>
            </w: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Shared power</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dispose or</w:t>
            </w:r>
          </w:p>
        </w:tc>
        <w:tc>
          <w:tcPr>
            <w:tcW w:w="1000" w:type="dxa"/>
            <w:vAlign w:val="bottom"/>
          </w:tcPr>
          <w:p>
            <w:pPr>
              <w:jc w:val="center"/>
              <w:ind w:left="23"/>
              <w:spacing w:after="0" w:line="158" w:lineRule="exact"/>
              <w:rPr>
                <w:sz w:val="20"/>
                <w:szCs w:val="20"/>
                <w:color w:val="auto"/>
              </w:rPr>
            </w:pPr>
            <w:r>
              <w:rPr>
                <w:rFonts w:ascii="Arial" w:cs="Arial" w:eastAsia="Arial" w:hAnsi="Arial"/>
                <w:sz w:val="14"/>
                <w:szCs w:val="14"/>
                <w:b w:val="1"/>
                <w:bCs w:val="1"/>
                <w:color w:val="auto"/>
                <w:w w:val="90"/>
              </w:rPr>
              <w:t>to direct</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Percent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vote or to</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vote or to</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100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30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beneficially</w:t>
            </w:r>
          </w:p>
        </w:tc>
        <w:tc>
          <w:tcPr>
            <w:tcW w:w="96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the disposition</w:t>
            </w:r>
          </w:p>
        </w:tc>
        <w:tc>
          <w:tcPr>
            <w:tcW w:w="100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76"/>
        </w:trPr>
        <w:tc>
          <w:tcPr>
            <w:tcW w:w="3280" w:type="dxa"/>
            <w:vAlign w:val="bottom"/>
            <w:vMerge w:val="continue"/>
          </w:tcPr>
          <w:p>
            <w:pPr>
              <w:spacing w:after="0"/>
              <w:rPr>
                <w:sz w:val="15"/>
                <w:szCs w:val="15"/>
                <w:color w:val="auto"/>
              </w:rPr>
            </w:pPr>
          </w:p>
        </w:tc>
        <w:tc>
          <w:tcPr>
            <w:tcW w:w="2300" w:type="dxa"/>
            <w:vAlign w:val="bottom"/>
          </w:tcPr>
          <w:p>
            <w:pPr>
              <w:jc w:val="center"/>
              <w:ind w:left="1099"/>
              <w:spacing w:after="0"/>
              <w:rPr>
                <w:sz w:val="20"/>
                <w:szCs w:val="20"/>
                <w:color w:val="auto"/>
              </w:rPr>
            </w:pPr>
            <w:r>
              <w:rPr>
                <w:rFonts w:ascii="Arial" w:cs="Arial" w:eastAsia="Arial" w:hAnsi="Arial"/>
                <w:sz w:val="14"/>
                <w:szCs w:val="14"/>
                <w:b w:val="1"/>
                <w:bCs w:val="1"/>
                <w:color w:val="auto"/>
                <w:w w:val="90"/>
              </w:rPr>
              <w:t>owned</w:t>
            </w:r>
          </w:p>
        </w:tc>
        <w:tc>
          <w:tcPr>
            <w:tcW w:w="960" w:type="dxa"/>
            <w:vAlign w:val="bottom"/>
          </w:tcPr>
          <w:p>
            <w:pPr>
              <w:jc w:val="right"/>
              <w:ind w:right="239"/>
              <w:spacing w:after="0"/>
              <w:rPr>
                <w:sz w:val="20"/>
                <w:szCs w:val="20"/>
                <w:color w:val="auto"/>
              </w:rPr>
            </w:pPr>
            <w:r>
              <w:rPr>
                <w:rFonts w:ascii="Arial" w:cs="Arial" w:eastAsia="Arial" w:hAnsi="Arial"/>
                <w:sz w:val="14"/>
                <w:szCs w:val="14"/>
                <w:b w:val="1"/>
                <w:bCs w:val="1"/>
                <w:color w:val="auto"/>
              </w:rPr>
              <w:t>of class: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1000" w:type="dxa"/>
            <w:vAlign w:val="bottom"/>
          </w:tcPr>
          <w:p>
            <w:pPr>
              <w:jc w:val="center"/>
              <w:ind w:left="23"/>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LSP V Coöperatieve U.A.</w:t>
            </w:r>
          </w:p>
        </w:tc>
        <w:tc>
          <w:tcPr>
            <w:tcW w:w="23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3,607,566</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10.9%</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3,607,566</w:t>
            </w:r>
          </w:p>
        </w:tc>
        <w:tc>
          <w:tcPr>
            <w:tcW w:w="124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center"/>
              <w:ind w:left="83"/>
              <w:spacing w:after="0"/>
              <w:rPr>
                <w:sz w:val="20"/>
                <w:szCs w:val="20"/>
                <w:color w:val="auto"/>
              </w:rPr>
            </w:pPr>
            <w:r>
              <w:rPr>
                <w:rFonts w:ascii="Arial" w:cs="Arial" w:eastAsia="Arial" w:hAnsi="Arial"/>
                <w:sz w:val="18"/>
                <w:szCs w:val="18"/>
                <w:color w:val="auto"/>
                <w:w w:val="89"/>
              </w:rPr>
              <w:t>3,607,566</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LSP V Management B.V</w:t>
            </w:r>
          </w:p>
        </w:tc>
        <w:tc>
          <w:tcPr>
            <w:tcW w:w="2300" w:type="dxa"/>
            <w:vAlign w:val="bottom"/>
          </w:tcPr>
          <w:p>
            <w:pPr>
              <w:ind w:left="1400"/>
              <w:spacing w:after="0"/>
              <w:rPr>
                <w:sz w:val="20"/>
                <w:szCs w:val="20"/>
                <w:color w:val="auto"/>
              </w:rPr>
            </w:pPr>
            <w:r>
              <w:rPr>
                <w:rFonts w:ascii="Arial" w:cs="Arial" w:eastAsia="Arial" w:hAnsi="Arial"/>
                <w:sz w:val="18"/>
                <w:szCs w:val="18"/>
                <w:color w:val="auto"/>
              </w:rPr>
              <w:t>3,607,566</w:t>
            </w:r>
          </w:p>
        </w:tc>
        <w:tc>
          <w:tcPr>
            <w:tcW w:w="960" w:type="dxa"/>
            <w:vAlign w:val="bottom"/>
          </w:tcPr>
          <w:p>
            <w:pPr>
              <w:jc w:val="right"/>
              <w:ind w:right="79"/>
              <w:spacing w:after="0"/>
              <w:rPr>
                <w:sz w:val="20"/>
                <w:szCs w:val="20"/>
                <w:color w:val="auto"/>
              </w:rPr>
            </w:pPr>
            <w:r>
              <w:rPr>
                <w:rFonts w:ascii="Arial" w:cs="Arial" w:eastAsia="Arial" w:hAnsi="Arial"/>
                <w:sz w:val="18"/>
                <w:szCs w:val="18"/>
                <w:color w:val="auto"/>
              </w:rPr>
              <w:t>10.9%</w:t>
            </w:r>
          </w:p>
        </w:tc>
        <w:tc>
          <w:tcPr>
            <w:tcW w:w="1060" w:type="dxa"/>
            <w:vAlign w:val="bottom"/>
          </w:tcPr>
          <w:p>
            <w:pPr>
              <w:jc w:val="right"/>
              <w:ind w:right="82"/>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82"/>
              <w:spacing w:after="0"/>
              <w:rPr>
                <w:sz w:val="20"/>
                <w:szCs w:val="20"/>
                <w:color w:val="auto"/>
              </w:rPr>
            </w:pPr>
            <w:r>
              <w:rPr>
                <w:rFonts w:ascii="Arial" w:cs="Arial" w:eastAsia="Arial" w:hAnsi="Arial"/>
                <w:sz w:val="18"/>
                <w:szCs w:val="18"/>
                <w:color w:val="auto"/>
              </w:rPr>
              <w:t>3,607,566</w:t>
            </w:r>
          </w:p>
        </w:tc>
        <w:tc>
          <w:tcPr>
            <w:tcW w:w="1240" w:type="dxa"/>
            <w:vAlign w:val="bottom"/>
          </w:tcPr>
          <w:p>
            <w:pPr>
              <w:jc w:val="right"/>
              <w:ind w:right="84"/>
              <w:spacing w:after="0"/>
              <w:rPr>
                <w:sz w:val="20"/>
                <w:szCs w:val="20"/>
                <w:color w:val="auto"/>
              </w:rPr>
            </w:pPr>
            <w:r>
              <w:rPr>
                <w:rFonts w:ascii="Arial" w:cs="Arial" w:eastAsia="Arial" w:hAnsi="Arial"/>
                <w:sz w:val="18"/>
                <w:szCs w:val="18"/>
                <w:color w:val="auto"/>
              </w:rPr>
              <w:t>0</w:t>
            </w:r>
          </w:p>
        </w:tc>
        <w:tc>
          <w:tcPr>
            <w:tcW w:w="1000" w:type="dxa"/>
            <w:vAlign w:val="bottom"/>
          </w:tcPr>
          <w:p>
            <w:pPr>
              <w:jc w:val="center"/>
              <w:ind w:left="83"/>
              <w:spacing w:after="0"/>
              <w:rPr>
                <w:sz w:val="20"/>
                <w:szCs w:val="20"/>
                <w:color w:val="auto"/>
              </w:rPr>
            </w:pPr>
            <w:r>
              <w:rPr>
                <w:rFonts w:ascii="Arial" w:cs="Arial" w:eastAsia="Arial" w:hAnsi="Arial"/>
                <w:sz w:val="18"/>
                <w:szCs w:val="18"/>
                <w:color w:val="auto"/>
                <w:w w:val="89"/>
              </w:rPr>
              <w:t>3,607,566</w:t>
            </w:r>
          </w:p>
        </w:tc>
        <w:tc>
          <w:tcPr>
            <w:tcW w:w="0" w:type="dxa"/>
            <w:vAlign w:val="bottom"/>
          </w:tcPr>
          <w:p>
            <w:pPr>
              <w:spacing w:after="0"/>
              <w:rPr>
                <w:sz w:val="1"/>
                <w:szCs w:val="1"/>
                <w:color w:val="auto"/>
              </w:rPr>
            </w:pPr>
          </w:p>
        </w:tc>
      </w:tr>
    </w:tbl>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0" w:right="40" w:firstLine="401"/>
        <w:spacing w:after="0" w:line="279" w:lineRule="auto"/>
        <w:rPr>
          <w:sz w:val="20"/>
          <w:szCs w:val="20"/>
          <w:color w:val="auto"/>
        </w:rPr>
      </w:pPr>
      <w:r>
        <w:rPr>
          <w:rFonts w:ascii="Arial" w:cs="Arial" w:eastAsia="Arial" w:hAnsi="Arial"/>
          <w:sz w:val="17"/>
          <w:szCs w:val="17"/>
          <w:color w:val="auto"/>
        </w:rPr>
        <w:t>LSP V is the record holder of 3,607,566 Ordinary Shares. LSP V Management B.V. is the sole director of LSP V. The managing directors of LSP V Management B.V. are Martijn Kleijwegt, Rene Kuijten and Joachim Rothe. As such, LSP V Management B.V., Martijn Kleijwegt, Rene Kuijten and Joachim Rothe may be deemed to beneficially own the Ordinary Shares held of record by LSP V. Each of Mr. Kleijwegt, Mr. Kuijten and Mr. Rothe disclaims beneficial ownership of such shares.</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5" w:name="page6"/>
    <w:bookmarkEnd w:id="5"/>
    <w:p>
      <w:pPr>
        <w:jc w:val="cente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3"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N69605108</w:t>
      </w:r>
      <w:r>
        <w:rPr>
          <w:sz w:val="20"/>
          <w:szCs w:val="20"/>
          <w:color w:val="auto"/>
        </w:rPr>
        <w:tab/>
      </w:r>
      <w:r>
        <w:rPr>
          <w:rFonts w:ascii="Arial" w:cs="Arial" w:eastAsia="Arial" w:hAnsi="Arial"/>
          <w:sz w:val="16"/>
          <w:szCs w:val="16"/>
          <w:color w:val="auto"/>
        </w:rPr>
        <w:t>Page 5 of 6</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February 3,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LSP V Coöperatieve U.A.</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Martijn Kleijwegt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LSP V Management B.V.</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Martijn Kleijwegt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René Kuijten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LSP V Management B.V.</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René Kuijten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LSP V Management B.V.</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Martijn Kleijwegt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Martijn Kleijwegt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René Kuijten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René Kuijten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1020"/>
          </w:cols>
          <w:pgMar w:left="440" w:top="274"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320" w:type="dxa"/>
            <w:vAlign w:val="bottom"/>
          </w:tcPr>
          <w:p>
            <w:pPr>
              <w:ind w:left="154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230"/>
        </w:trPr>
        <w:tc>
          <w:tcPr>
            <w:tcW w:w="3700" w:type="dxa"/>
            <w:vAlign w:val="bottom"/>
            <w:gridSpan w:val="4"/>
          </w:tcPr>
          <w:p>
            <w:pPr>
              <w:spacing w:after="0"/>
              <w:rPr>
                <w:sz w:val="20"/>
                <w:szCs w:val="20"/>
                <w:color w:val="auto"/>
              </w:rPr>
            </w:pPr>
            <w:r>
              <w:rPr>
                <w:rFonts w:ascii="Arial" w:cs="Arial" w:eastAsia="Arial" w:hAnsi="Arial"/>
                <w:sz w:val="18"/>
                <w:szCs w:val="18"/>
                <w:color w:val="auto"/>
              </w:rPr>
              <w:t>CUSIP No. N69605108</w:t>
            </w:r>
          </w:p>
        </w:tc>
        <w:tc>
          <w:tcPr>
            <w:tcW w:w="7320" w:type="dxa"/>
            <w:vAlign w:val="bottom"/>
          </w:tcPr>
          <w:p>
            <w:pPr>
              <w:ind w:left="6500"/>
              <w:spacing w:after="0"/>
              <w:rPr>
                <w:sz w:val="20"/>
                <w:szCs w:val="20"/>
                <w:color w:val="auto"/>
              </w:rPr>
            </w:pPr>
            <w:r>
              <w:rPr>
                <w:rFonts w:ascii="Arial" w:cs="Arial" w:eastAsia="Arial" w:hAnsi="Arial"/>
                <w:sz w:val="18"/>
                <w:szCs w:val="18"/>
                <w:color w:val="auto"/>
                <w:w w:val="86"/>
              </w:rPr>
              <w:t>Page 6 of 6</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320" w:type="dxa"/>
            <w:vAlign w:val="bottom"/>
          </w:tcPr>
          <w:p>
            <w:pPr>
              <w:ind w:left="1000"/>
              <w:spacing w:after="0"/>
              <w:rPr>
                <w:sz w:val="20"/>
                <w:szCs w:val="20"/>
                <w:color w:val="auto"/>
              </w:rPr>
            </w:pPr>
            <w:r>
              <w:rPr>
                <w:rFonts w:ascii="Arial" w:cs="Arial" w:eastAsia="Arial" w:hAnsi="Arial"/>
                <w:sz w:val="18"/>
                <w:szCs w:val="18"/>
                <w:b w:val="1"/>
                <w:bCs w:val="1"/>
                <w:color w:val="auto"/>
              </w:rPr>
              <w:t>LIST OF EXHIBITS</w:t>
            </w:r>
          </w:p>
        </w:tc>
        <w:tc>
          <w:tcPr>
            <w:tcW w:w="0" w:type="dxa"/>
            <w:vAlign w:val="bottom"/>
          </w:tcPr>
          <w:p>
            <w:pPr>
              <w:spacing w:after="0"/>
              <w:rPr>
                <w:sz w:val="1"/>
                <w:szCs w:val="1"/>
                <w:color w:val="auto"/>
              </w:rPr>
            </w:pP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000" w:type="dxa"/>
            <w:vAlign w:val="bottom"/>
            <w:vMerge w:val="restart"/>
          </w:tcPr>
          <w:p>
            <w:pPr>
              <w:spacing w:after="0"/>
              <w:rPr>
                <w:sz w:val="24"/>
                <w:szCs w:val="24"/>
                <w:color w:val="auto"/>
              </w:rPr>
            </w:pPr>
          </w:p>
        </w:tc>
        <w:tc>
          <w:tcPr>
            <w:tcW w:w="7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2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7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w:t>
            </w:r>
          </w:p>
        </w:tc>
        <w:tc>
          <w:tcPr>
            <w:tcW w:w="3240" w:type="dxa"/>
            <w:vAlign w:val="bottom"/>
            <w:gridSpan w:val="3"/>
          </w:tcPr>
          <w:p>
            <w:pPr>
              <w:ind w:left="520"/>
              <w:spacing w:after="0"/>
              <w:rPr>
                <w:sz w:val="20"/>
                <w:szCs w:val="20"/>
                <w:color w:val="auto"/>
              </w:rPr>
            </w:pPr>
            <w:r>
              <w:rPr>
                <w:rFonts w:ascii="Arial" w:cs="Arial" w:eastAsia="Arial" w:hAnsi="Arial"/>
                <w:sz w:val="18"/>
                <w:szCs w:val="18"/>
                <w:color w:val="auto"/>
              </w:rPr>
              <w:t>Joint Filing Agreement.</w:t>
            </w:r>
          </w:p>
        </w:tc>
        <w:tc>
          <w:tcPr>
            <w:tcW w:w="7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Joint Filing Agreement as of the 3rd day of February,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LSP V Coöperatieve U.A.</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Martijn Kleijwegt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LSP V Management B.V.</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Martijn Kleijwegt</w:t>
      </w:r>
    </w:p>
    <w:p>
      <w:pPr>
        <w:spacing w:after="0" w:line="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René Kuijten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LSP V Management B.V.</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René Kuijten</w:t>
      </w:r>
    </w:p>
    <w:p>
      <w:pPr>
        <w:spacing w:after="0" w:line="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LSP V Management B.V.</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Martijn Kleijwegt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Martijn Kleijwegt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René Kuijten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René Kuijten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2"/>
      <w:numFmt w:val="bullet"/>
      <w:start w:val="1"/>
    </w:lvl>
  </w:abstractNum>
  <w:abstractNum w:abstractNumId="4">
    <w:nsid w:val="66EF438D"/>
    <w:multiLevelType w:val="hybridMultilevel"/>
    <w:lvl w:ilvl="0">
      <w:lvlJc w:val="left"/>
      <w:lvlText w:val="3"/>
      <w:numFmt w:val="bullet"/>
      <w:start w:val="1"/>
    </w:lvl>
  </w:abstractNum>
  <w:abstractNum w:abstractNumId="5">
    <w:nsid w:val="140E0F76"/>
    <w:multiLevelType w:val="hybridMultilevel"/>
    <w:lvl w:ilvl="0">
      <w:lvlJc w:val="left"/>
      <w:lvlText w:val="4"/>
      <w:numFmt w:val="bullet"/>
      <w:start w:val="1"/>
    </w:lvl>
  </w:abstractNum>
  <w:abstractNum w:abstractNumId="6">
    <w:nsid w:val="3352255A"/>
    <w:multiLevelType w:val="hybridMultilevel"/>
    <w:lvl w:ilvl="0">
      <w:lvlJc w:val="left"/>
      <w:lvlText w:val="9"/>
      <w:numFmt w:val="bullet"/>
      <w:start w:val="1"/>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4"/>
      <w:numFmt w:val="bullet"/>
      <w:start w:val="1"/>
    </w:lvl>
  </w:abstractNum>
  <w:abstractNum w:abstractNumId="12">
    <w:nsid w:val="6B68079A"/>
    <w:multiLevelType w:val="hybridMultilevel"/>
    <w:lvl w:ilvl="0">
      <w:lvlJc w:val="left"/>
      <w:lvlText w:val="9"/>
      <w:numFmt w:val="bullet"/>
      <w:start w:val="1"/>
    </w:lvl>
  </w:abstractNum>
  <w:abstractNum w:abstractNumId="13">
    <w:nsid w:val="4E6AFB66"/>
    <w:multiLevelType w:val="hybridMultilevel"/>
    <w:lvl w:ilvl="0">
      <w:lvlJc w:val="left"/>
      <w:lvlText w:val="%1"/>
      <w:numFmt w:val="decimal"/>
      <w:start w:val="10"/>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1)"/>
      <w:numFmt w:val="lowerLetter"/>
      <w:start w:val="4"/>
    </w:lvl>
  </w:abstractNum>
  <w:abstractNum w:abstractNumId="18">
    <w:nsid w:val="7C83E45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2022-02-03T15:27:37Z</dcterms:created>
  <dcterms:modified xsi:type="dcterms:W3CDTF">2022-02-03T15:27:37Z</dcterms:modified>
</cp:coreProperties>
</file>