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February 1, 2021</w:t>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No. 333-252157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108585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Pharvaris B.V.</w:t>
      </w:r>
      <w:r>
        <w:rPr>
          <w:rFonts w:ascii="Arial" w:cs="Arial" w:eastAsia="Arial" w:hAnsi="Arial"/>
          <w:sz w:val="30"/>
          <w:szCs w:val="30"/>
          <w:b w:val="1"/>
          <w:bCs w:val="1"/>
          <w:color w:val="auto"/>
        </w:rPr>
        <w:t>(1)</w:t>
      </w:r>
    </w:p>
    <w:p>
      <w:pPr>
        <w:spacing w:after="0" w:line="44" w:lineRule="exact"/>
        <w:rPr>
          <w:sz w:val="24"/>
          <w:szCs w:val="24"/>
          <w:color w:val="auto"/>
        </w:rPr>
      </w:pPr>
    </w:p>
    <w:tbl>
      <w:tblPr>
        <w:tblLayout w:type="fixed"/>
        <w:tblInd w:w="104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4560" w:type="dxa"/>
            <w:vAlign w:val="bottom"/>
          </w:tcPr>
          <w:p>
            <w:pPr>
              <w:ind w:left="680"/>
              <w:spacing w:after="0"/>
              <w:rPr>
                <w:sz w:val="20"/>
                <w:szCs w:val="20"/>
                <w:color w:val="auto"/>
              </w:rPr>
            </w:pPr>
            <w:r>
              <w:rPr>
                <w:rFonts w:ascii="Arial" w:cs="Arial" w:eastAsia="Arial" w:hAnsi="Arial"/>
                <w:sz w:val="13"/>
                <w:szCs w:val="13"/>
                <w:b w:val="1"/>
                <w:bCs w:val="1"/>
                <w:color w:val="auto"/>
              </w:rPr>
              <w:t>(Exact name of registrant as specified in its charter)</w:t>
            </w:r>
          </w:p>
        </w:tc>
        <w:tc>
          <w:tcPr>
            <w:tcW w:w="1960" w:type="dxa"/>
            <w:vAlign w:val="bottom"/>
          </w:tcPr>
          <w:p>
            <w:pPr>
              <w:spacing w:after="0"/>
              <w:rPr>
                <w:sz w:val="15"/>
                <w:szCs w:val="15"/>
                <w:color w:val="auto"/>
              </w:rPr>
            </w:pPr>
          </w:p>
        </w:tc>
      </w:tr>
      <w:tr>
        <w:trPr>
          <w:trHeight w:val="149"/>
        </w:trPr>
        <w:tc>
          <w:tcPr>
            <w:tcW w:w="2420" w:type="dxa"/>
            <w:vAlign w:val="bottom"/>
          </w:tcPr>
          <w:p>
            <w:pPr>
              <w:jc w:val="center"/>
              <w:ind w:right="613"/>
              <w:spacing w:after="0"/>
              <w:rPr>
                <w:sz w:val="20"/>
                <w:szCs w:val="20"/>
                <w:color w:val="auto"/>
              </w:rPr>
            </w:pPr>
            <w:r>
              <w:rPr>
                <w:rFonts w:ascii="Arial" w:cs="Arial" w:eastAsia="Arial" w:hAnsi="Arial"/>
                <w:sz w:val="13"/>
                <w:szCs w:val="13"/>
                <w:b w:val="1"/>
                <w:bCs w:val="1"/>
                <w:color w:val="auto"/>
                <w:w w:val="96"/>
              </w:rPr>
              <w:t>The Netherlands</w:t>
            </w:r>
          </w:p>
        </w:tc>
        <w:tc>
          <w:tcPr>
            <w:tcW w:w="4560" w:type="dxa"/>
            <w:vAlign w:val="bottom"/>
          </w:tcPr>
          <w:p>
            <w:pPr>
              <w:jc w:val="center"/>
              <w:spacing w:after="0"/>
              <w:rPr>
                <w:sz w:val="20"/>
                <w:szCs w:val="20"/>
                <w:color w:val="auto"/>
              </w:rPr>
            </w:pPr>
            <w:r>
              <w:rPr>
                <w:rFonts w:ascii="Arial" w:cs="Arial" w:eastAsia="Arial" w:hAnsi="Arial"/>
                <w:sz w:val="13"/>
                <w:szCs w:val="13"/>
                <w:b w:val="1"/>
                <w:bCs w:val="1"/>
                <w:color w:val="auto"/>
                <w:w w:val="89"/>
              </w:rPr>
              <w:t>2834</w:t>
            </w:r>
          </w:p>
        </w:tc>
        <w:tc>
          <w:tcPr>
            <w:tcW w:w="1960" w:type="dxa"/>
            <w:vAlign w:val="bottom"/>
          </w:tcPr>
          <w:p>
            <w:pPr>
              <w:jc w:val="center"/>
              <w:ind w:left="833"/>
              <w:spacing w:after="0"/>
              <w:rPr>
                <w:sz w:val="20"/>
                <w:szCs w:val="20"/>
                <w:color w:val="auto"/>
              </w:rPr>
            </w:pPr>
            <w:r>
              <w:rPr>
                <w:rFonts w:ascii="Arial" w:cs="Arial" w:eastAsia="Arial" w:hAnsi="Arial"/>
                <w:sz w:val="13"/>
                <w:szCs w:val="13"/>
                <w:b w:val="1"/>
                <w:bCs w:val="1"/>
                <w:color w:val="auto"/>
                <w:w w:val="94"/>
              </w:rPr>
              <w:t>Not Applicable</w:t>
            </w:r>
          </w:p>
        </w:tc>
      </w:tr>
      <w:tr>
        <w:trPr>
          <w:trHeight w:val="148"/>
        </w:trPr>
        <w:tc>
          <w:tcPr>
            <w:tcW w:w="2420" w:type="dxa"/>
            <w:vAlign w:val="bottom"/>
          </w:tcPr>
          <w:p>
            <w:pPr>
              <w:jc w:val="center"/>
              <w:ind w:right="613"/>
              <w:spacing w:after="0"/>
              <w:rPr>
                <w:sz w:val="20"/>
                <w:szCs w:val="20"/>
                <w:color w:val="auto"/>
              </w:rPr>
            </w:pPr>
            <w:r>
              <w:rPr>
                <w:rFonts w:ascii="Arial" w:cs="Arial" w:eastAsia="Arial" w:hAnsi="Arial"/>
                <w:sz w:val="13"/>
                <w:szCs w:val="13"/>
                <w:b w:val="1"/>
                <w:bCs w:val="1"/>
                <w:color w:val="auto"/>
                <w:w w:val="95"/>
              </w:rPr>
              <w:t>(State or other jurisdiction of</w:t>
            </w:r>
          </w:p>
        </w:tc>
        <w:tc>
          <w:tcPr>
            <w:tcW w:w="4560" w:type="dxa"/>
            <w:vAlign w:val="bottom"/>
          </w:tcPr>
          <w:p>
            <w:pPr>
              <w:jc w:val="center"/>
              <w:spacing w:after="0"/>
              <w:rPr>
                <w:sz w:val="20"/>
                <w:szCs w:val="20"/>
                <w:color w:val="auto"/>
              </w:rPr>
            </w:pPr>
            <w:r>
              <w:rPr>
                <w:rFonts w:ascii="Arial" w:cs="Arial" w:eastAsia="Arial" w:hAnsi="Arial"/>
                <w:sz w:val="13"/>
                <w:szCs w:val="13"/>
                <w:b w:val="1"/>
                <w:bCs w:val="1"/>
                <w:color w:val="auto"/>
                <w:w w:val="98"/>
              </w:rPr>
              <w:t>(Primary Standard Industrial</w:t>
            </w:r>
          </w:p>
        </w:tc>
        <w:tc>
          <w:tcPr>
            <w:tcW w:w="1960" w:type="dxa"/>
            <w:vAlign w:val="bottom"/>
          </w:tcPr>
          <w:p>
            <w:pPr>
              <w:jc w:val="center"/>
              <w:ind w:left="83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420" w:type="dxa"/>
            <w:vAlign w:val="bottom"/>
          </w:tcPr>
          <w:p>
            <w:pPr>
              <w:jc w:val="center"/>
              <w:ind w:right="593"/>
              <w:spacing w:after="0"/>
              <w:rPr>
                <w:sz w:val="20"/>
                <w:szCs w:val="20"/>
                <w:color w:val="auto"/>
              </w:rPr>
            </w:pPr>
            <w:r>
              <w:rPr>
                <w:rFonts w:ascii="Arial" w:cs="Arial" w:eastAsia="Arial" w:hAnsi="Arial"/>
                <w:sz w:val="13"/>
                <w:szCs w:val="13"/>
                <w:b w:val="1"/>
                <w:bCs w:val="1"/>
                <w:color w:val="auto"/>
                <w:w w:val="94"/>
              </w:rPr>
              <w:t>incorporation or organization)</w:t>
            </w:r>
          </w:p>
        </w:tc>
        <w:tc>
          <w:tcPr>
            <w:tcW w:w="4560" w:type="dxa"/>
            <w:vAlign w:val="bottom"/>
          </w:tcPr>
          <w:p>
            <w:pPr>
              <w:jc w:val="center"/>
              <w:spacing w:after="0"/>
              <w:rPr>
                <w:sz w:val="20"/>
                <w:szCs w:val="20"/>
                <w:color w:val="auto"/>
              </w:rPr>
            </w:pPr>
            <w:r>
              <w:rPr>
                <w:rFonts w:ascii="Arial" w:cs="Arial" w:eastAsia="Arial" w:hAnsi="Arial"/>
                <w:sz w:val="13"/>
                <w:szCs w:val="13"/>
                <w:b w:val="1"/>
                <w:bCs w:val="1"/>
                <w:color w:val="auto"/>
                <w:w w:val="94"/>
              </w:rPr>
              <w:t>Classification Code Number)</w:t>
            </w:r>
          </w:p>
        </w:tc>
        <w:tc>
          <w:tcPr>
            <w:tcW w:w="1960" w:type="dxa"/>
            <w:vAlign w:val="bottom"/>
          </w:tcPr>
          <w:p>
            <w:pPr>
              <w:jc w:val="center"/>
              <w:ind w:left="833"/>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J.H. Oortweg 21,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2333 CH Leiden,</w:t>
      </w:r>
    </w:p>
    <w:p>
      <w:pPr>
        <w:jc w:val="center"/>
        <w:spacing w:after="0"/>
        <w:rPr>
          <w:sz w:val="20"/>
          <w:szCs w:val="20"/>
          <w:color w:val="auto"/>
        </w:rPr>
      </w:pPr>
      <w:r>
        <w:rPr>
          <w:rFonts w:ascii="Arial" w:cs="Arial" w:eastAsia="Arial" w:hAnsi="Arial"/>
          <w:sz w:val="13"/>
          <w:szCs w:val="13"/>
          <w:b w:val="1"/>
          <w:bCs w:val="1"/>
          <w:color w:val="auto"/>
        </w:rPr>
        <w:t>The Netherlands</w:t>
      </w:r>
    </w:p>
    <w:p>
      <w:pPr>
        <w:jc w:val="center"/>
        <w:spacing w:after="0" w:line="229" w:lineRule="auto"/>
        <w:rPr>
          <w:sz w:val="20"/>
          <w:szCs w:val="20"/>
          <w:color w:val="auto"/>
        </w:rPr>
      </w:pPr>
      <w:r>
        <w:rPr>
          <w:rFonts w:ascii="Arial" w:cs="Arial" w:eastAsia="Arial" w:hAnsi="Arial"/>
          <w:sz w:val="13"/>
          <w:szCs w:val="13"/>
          <w:b w:val="1"/>
          <w:bCs w:val="1"/>
          <w:color w:val="auto"/>
        </w:rPr>
        <w:t>+31 (0)71 203 6410</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87630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Berndt Modig</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Pharvaris B.V.</w:t>
      </w:r>
    </w:p>
    <w:p>
      <w:pPr>
        <w:jc w:val="center"/>
        <w:spacing w:after="0"/>
        <w:rPr>
          <w:sz w:val="20"/>
          <w:szCs w:val="20"/>
          <w:color w:val="auto"/>
        </w:rPr>
      </w:pPr>
      <w:r>
        <w:rPr>
          <w:rFonts w:ascii="Arial" w:cs="Arial" w:eastAsia="Arial" w:hAnsi="Arial"/>
          <w:sz w:val="13"/>
          <w:szCs w:val="13"/>
          <w:b w:val="1"/>
          <w:bCs w:val="1"/>
          <w:color w:val="auto"/>
        </w:rPr>
        <w:t>J.H. Oortweg 21</w:t>
      </w:r>
    </w:p>
    <w:p>
      <w:pPr>
        <w:jc w:val="center"/>
        <w:spacing w:after="0"/>
        <w:rPr>
          <w:sz w:val="20"/>
          <w:szCs w:val="20"/>
          <w:color w:val="auto"/>
        </w:rPr>
      </w:pPr>
      <w:r>
        <w:rPr>
          <w:rFonts w:ascii="Arial" w:cs="Arial" w:eastAsia="Arial" w:hAnsi="Arial"/>
          <w:sz w:val="13"/>
          <w:szCs w:val="13"/>
          <w:b w:val="1"/>
          <w:bCs w:val="1"/>
          <w:color w:val="auto"/>
        </w:rPr>
        <w:t>2333 CH Leiden</w:t>
      </w:r>
    </w:p>
    <w:p>
      <w:pPr>
        <w:jc w:val="center"/>
        <w:spacing w:after="0"/>
        <w:rPr>
          <w:sz w:val="20"/>
          <w:szCs w:val="20"/>
          <w:color w:val="auto"/>
        </w:rPr>
      </w:pPr>
      <w:r>
        <w:rPr>
          <w:rFonts w:ascii="Arial" w:cs="Arial" w:eastAsia="Arial" w:hAnsi="Arial"/>
          <w:sz w:val="13"/>
          <w:szCs w:val="13"/>
          <w:b w:val="1"/>
          <w:bCs w:val="1"/>
          <w:color w:val="auto"/>
        </w:rPr>
        <w:t>The Netherlands</w:t>
      </w:r>
    </w:p>
    <w:p>
      <w:pPr>
        <w:jc w:val="center"/>
        <w:spacing w:after="0" w:line="229" w:lineRule="auto"/>
        <w:rPr>
          <w:sz w:val="20"/>
          <w:szCs w:val="20"/>
          <w:color w:val="auto"/>
        </w:rPr>
      </w:pPr>
      <w:r>
        <w:rPr>
          <w:rFonts w:ascii="Arial" w:cs="Arial" w:eastAsia="Arial" w:hAnsi="Arial"/>
          <w:sz w:val="13"/>
          <w:szCs w:val="13"/>
          <w:b w:val="1"/>
          <w:bCs w:val="1"/>
          <w:color w:val="auto"/>
        </w:rPr>
        <w:t>+31 (0)71 203 6410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87630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1" w:lineRule="exact"/>
        <w:rPr>
          <w:sz w:val="24"/>
          <w:szCs w:val="24"/>
          <w:color w:val="auto"/>
        </w:rPr>
      </w:pPr>
    </w:p>
    <w:tbl>
      <w:tblPr>
        <w:tblLayout w:type="fixed"/>
        <w:tblInd w:w="112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3500" w:type="dxa"/>
            <w:vAlign w:val="bottom"/>
          </w:tcPr>
          <w:p>
            <w:pPr>
              <w:ind w:left="1420"/>
              <w:spacing w:after="0"/>
              <w:rPr>
                <w:sz w:val="20"/>
                <w:szCs w:val="20"/>
                <w:color w:val="auto"/>
              </w:rPr>
            </w:pPr>
            <w:r>
              <w:rPr>
                <w:rFonts w:ascii="Arial" w:cs="Arial" w:eastAsia="Arial" w:hAnsi="Arial"/>
                <w:sz w:val="13"/>
                <w:szCs w:val="13"/>
                <w:b w:val="1"/>
                <w:bCs w:val="1"/>
                <w:i w:val="1"/>
                <w:iCs w:val="1"/>
                <w:color w:val="auto"/>
              </w:rPr>
              <w:t>Copies to:</w:t>
            </w:r>
          </w:p>
        </w:tc>
        <w:tc>
          <w:tcPr>
            <w:tcW w:w="2960" w:type="dxa"/>
            <w:vAlign w:val="bottom"/>
          </w:tcPr>
          <w:p>
            <w:pPr>
              <w:spacing w:after="0"/>
              <w:rPr>
                <w:sz w:val="14"/>
                <w:szCs w:val="14"/>
                <w:color w:val="auto"/>
              </w:rPr>
            </w:pPr>
          </w:p>
        </w:tc>
      </w:tr>
      <w:tr>
        <w:trPr>
          <w:trHeight w:val="163"/>
        </w:trPr>
        <w:tc>
          <w:tcPr>
            <w:tcW w:w="2800" w:type="dxa"/>
            <w:vAlign w:val="bottom"/>
          </w:tcPr>
          <w:p>
            <w:pPr>
              <w:jc w:val="center"/>
              <w:ind w:right="1153"/>
              <w:spacing w:after="0"/>
              <w:rPr>
                <w:sz w:val="20"/>
                <w:szCs w:val="20"/>
                <w:color w:val="auto"/>
              </w:rPr>
            </w:pPr>
            <w:r>
              <w:rPr>
                <w:rFonts w:ascii="Arial" w:cs="Arial" w:eastAsia="Arial" w:hAnsi="Arial"/>
                <w:sz w:val="13"/>
                <w:szCs w:val="13"/>
                <w:b w:val="1"/>
                <w:bCs w:val="1"/>
                <w:color w:val="auto"/>
                <w:w w:val="92"/>
              </w:rPr>
              <w:t>Sophia Hudson, P.C.</w:t>
            </w:r>
          </w:p>
        </w:tc>
        <w:tc>
          <w:tcPr>
            <w:tcW w:w="3500" w:type="dxa"/>
            <w:vAlign w:val="bottom"/>
          </w:tcPr>
          <w:p>
            <w:pPr>
              <w:jc w:val="center"/>
              <w:ind w:left="93"/>
              <w:spacing w:after="0"/>
              <w:rPr>
                <w:sz w:val="20"/>
                <w:szCs w:val="20"/>
                <w:color w:val="auto"/>
              </w:rPr>
            </w:pPr>
            <w:r>
              <w:rPr>
                <w:rFonts w:ascii="Arial" w:cs="Arial" w:eastAsia="Arial" w:hAnsi="Arial"/>
                <w:sz w:val="13"/>
                <w:szCs w:val="13"/>
                <w:b w:val="1"/>
                <w:bCs w:val="1"/>
                <w:color w:val="auto"/>
                <w:w w:val="96"/>
              </w:rPr>
              <w:t>Paul van der Bijl</w:t>
            </w:r>
          </w:p>
        </w:tc>
        <w:tc>
          <w:tcPr>
            <w:tcW w:w="2960" w:type="dxa"/>
            <w:vAlign w:val="bottom"/>
          </w:tcPr>
          <w:p>
            <w:pPr>
              <w:jc w:val="center"/>
              <w:ind w:left="1033"/>
              <w:spacing w:after="0"/>
              <w:rPr>
                <w:sz w:val="20"/>
                <w:szCs w:val="20"/>
                <w:color w:val="auto"/>
              </w:rPr>
            </w:pPr>
            <w:r>
              <w:rPr>
                <w:rFonts w:ascii="Arial" w:cs="Arial" w:eastAsia="Arial" w:hAnsi="Arial"/>
                <w:sz w:val="13"/>
                <w:szCs w:val="13"/>
                <w:b w:val="1"/>
                <w:bCs w:val="1"/>
                <w:color w:val="auto"/>
                <w:w w:val="95"/>
              </w:rPr>
              <w:t>Frank F. Rahmani, Esq.</w:t>
            </w:r>
          </w:p>
        </w:tc>
      </w:tr>
      <w:tr>
        <w:trPr>
          <w:trHeight w:val="148"/>
        </w:trPr>
        <w:tc>
          <w:tcPr>
            <w:tcW w:w="2800" w:type="dxa"/>
            <w:vAlign w:val="bottom"/>
          </w:tcPr>
          <w:p>
            <w:pPr>
              <w:jc w:val="center"/>
              <w:ind w:right="1133"/>
              <w:spacing w:after="0"/>
              <w:rPr>
                <w:sz w:val="20"/>
                <w:szCs w:val="20"/>
                <w:color w:val="auto"/>
              </w:rPr>
            </w:pPr>
            <w:r>
              <w:rPr>
                <w:rFonts w:ascii="Arial" w:cs="Arial" w:eastAsia="Arial" w:hAnsi="Arial"/>
                <w:sz w:val="13"/>
                <w:szCs w:val="13"/>
                <w:b w:val="1"/>
                <w:bCs w:val="1"/>
                <w:color w:val="auto"/>
                <w:w w:val="93"/>
              </w:rPr>
              <w:t>Jennifer Lee, Esq.</w:t>
            </w:r>
          </w:p>
        </w:tc>
        <w:tc>
          <w:tcPr>
            <w:tcW w:w="3500" w:type="dxa"/>
            <w:vAlign w:val="bottom"/>
          </w:tcPr>
          <w:p>
            <w:pPr>
              <w:jc w:val="center"/>
              <w:ind w:left="73"/>
              <w:spacing w:after="0"/>
              <w:rPr>
                <w:sz w:val="20"/>
                <w:szCs w:val="20"/>
                <w:color w:val="auto"/>
              </w:rPr>
            </w:pPr>
            <w:r>
              <w:rPr>
                <w:rFonts w:ascii="Arial" w:cs="Arial" w:eastAsia="Arial" w:hAnsi="Arial"/>
                <w:sz w:val="13"/>
                <w:szCs w:val="13"/>
                <w:b w:val="1"/>
                <w:bCs w:val="1"/>
                <w:color w:val="auto"/>
                <w:w w:val="98"/>
              </w:rPr>
              <w:t>NautaDutilh N.V.</w:t>
            </w:r>
          </w:p>
        </w:tc>
        <w:tc>
          <w:tcPr>
            <w:tcW w:w="2960" w:type="dxa"/>
            <w:vAlign w:val="bottom"/>
          </w:tcPr>
          <w:p>
            <w:pPr>
              <w:jc w:val="center"/>
              <w:ind w:left="1033"/>
              <w:spacing w:after="0"/>
              <w:rPr>
                <w:sz w:val="20"/>
                <w:szCs w:val="20"/>
                <w:color w:val="auto"/>
              </w:rPr>
            </w:pPr>
            <w:r>
              <w:rPr>
                <w:rFonts w:ascii="Arial" w:cs="Arial" w:eastAsia="Arial" w:hAnsi="Arial"/>
                <w:sz w:val="13"/>
                <w:szCs w:val="13"/>
                <w:b w:val="1"/>
                <w:bCs w:val="1"/>
                <w:color w:val="auto"/>
                <w:w w:val="95"/>
              </w:rPr>
              <w:t>Samir A. Gandhi, Esq.</w:t>
            </w:r>
          </w:p>
        </w:tc>
      </w:tr>
      <w:tr>
        <w:trPr>
          <w:trHeight w:val="148"/>
        </w:trPr>
        <w:tc>
          <w:tcPr>
            <w:tcW w:w="2800" w:type="dxa"/>
            <w:vAlign w:val="bottom"/>
          </w:tcPr>
          <w:p>
            <w:pPr>
              <w:jc w:val="center"/>
              <w:ind w:right="1153"/>
              <w:spacing w:after="0"/>
              <w:rPr>
                <w:sz w:val="20"/>
                <w:szCs w:val="20"/>
                <w:color w:val="auto"/>
              </w:rPr>
            </w:pPr>
            <w:r>
              <w:rPr>
                <w:rFonts w:ascii="Arial" w:cs="Arial" w:eastAsia="Arial" w:hAnsi="Arial"/>
                <w:sz w:val="13"/>
                <w:szCs w:val="13"/>
                <w:b w:val="1"/>
                <w:bCs w:val="1"/>
                <w:color w:val="auto"/>
              </w:rPr>
              <w:t>Kirkland &amp; Ellis LLP</w:t>
            </w:r>
          </w:p>
        </w:tc>
        <w:tc>
          <w:tcPr>
            <w:tcW w:w="3500" w:type="dxa"/>
            <w:vAlign w:val="bottom"/>
          </w:tcPr>
          <w:p>
            <w:pPr>
              <w:jc w:val="center"/>
              <w:ind w:left="93"/>
              <w:spacing w:after="0"/>
              <w:rPr>
                <w:sz w:val="20"/>
                <w:szCs w:val="20"/>
                <w:color w:val="auto"/>
              </w:rPr>
            </w:pPr>
            <w:r>
              <w:rPr>
                <w:rFonts w:ascii="Arial" w:cs="Arial" w:eastAsia="Arial" w:hAnsi="Arial"/>
                <w:sz w:val="13"/>
                <w:szCs w:val="13"/>
                <w:b w:val="1"/>
                <w:bCs w:val="1"/>
                <w:color w:val="auto"/>
                <w:w w:val="92"/>
              </w:rPr>
              <w:t>Beethovenstraat 400</w:t>
            </w:r>
          </w:p>
        </w:tc>
        <w:tc>
          <w:tcPr>
            <w:tcW w:w="2960" w:type="dxa"/>
            <w:vAlign w:val="bottom"/>
          </w:tcPr>
          <w:p>
            <w:pPr>
              <w:jc w:val="center"/>
              <w:ind w:left="1033"/>
              <w:spacing w:after="0"/>
              <w:rPr>
                <w:sz w:val="20"/>
                <w:szCs w:val="20"/>
                <w:color w:val="auto"/>
              </w:rPr>
            </w:pPr>
            <w:r>
              <w:rPr>
                <w:rFonts w:ascii="Arial" w:cs="Arial" w:eastAsia="Arial" w:hAnsi="Arial"/>
                <w:sz w:val="13"/>
                <w:szCs w:val="13"/>
                <w:b w:val="1"/>
                <w:bCs w:val="1"/>
                <w:color w:val="auto"/>
                <w:w w:val="95"/>
              </w:rPr>
              <w:t>Sidley Austin LLP</w:t>
            </w:r>
          </w:p>
        </w:tc>
      </w:tr>
      <w:tr>
        <w:trPr>
          <w:trHeight w:val="149"/>
        </w:trPr>
        <w:tc>
          <w:tcPr>
            <w:tcW w:w="2800" w:type="dxa"/>
            <w:vAlign w:val="bottom"/>
          </w:tcPr>
          <w:p>
            <w:pPr>
              <w:jc w:val="center"/>
              <w:ind w:right="1133"/>
              <w:spacing w:after="0"/>
              <w:rPr>
                <w:sz w:val="20"/>
                <w:szCs w:val="20"/>
                <w:color w:val="auto"/>
              </w:rPr>
            </w:pPr>
            <w:r>
              <w:rPr>
                <w:rFonts w:ascii="Arial" w:cs="Arial" w:eastAsia="Arial" w:hAnsi="Arial"/>
                <w:sz w:val="13"/>
                <w:szCs w:val="13"/>
                <w:b w:val="1"/>
                <w:bCs w:val="1"/>
                <w:color w:val="auto"/>
                <w:w w:val="92"/>
              </w:rPr>
              <w:t>601 Lexington Avenue</w:t>
            </w:r>
          </w:p>
        </w:tc>
        <w:tc>
          <w:tcPr>
            <w:tcW w:w="3500" w:type="dxa"/>
            <w:vAlign w:val="bottom"/>
          </w:tcPr>
          <w:p>
            <w:pPr>
              <w:jc w:val="center"/>
              <w:ind w:left="73"/>
              <w:spacing w:after="0"/>
              <w:rPr>
                <w:sz w:val="20"/>
                <w:szCs w:val="20"/>
                <w:color w:val="auto"/>
              </w:rPr>
            </w:pPr>
            <w:r>
              <w:rPr>
                <w:rFonts w:ascii="Arial" w:cs="Arial" w:eastAsia="Arial" w:hAnsi="Arial"/>
                <w:sz w:val="13"/>
                <w:szCs w:val="13"/>
                <w:b w:val="1"/>
                <w:bCs w:val="1"/>
                <w:color w:val="auto"/>
                <w:w w:val="95"/>
              </w:rPr>
              <w:t>1082 PR Amsterdam</w:t>
            </w:r>
          </w:p>
        </w:tc>
        <w:tc>
          <w:tcPr>
            <w:tcW w:w="2960" w:type="dxa"/>
            <w:vAlign w:val="bottom"/>
          </w:tcPr>
          <w:p>
            <w:pPr>
              <w:jc w:val="center"/>
              <w:ind w:left="1033"/>
              <w:spacing w:after="0"/>
              <w:rPr>
                <w:sz w:val="20"/>
                <w:szCs w:val="20"/>
                <w:color w:val="auto"/>
              </w:rPr>
            </w:pPr>
            <w:r>
              <w:rPr>
                <w:rFonts w:ascii="Arial" w:cs="Arial" w:eastAsia="Arial" w:hAnsi="Arial"/>
                <w:sz w:val="13"/>
                <w:szCs w:val="13"/>
                <w:b w:val="1"/>
                <w:bCs w:val="1"/>
                <w:color w:val="auto"/>
                <w:w w:val="94"/>
              </w:rPr>
              <w:t>555 California Street, Suite 2000</w:t>
            </w:r>
          </w:p>
        </w:tc>
      </w:tr>
      <w:tr>
        <w:trPr>
          <w:trHeight w:val="148"/>
        </w:trPr>
        <w:tc>
          <w:tcPr>
            <w:tcW w:w="2800" w:type="dxa"/>
            <w:vAlign w:val="bottom"/>
          </w:tcPr>
          <w:p>
            <w:pPr>
              <w:jc w:val="center"/>
              <w:ind w:right="1153"/>
              <w:spacing w:after="0"/>
              <w:rPr>
                <w:sz w:val="20"/>
                <w:szCs w:val="20"/>
                <w:color w:val="auto"/>
              </w:rPr>
            </w:pPr>
            <w:r>
              <w:rPr>
                <w:rFonts w:ascii="Arial" w:cs="Arial" w:eastAsia="Arial" w:hAnsi="Arial"/>
                <w:sz w:val="13"/>
                <w:szCs w:val="13"/>
                <w:b w:val="1"/>
                <w:bCs w:val="1"/>
                <w:color w:val="auto"/>
                <w:w w:val="95"/>
              </w:rPr>
              <w:t>New York, New York 10022</w:t>
            </w:r>
          </w:p>
        </w:tc>
        <w:tc>
          <w:tcPr>
            <w:tcW w:w="3500" w:type="dxa"/>
            <w:vAlign w:val="bottom"/>
          </w:tcPr>
          <w:p>
            <w:pPr>
              <w:jc w:val="center"/>
              <w:ind w:left="73"/>
              <w:spacing w:after="0"/>
              <w:rPr>
                <w:sz w:val="20"/>
                <w:szCs w:val="20"/>
                <w:color w:val="auto"/>
              </w:rPr>
            </w:pPr>
            <w:r>
              <w:rPr>
                <w:rFonts w:ascii="Arial" w:cs="Arial" w:eastAsia="Arial" w:hAnsi="Arial"/>
                <w:sz w:val="13"/>
                <w:szCs w:val="13"/>
                <w:b w:val="1"/>
                <w:bCs w:val="1"/>
                <w:color w:val="auto"/>
                <w:w w:val="94"/>
              </w:rPr>
              <w:t>The Netherlands</w:t>
            </w:r>
          </w:p>
        </w:tc>
        <w:tc>
          <w:tcPr>
            <w:tcW w:w="2960" w:type="dxa"/>
            <w:vAlign w:val="bottom"/>
          </w:tcPr>
          <w:p>
            <w:pPr>
              <w:jc w:val="center"/>
              <w:ind w:left="1013"/>
              <w:spacing w:after="0"/>
              <w:rPr>
                <w:sz w:val="20"/>
                <w:szCs w:val="20"/>
                <w:color w:val="auto"/>
              </w:rPr>
            </w:pPr>
            <w:r>
              <w:rPr>
                <w:rFonts w:ascii="Arial" w:cs="Arial" w:eastAsia="Arial" w:hAnsi="Arial"/>
                <w:sz w:val="13"/>
                <w:szCs w:val="13"/>
                <w:b w:val="1"/>
                <w:bCs w:val="1"/>
                <w:color w:val="auto"/>
                <w:w w:val="93"/>
              </w:rPr>
              <w:t>San Francisco, California 94104</w:t>
            </w:r>
          </w:p>
        </w:tc>
      </w:tr>
      <w:tr>
        <w:trPr>
          <w:trHeight w:val="174"/>
        </w:trPr>
        <w:tc>
          <w:tcPr>
            <w:tcW w:w="2800" w:type="dxa"/>
            <w:vAlign w:val="bottom"/>
          </w:tcPr>
          <w:p>
            <w:pPr>
              <w:jc w:val="center"/>
              <w:ind w:right="1153"/>
              <w:spacing w:after="0"/>
              <w:rPr>
                <w:sz w:val="20"/>
                <w:szCs w:val="20"/>
                <w:color w:val="auto"/>
              </w:rPr>
            </w:pPr>
            <w:r>
              <w:rPr>
                <w:rFonts w:ascii="Arial" w:cs="Arial" w:eastAsia="Arial" w:hAnsi="Arial"/>
                <w:sz w:val="13"/>
                <w:szCs w:val="13"/>
                <w:b w:val="1"/>
                <w:bCs w:val="1"/>
                <w:color w:val="auto"/>
                <w:w w:val="96"/>
              </w:rPr>
              <w:t>(212) 446-4800</w:t>
            </w:r>
          </w:p>
        </w:tc>
        <w:tc>
          <w:tcPr>
            <w:tcW w:w="3500" w:type="dxa"/>
            <w:vAlign w:val="bottom"/>
          </w:tcPr>
          <w:p>
            <w:pPr>
              <w:jc w:val="center"/>
              <w:ind w:left="93"/>
              <w:spacing w:after="0"/>
              <w:rPr>
                <w:sz w:val="20"/>
                <w:szCs w:val="20"/>
                <w:color w:val="auto"/>
              </w:rPr>
            </w:pPr>
            <w:r>
              <w:rPr>
                <w:rFonts w:ascii="Arial" w:cs="Arial" w:eastAsia="Arial" w:hAnsi="Arial"/>
                <w:sz w:val="13"/>
                <w:szCs w:val="13"/>
                <w:b w:val="1"/>
                <w:bCs w:val="1"/>
                <w:color w:val="auto"/>
                <w:w w:val="95"/>
              </w:rPr>
              <w:t>+31 (20) 717-1000</w:t>
            </w:r>
          </w:p>
        </w:tc>
        <w:tc>
          <w:tcPr>
            <w:tcW w:w="2960" w:type="dxa"/>
            <w:vAlign w:val="bottom"/>
          </w:tcPr>
          <w:p>
            <w:pPr>
              <w:jc w:val="center"/>
              <w:ind w:left="1013"/>
              <w:spacing w:after="0"/>
              <w:rPr>
                <w:sz w:val="20"/>
                <w:szCs w:val="20"/>
                <w:color w:val="auto"/>
              </w:rPr>
            </w:pPr>
            <w:r>
              <w:rPr>
                <w:rFonts w:ascii="Arial" w:cs="Arial" w:eastAsia="Arial" w:hAnsi="Arial"/>
                <w:sz w:val="13"/>
                <w:szCs w:val="13"/>
                <w:b w:val="1"/>
                <w:bCs w:val="1"/>
                <w:color w:val="auto"/>
                <w:w w:val="94"/>
              </w:rPr>
              <w:t>(415) 772-1200</w:t>
            </w: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101600</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5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right="100"/>
        <w:spacing w:after="0" w:line="162" w:lineRule="exact"/>
        <w:rPr>
          <w:sz w:val="20"/>
          <w:szCs w:val="20"/>
          <w:color w:val="auto"/>
        </w:rPr>
      </w:pPr>
      <w:r>
        <w:rPr>
          <w:rFonts w:ascii="Arial" w:cs="Arial" w:eastAsia="Arial" w:hAnsi="Arial"/>
          <w:sz w:val="13"/>
          <w:szCs w:val="13"/>
          <w:color w:val="auto"/>
        </w:rPr>
        <w:t xml:space="preserve">If this Form is filed to registered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 w:lineRule="exact"/>
        <w:rPr>
          <w:sz w:val="24"/>
          <w:szCs w:val="24"/>
          <w:color w:val="auto"/>
        </w:rPr>
      </w:pPr>
    </w:p>
    <w:p>
      <w:pPr>
        <w:ind w:right="34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right="32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12" w:lineRule="exact"/>
        <w:rPr>
          <w:sz w:val="24"/>
          <w:szCs w:val="24"/>
          <w:color w:val="auto"/>
        </w:rPr>
      </w:pPr>
    </w:p>
    <w:p>
      <w:pPr>
        <w:spacing w:after="0" w:line="161" w:lineRule="exact"/>
        <w:tabs>
          <w:tab w:leader="none" w:pos="1800" w:val="left"/>
        </w:tabs>
        <w:rPr>
          <w:sz w:val="20"/>
          <w:szCs w:val="20"/>
          <w:color w:val="auto"/>
        </w:rPr>
      </w:pP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3" w:lineRule="exact"/>
        <w:rPr>
          <w:sz w:val="24"/>
          <w:szCs w:val="24"/>
          <w:color w:val="auto"/>
        </w:rPr>
      </w:pPr>
    </w:p>
    <w:p>
      <w:pPr>
        <w:ind w:right="580"/>
        <w:spacing w:after="0" w:line="167"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6" w:lineRule="exact"/>
        <w:rPr>
          <w:sz w:val="24"/>
          <w:szCs w:val="24"/>
          <w:color w:val="auto"/>
        </w:rPr>
      </w:pPr>
    </w:p>
    <w:p>
      <w:pPr>
        <w:ind w:right="320" w:firstLine="8"/>
        <w:spacing w:after="0" w:line="269" w:lineRule="auto"/>
        <w:tabs>
          <w:tab w:leader="none" w:pos="191"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intend to convert the legal form of our Company under Dutch law from a private company with limited liability (besloten vennootschap met beperkte aansprakelijkheid) to a public company with limited liability (naamloze vennootschap) and change our name from Pharvaris B.V. to Pharvaris N.V. prior to the consummation of this offering.</w:t>
      </w: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9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97"/>
        </w:trPr>
        <w:tc>
          <w:tcPr>
            <w:tcW w:w="498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80" w:type="dxa"/>
            <w:vAlign w:val="bottom"/>
            <w:tcBorders>
              <w:right w:val="single" w:sz="8" w:color="auto"/>
            </w:tcBorders>
          </w:tcPr>
          <w:p>
            <w:pPr>
              <w:spacing w:after="0"/>
              <w:rPr>
                <w:sz w:val="8"/>
                <w:szCs w:val="8"/>
                <w:color w:val="auto"/>
              </w:rPr>
            </w:pPr>
          </w:p>
        </w:tc>
        <w:tc>
          <w:tcPr>
            <w:tcW w:w="1540" w:type="dxa"/>
            <w:vAlign w:val="bottom"/>
          </w:tcPr>
          <w:p>
            <w:pPr>
              <w:spacing w:after="0"/>
              <w:rPr>
                <w:sz w:val="8"/>
                <w:szCs w:val="8"/>
                <w:color w:val="auto"/>
              </w:rPr>
            </w:pPr>
          </w:p>
        </w:tc>
      </w:tr>
      <w:tr>
        <w:trPr>
          <w:trHeight w:val="135"/>
        </w:trPr>
        <w:tc>
          <w:tcPr>
            <w:tcW w:w="49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jc w:val="center"/>
              <w:ind w:left="18"/>
              <w:spacing w:after="0" w:line="135" w:lineRule="exact"/>
              <w:rPr>
                <w:sz w:val="20"/>
                <w:szCs w:val="20"/>
                <w:color w:val="auto"/>
              </w:rPr>
            </w:pPr>
            <w:r>
              <w:rPr>
                <w:rFonts w:ascii="Arial" w:cs="Arial" w:eastAsia="Arial" w:hAnsi="Arial"/>
                <w:sz w:val="13"/>
                <w:szCs w:val="13"/>
                <w:b w:val="1"/>
                <w:bCs w:val="1"/>
                <w:color w:val="auto"/>
                <w:w w:val="93"/>
              </w:rPr>
              <w:t>Maximum</w:t>
            </w:r>
          </w:p>
        </w:tc>
        <w:tc>
          <w:tcPr>
            <w:tcW w:w="1580" w:type="dxa"/>
            <w:vAlign w:val="bottom"/>
            <w:tcBorders>
              <w:right w:val="single" w:sz="8" w:color="auto"/>
            </w:tcBorders>
          </w:tcPr>
          <w:p>
            <w:pPr>
              <w:jc w:val="center"/>
              <w:ind w:left="16"/>
              <w:spacing w:after="0" w:line="135" w:lineRule="exact"/>
              <w:rPr>
                <w:sz w:val="20"/>
                <w:szCs w:val="20"/>
                <w:color w:val="auto"/>
              </w:rPr>
            </w:pPr>
            <w:r>
              <w:rPr>
                <w:rFonts w:ascii="Arial" w:cs="Arial" w:eastAsia="Arial" w:hAnsi="Arial"/>
                <w:sz w:val="13"/>
                <w:szCs w:val="13"/>
                <w:b w:val="1"/>
                <w:bCs w:val="1"/>
                <w:color w:val="auto"/>
                <w:w w:val="83"/>
              </w:rPr>
              <w:t>Proposed</w:t>
            </w:r>
          </w:p>
        </w:tc>
        <w:tc>
          <w:tcPr>
            <w:tcW w:w="1540" w:type="dxa"/>
            <w:vAlign w:val="bottom"/>
          </w:tcPr>
          <w:p>
            <w:pPr>
              <w:spacing w:after="0"/>
              <w:rPr>
                <w:sz w:val="11"/>
                <w:szCs w:val="11"/>
                <w:color w:val="auto"/>
              </w:rPr>
            </w:pPr>
          </w:p>
        </w:tc>
      </w:tr>
      <w:tr>
        <w:trPr>
          <w:trHeight w:val="135"/>
        </w:trPr>
        <w:tc>
          <w:tcPr>
            <w:tcW w:w="49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jc w:val="center"/>
              <w:ind w:left="18"/>
              <w:spacing w:after="0" w:line="135" w:lineRule="exact"/>
              <w:rPr>
                <w:sz w:val="20"/>
                <w:szCs w:val="20"/>
                <w:color w:val="auto"/>
              </w:rPr>
            </w:pPr>
            <w:r>
              <w:rPr>
                <w:rFonts w:ascii="Arial" w:cs="Arial" w:eastAsia="Arial" w:hAnsi="Arial"/>
                <w:sz w:val="13"/>
                <w:szCs w:val="13"/>
                <w:b w:val="1"/>
                <w:bCs w:val="1"/>
                <w:color w:val="auto"/>
                <w:w w:val="87"/>
              </w:rPr>
              <w:t>Aggregate</w:t>
            </w:r>
          </w:p>
        </w:tc>
        <w:tc>
          <w:tcPr>
            <w:tcW w:w="1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Pr>
          <w:p>
            <w:pPr>
              <w:spacing w:after="0"/>
              <w:rPr>
                <w:sz w:val="11"/>
                <w:szCs w:val="11"/>
                <w:color w:val="auto"/>
              </w:rPr>
            </w:pPr>
          </w:p>
        </w:tc>
      </w:tr>
      <w:tr>
        <w:trPr>
          <w:trHeight w:val="135"/>
        </w:trPr>
        <w:tc>
          <w:tcPr>
            <w:tcW w:w="4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580" w:type="dxa"/>
            <w:vAlign w:val="bottom"/>
            <w:tcBorders>
              <w:right w:val="single" w:sz="8" w:color="auto"/>
            </w:tcBorders>
          </w:tcPr>
          <w:p>
            <w:pPr>
              <w:ind w:left="460"/>
              <w:spacing w:after="0" w:line="135" w:lineRule="exact"/>
              <w:rPr>
                <w:sz w:val="20"/>
                <w:szCs w:val="20"/>
                <w:color w:val="auto"/>
              </w:rPr>
            </w:pPr>
            <w:r>
              <w:rPr>
                <w:rFonts w:ascii="Arial" w:cs="Arial" w:eastAsia="Arial" w:hAnsi="Arial"/>
                <w:sz w:val="13"/>
                <w:szCs w:val="13"/>
                <w:b w:val="1"/>
                <w:bCs w:val="1"/>
                <w:color w:val="auto"/>
              </w:rPr>
              <w:t>Amount to be</w:t>
            </w:r>
          </w:p>
        </w:tc>
        <w:tc>
          <w:tcPr>
            <w:tcW w:w="1560" w:type="dxa"/>
            <w:vAlign w:val="bottom"/>
            <w:tcBorders>
              <w:right w:val="single" w:sz="8" w:color="auto"/>
            </w:tcBorders>
          </w:tcPr>
          <w:p>
            <w:pPr>
              <w:jc w:val="center"/>
              <w:ind w:left="18"/>
              <w:spacing w:after="0" w:line="135" w:lineRule="exact"/>
              <w:rPr>
                <w:sz w:val="20"/>
                <w:szCs w:val="20"/>
                <w:color w:val="auto"/>
              </w:rPr>
            </w:pPr>
            <w:r>
              <w:rPr>
                <w:rFonts w:ascii="Arial" w:cs="Arial" w:eastAsia="Arial" w:hAnsi="Arial"/>
                <w:sz w:val="13"/>
                <w:szCs w:val="13"/>
                <w:b w:val="1"/>
                <w:bCs w:val="1"/>
                <w:color w:val="auto"/>
                <w:w w:val="88"/>
              </w:rPr>
              <w:t>Offering Price</w:t>
            </w:r>
          </w:p>
        </w:tc>
        <w:tc>
          <w:tcPr>
            <w:tcW w:w="1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 Offering</w:t>
            </w:r>
          </w:p>
        </w:tc>
        <w:tc>
          <w:tcPr>
            <w:tcW w:w="15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53"/>
        </w:trPr>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80" w:type="dxa"/>
            <w:vAlign w:val="bottom"/>
            <w:tcBorders>
              <w:bottom w:val="single" w:sz="8" w:color="auto"/>
              <w:right w:val="single" w:sz="8" w:color="auto"/>
            </w:tcBorders>
          </w:tcPr>
          <w:p>
            <w:pPr>
              <w:jc w:val="center"/>
              <w:ind w:left="36"/>
              <w:spacing w:after="0"/>
              <w:rPr>
                <w:sz w:val="20"/>
                <w:szCs w:val="20"/>
                <w:color w:val="auto"/>
              </w:rPr>
            </w:pPr>
            <w:r>
              <w:rPr>
                <w:rFonts w:ascii="Arial" w:cs="Arial" w:eastAsia="Arial" w:hAnsi="Arial"/>
                <w:sz w:val="13"/>
                <w:szCs w:val="13"/>
                <w:b w:val="1"/>
                <w:bCs w:val="1"/>
                <w:color w:val="auto"/>
                <w:w w:val="86"/>
              </w:rPr>
              <w:t>Registered(1)</w:t>
            </w:r>
          </w:p>
        </w:tc>
        <w:tc>
          <w:tcPr>
            <w:tcW w:w="1560" w:type="dxa"/>
            <w:vAlign w:val="bottom"/>
            <w:tcBorders>
              <w:bottom w:val="single" w:sz="8" w:color="auto"/>
              <w:right w:val="single" w:sz="8" w:color="auto"/>
            </w:tcBorders>
          </w:tcPr>
          <w:p>
            <w:pPr>
              <w:jc w:val="center"/>
              <w:ind w:left="18"/>
              <w:spacing w:after="0"/>
              <w:rPr>
                <w:sz w:val="20"/>
                <w:szCs w:val="20"/>
                <w:color w:val="auto"/>
              </w:rPr>
            </w:pPr>
            <w:r>
              <w:rPr>
                <w:rFonts w:ascii="Arial" w:cs="Arial" w:eastAsia="Arial" w:hAnsi="Arial"/>
                <w:sz w:val="13"/>
                <w:szCs w:val="13"/>
                <w:b w:val="1"/>
                <w:bCs w:val="1"/>
                <w:color w:val="auto"/>
                <w:w w:val="88"/>
              </w:rPr>
              <w:t>Per Share(2)</w:t>
            </w:r>
          </w:p>
        </w:tc>
        <w:tc>
          <w:tcPr>
            <w:tcW w:w="158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1"/>
              </w:rPr>
              <w:t>Price(1)(2)</w:t>
            </w:r>
          </w:p>
        </w:tc>
        <w:tc>
          <w:tcPr>
            <w:tcW w:w="154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86"/>
              </w:rPr>
              <w:t>Registration Fee(3)</w:t>
            </w:r>
          </w:p>
        </w:tc>
      </w:tr>
      <w:tr>
        <w:trPr>
          <w:trHeight w:val="142"/>
        </w:trPr>
        <w:tc>
          <w:tcPr>
            <w:tcW w:w="49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Ordinary shares, par value €0.12 per share</w:t>
            </w:r>
          </w:p>
        </w:tc>
        <w:tc>
          <w:tcPr>
            <w:tcW w:w="1580" w:type="dxa"/>
            <w:vAlign w:val="bottom"/>
            <w:tcBorders>
              <w:bottom w:val="single" w:sz="8" w:color="auto"/>
              <w:right w:val="single" w:sz="8" w:color="auto"/>
            </w:tcBorders>
          </w:tcPr>
          <w:p>
            <w:pPr>
              <w:jc w:val="right"/>
              <w:ind w:right="416"/>
              <w:spacing w:after="0" w:line="142" w:lineRule="exact"/>
              <w:rPr>
                <w:sz w:val="20"/>
                <w:szCs w:val="20"/>
                <w:color w:val="auto"/>
              </w:rPr>
            </w:pPr>
            <w:r>
              <w:rPr>
                <w:rFonts w:ascii="Arial" w:cs="Arial" w:eastAsia="Arial" w:hAnsi="Arial"/>
                <w:sz w:val="13"/>
                <w:szCs w:val="13"/>
                <w:color w:val="auto"/>
              </w:rPr>
              <w:t>7,992,500</w:t>
            </w:r>
          </w:p>
        </w:tc>
        <w:tc>
          <w:tcPr>
            <w:tcW w:w="1560" w:type="dxa"/>
            <w:vAlign w:val="bottom"/>
            <w:tcBorders>
              <w:bottom w:val="single" w:sz="8" w:color="auto"/>
              <w:right w:val="single" w:sz="8" w:color="auto"/>
            </w:tcBorders>
          </w:tcPr>
          <w:p>
            <w:pPr>
              <w:jc w:val="center"/>
              <w:ind w:left="18"/>
              <w:spacing w:after="0" w:line="142" w:lineRule="exact"/>
              <w:rPr>
                <w:sz w:val="20"/>
                <w:szCs w:val="20"/>
                <w:color w:val="auto"/>
              </w:rPr>
            </w:pPr>
            <w:r>
              <w:rPr>
                <w:rFonts w:ascii="Arial" w:cs="Arial" w:eastAsia="Arial" w:hAnsi="Arial"/>
                <w:sz w:val="13"/>
                <w:szCs w:val="13"/>
                <w:color w:val="auto"/>
                <w:w w:val="90"/>
              </w:rPr>
              <w:t>$19.00</w:t>
            </w:r>
          </w:p>
        </w:tc>
        <w:tc>
          <w:tcPr>
            <w:tcW w:w="1580" w:type="dxa"/>
            <w:vAlign w:val="bottom"/>
            <w:tcBorders>
              <w:bottom w:val="single" w:sz="8" w:color="auto"/>
              <w:right w:val="single" w:sz="8" w:color="auto"/>
            </w:tcBorders>
          </w:tcPr>
          <w:p>
            <w:pPr>
              <w:jc w:val="right"/>
              <w:ind w:right="316"/>
              <w:spacing w:after="0" w:line="142" w:lineRule="exact"/>
              <w:rPr>
                <w:sz w:val="20"/>
                <w:szCs w:val="20"/>
                <w:color w:val="auto"/>
              </w:rPr>
            </w:pPr>
            <w:r>
              <w:rPr>
                <w:rFonts w:ascii="Arial" w:cs="Arial" w:eastAsia="Arial" w:hAnsi="Arial"/>
                <w:sz w:val="13"/>
                <w:szCs w:val="13"/>
                <w:color w:val="auto"/>
              </w:rPr>
              <w:t>$151,857,500</w:t>
            </w:r>
          </w:p>
        </w:tc>
        <w:tc>
          <w:tcPr>
            <w:tcW w:w="1540" w:type="dxa"/>
            <w:vAlign w:val="bottom"/>
            <w:tcBorders>
              <w:bottom w:val="single" w:sz="8" w:color="auto"/>
            </w:tcBorders>
          </w:tcPr>
          <w:p>
            <w:pPr>
              <w:jc w:val="center"/>
              <w:ind w:left="36"/>
              <w:spacing w:after="0" w:line="142" w:lineRule="exact"/>
              <w:rPr>
                <w:sz w:val="20"/>
                <w:szCs w:val="20"/>
                <w:color w:val="auto"/>
              </w:rPr>
            </w:pPr>
            <w:r>
              <w:rPr>
                <w:rFonts w:ascii="Arial" w:cs="Arial" w:eastAsia="Arial" w:hAnsi="Arial"/>
                <w:sz w:val="13"/>
                <w:szCs w:val="13"/>
                <w:color w:val="auto"/>
                <w:w w:val="93"/>
              </w:rPr>
              <w:t>$16,568</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1,042,500 ordinary shares that may be purchased by the underwriters upon the exercise of their option to purchase additional shares. See “Underwriting.”</w:t>
      </w:r>
    </w:p>
    <w:p>
      <w:pPr>
        <w:spacing w:after="0" w:line="11"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457(a) under the Securities Act of 1933, as amended.</w:t>
      </w:r>
    </w:p>
    <w:p>
      <w:pPr>
        <w:ind w:left="340" w:right="180" w:hanging="332"/>
        <w:spacing w:after="0" w:line="255"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previously paid $10,910 of the registration fee, with respect to $100,000,000 of the proposed maximum aggregate offering price,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97790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88" w:lineRule="exact"/>
        <w:rPr>
          <w:sz w:val="24"/>
          <w:szCs w:val="24"/>
          <w:color w:val="auto"/>
        </w:rPr>
      </w:pPr>
    </w:p>
    <w:p>
      <w:pPr>
        <w:ind w:right="140"/>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DE1A1E"/>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it’s not soliciting an offer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PRELIMINARY PROSPECTUS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SUBJECT TO COMPLETION, DATED FEBRUARY 1, 2021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6,950,000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173355</wp:posOffset>
            </wp:positionV>
            <wp:extent cx="136271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271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Pharvaris B.V.</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 be converted and renamed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Pharvaris N.V.</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 public company with limited liability 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237490</wp:posOffset>
            </wp:positionV>
            <wp:extent cx="1491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We are offering 6,950,000 ordinary shares. This is our initial public offering and no public market currently exists for our ordinary shares. We expect our initial public offering price will be between $17.00 and $19.00 per ordinary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applied to list our ordinary shares on the Nasdaq Global Market under the symbol “PHVS.”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color w:val="auto"/>
        </w:rPr>
        <w:t>We are an “emerging growth company” and a “foreign private issuer” as defined under the Securities and Exchange Commission, or SEC, rules and will be subject to reduced public company reporting requirements for this prospectus and future filings. See, “Prospectus Summary—Implications of Being an ‘Emerging Growth Company’ and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12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Our business and an investment in our ordinary shares involves a high degree of risk. See “</w:t>
      </w:r>
      <w:hyperlink w:anchor="page21">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16 of this prospectus.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b w:val="1"/>
                <w:bCs w:val="1"/>
                <w:i w:val="1"/>
                <w:iCs w:val="1"/>
                <w:color w:val="auto"/>
                <w:w w:val="96"/>
              </w:rPr>
              <w:t>PER ORDINARY</w:t>
            </w: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140" w:type="dxa"/>
            <w:vAlign w:val="bottom"/>
            <w:vMerge w:val="restart"/>
          </w:tcPr>
          <w:p>
            <w:pPr>
              <w:spacing w:after="0"/>
              <w:rPr>
                <w:sz w:val="20"/>
                <w:szCs w:val="20"/>
                <w:color w:val="auto"/>
              </w:rPr>
            </w:pPr>
            <w:r>
              <w:rPr>
                <w:rFonts w:ascii="Arial" w:cs="Arial" w:eastAsia="Arial" w:hAnsi="Arial"/>
                <w:sz w:val="18"/>
                <w:szCs w:val="18"/>
                <w:i w:val="1"/>
                <w:iCs w:val="1"/>
                <w:color w:val="auto"/>
              </w:rPr>
              <w:t>Public offering price</w:t>
            </w: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i w:val="1"/>
                <w:iCs w:val="1"/>
                <w:color w:val="auto"/>
              </w:rPr>
              <w:t>SHARE</w:t>
            </w:r>
          </w:p>
        </w:tc>
        <w:tc>
          <w:tcPr>
            <w:tcW w:w="1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TOTAL</w:t>
            </w:r>
          </w:p>
        </w:tc>
        <w:tc>
          <w:tcPr>
            <w:tcW w:w="0" w:type="dxa"/>
            <w:vAlign w:val="bottom"/>
          </w:tcPr>
          <w:p>
            <w:pPr>
              <w:spacing w:after="0"/>
              <w:rPr>
                <w:sz w:val="1"/>
                <w:szCs w:val="1"/>
                <w:color w:val="auto"/>
              </w:rPr>
            </w:pPr>
          </w:p>
        </w:tc>
      </w:tr>
      <w:tr>
        <w:trPr>
          <w:trHeight w:val="195"/>
        </w:trPr>
        <w:tc>
          <w:tcPr>
            <w:tcW w:w="8140" w:type="dxa"/>
            <w:vAlign w:val="bottom"/>
            <w:vMerge w:val="continue"/>
          </w:tcPr>
          <w:p>
            <w:pPr>
              <w:spacing w:after="0"/>
              <w:rPr>
                <w:sz w:val="16"/>
                <w:szCs w:val="16"/>
                <w:color w:val="auto"/>
              </w:rPr>
            </w:pPr>
          </w:p>
        </w:tc>
        <w:tc>
          <w:tcPr>
            <w:tcW w:w="1060" w:type="dxa"/>
            <w:vAlign w:val="bottom"/>
          </w:tcPr>
          <w:p>
            <w:pPr>
              <w:ind w:left="300"/>
              <w:spacing w:after="0" w:line="195" w:lineRule="exact"/>
              <w:rPr>
                <w:sz w:val="20"/>
                <w:szCs w:val="20"/>
                <w:color w:val="auto"/>
              </w:rPr>
            </w:pPr>
            <w:r>
              <w:rPr>
                <w:rFonts w:ascii="Arial" w:cs="Arial" w:eastAsia="Arial" w:hAnsi="Arial"/>
                <w:sz w:val="18"/>
                <w:szCs w:val="18"/>
                <w:i w:val="1"/>
                <w:iCs w:val="1"/>
                <w:color w:val="auto"/>
              </w:rPr>
              <w:t>$</w:t>
            </w:r>
          </w:p>
        </w:tc>
        <w:tc>
          <w:tcPr>
            <w:tcW w:w="12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commissions(1)</w:t>
            </w:r>
          </w:p>
        </w:tc>
        <w:tc>
          <w:tcPr>
            <w:tcW w:w="1060" w:type="dxa"/>
            <w:vAlign w:val="bottom"/>
          </w:tcPr>
          <w:p>
            <w:pPr>
              <w:ind w:left="300"/>
              <w:spacing w:after="0"/>
              <w:rPr>
                <w:sz w:val="20"/>
                <w:szCs w:val="20"/>
                <w:color w:val="auto"/>
              </w:rPr>
            </w:pPr>
            <w:r>
              <w:rPr>
                <w:rFonts w:ascii="Arial" w:cs="Arial" w:eastAsia="Arial" w:hAnsi="Arial"/>
                <w:sz w:val="18"/>
                <w:szCs w:val="18"/>
                <w:i w:val="1"/>
                <w:i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1060" w:type="dxa"/>
            <w:vAlign w:val="bottom"/>
          </w:tcPr>
          <w:p>
            <w:pPr>
              <w:ind w:left="300"/>
              <w:spacing w:after="0"/>
              <w:rPr>
                <w:sz w:val="20"/>
                <w:szCs w:val="20"/>
                <w:color w:val="auto"/>
              </w:rPr>
            </w:pPr>
            <w:r>
              <w:rPr>
                <w:rFonts w:ascii="Arial" w:cs="Arial" w:eastAsia="Arial" w:hAnsi="Arial"/>
                <w:sz w:val="18"/>
                <w:szCs w:val="18"/>
                <w:i w:val="1"/>
                <w:i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“Underwriting” for additional information regarding underwriting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gridSpan w:val="2"/>
          </w:tcPr>
          <w:p>
            <w:pPr>
              <w:spacing w:after="0"/>
              <w:rPr>
                <w:sz w:val="20"/>
                <w:szCs w:val="20"/>
                <w:color w:val="auto"/>
              </w:rPr>
            </w:pPr>
            <w:r>
              <w:rPr>
                <w:rFonts w:ascii="Arial" w:cs="Arial" w:eastAsia="Arial" w:hAnsi="Arial"/>
                <w:sz w:val="18"/>
                <w:szCs w:val="18"/>
                <w:i w:val="1"/>
                <w:iCs w:val="1"/>
                <w:color w:val="auto"/>
                <w:w w:val="93"/>
              </w:rPr>
              <w:t>Delivery of the ordinary shares is expected to be made on or about</w:t>
            </w:r>
          </w:p>
        </w:tc>
        <w:tc>
          <w:tcPr>
            <w:tcW w:w="6260" w:type="dxa"/>
            <w:vAlign w:val="bottom"/>
            <w:gridSpan w:val="3"/>
          </w:tcPr>
          <w:p>
            <w:pPr>
              <w:jc w:val="right"/>
              <w:ind w:right="174"/>
              <w:spacing w:after="0"/>
              <w:rPr>
                <w:sz w:val="20"/>
                <w:szCs w:val="20"/>
                <w:color w:val="auto"/>
              </w:rPr>
            </w:pPr>
            <w:r>
              <w:rPr>
                <w:rFonts w:ascii="Arial" w:cs="Arial" w:eastAsia="Arial" w:hAnsi="Arial"/>
                <w:sz w:val="18"/>
                <w:szCs w:val="18"/>
                <w:i w:val="1"/>
                <w:iCs w:val="1"/>
                <w:color w:val="auto"/>
                <w:w w:val="99"/>
              </w:rPr>
              <w:t>, 2021. We have granted the underwriters an option for a period of 30 days</w:t>
            </w:r>
          </w:p>
        </w:tc>
        <w:tc>
          <w:tcPr>
            <w:tcW w:w="0" w:type="dxa"/>
            <w:vAlign w:val="bottom"/>
          </w:tcPr>
          <w:p>
            <w:pPr>
              <w:spacing w:after="0"/>
              <w:rPr>
                <w:sz w:val="1"/>
                <w:szCs w:val="1"/>
                <w:color w:val="auto"/>
              </w:rPr>
            </w:pPr>
          </w:p>
        </w:tc>
      </w:tr>
      <w:tr>
        <w:trPr>
          <w:trHeight w:val="230"/>
        </w:trPr>
        <w:tc>
          <w:tcPr>
            <w:tcW w:w="9280" w:type="dxa"/>
            <w:vAlign w:val="bottom"/>
            <w:gridSpan w:val="4"/>
          </w:tcPr>
          <w:p>
            <w:pPr>
              <w:spacing w:after="0"/>
              <w:rPr>
                <w:sz w:val="20"/>
                <w:szCs w:val="20"/>
                <w:color w:val="auto"/>
              </w:rPr>
            </w:pPr>
            <w:r>
              <w:rPr>
                <w:rFonts w:ascii="Arial" w:cs="Arial" w:eastAsia="Arial" w:hAnsi="Arial"/>
                <w:sz w:val="18"/>
                <w:szCs w:val="18"/>
                <w:i w:val="1"/>
                <w:iCs w:val="1"/>
                <w:color w:val="auto"/>
                <w:w w:val="96"/>
              </w:rPr>
              <w:t>from the date of this prospectus to purchase up to an additional 1,042,500 ordinary shares solely to cover overallotments.</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440" w:type="dxa"/>
            <w:vAlign w:val="bottom"/>
          </w:tcPr>
          <w:p>
            <w:pPr>
              <w:spacing w:after="0"/>
              <w:rPr>
                <w:sz w:val="24"/>
                <w:szCs w:val="24"/>
                <w:color w:val="auto"/>
              </w:rPr>
            </w:pPr>
          </w:p>
        </w:tc>
        <w:tc>
          <w:tcPr>
            <w:tcW w:w="2360" w:type="dxa"/>
            <w:vAlign w:val="bottom"/>
            <w:tcBorders>
              <w:bottom w:val="single" w:sz="8" w:color="auto"/>
            </w:tcBorders>
            <w:gridSpan w:val="2"/>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440" w:type="dxa"/>
            <w:vAlign w:val="bottom"/>
          </w:tcPr>
          <w:p>
            <w:pPr>
              <w:spacing w:after="0"/>
              <w:rPr>
                <w:sz w:val="24"/>
                <w:szCs w:val="24"/>
                <w:color w:val="auto"/>
              </w:rPr>
            </w:pPr>
          </w:p>
        </w:tc>
        <w:tc>
          <w:tcPr>
            <w:tcW w:w="4840" w:type="dxa"/>
            <w:vAlign w:val="bottom"/>
            <w:gridSpan w:val="3"/>
          </w:tcPr>
          <w:p>
            <w:pPr>
              <w:ind w:left="80"/>
              <w:spacing w:after="0"/>
              <w:rPr>
                <w:sz w:val="20"/>
                <w:szCs w:val="20"/>
                <w:color w:val="auto"/>
              </w:rPr>
            </w:pPr>
            <w:r>
              <w:rPr>
                <w:rFonts w:ascii="Arial" w:cs="Arial" w:eastAsia="Arial" w:hAnsi="Arial"/>
                <w:sz w:val="18"/>
                <w:szCs w:val="18"/>
                <w:i w:val="1"/>
                <w:iCs w:val="1"/>
                <w:color w:val="auto"/>
              </w:rPr>
              <w:t>Joint Book-Running Managers</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4980" w:type="dxa"/>
            <w:vAlign w:val="bottom"/>
            <w:gridSpan w:val="2"/>
          </w:tcPr>
          <w:p>
            <w:pPr>
              <w:spacing w:after="0"/>
              <w:rPr>
                <w:sz w:val="20"/>
                <w:szCs w:val="20"/>
                <w:color w:val="auto"/>
              </w:rPr>
            </w:pPr>
            <w:r>
              <w:rPr>
                <w:rFonts w:ascii="Arial" w:cs="Arial" w:eastAsia="Arial" w:hAnsi="Arial"/>
                <w:sz w:val="25"/>
                <w:szCs w:val="25"/>
                <w:i w:val="1"/>
                <w:iCs w:val="1"/>
                <w:color w:val="auto"/>
              </w:rPr>
              <w:t>Morgan Stanley</w:t>
            </w:r>
          </w:p>
        </w:tc>
        <w:tc>
          <w:tcPr>
            <w:tcW w:w="4300" w:type="dxa"/>
            <w:vAlign w:val="bottom"/>
            <w:gridSpan w:val="2"/>
          </w:tcPr>
          <w:p>
            <w:pPr>
              <w:jc w:val="center"/>
              <w:ind w:right="2420"/>
              <w:spacing w:after="0"/>
              <w:rPr>
                <w:sz w:val="20"/>
                <w:szCs w:val="20"/>
                <w:color w:val="auto"/>
              </w:rPr>
            </w:pPr>
            <w:r>
              <w:rPr>
                <w:rFonts w:ascii="Arial" w:cs="Arial" w:eastAsia="Arial" w:hAnsi="Arial"/>
                <w:sz w:val="25"/>
                <w:szCs w:val="25"/>
                <w:i w:val="1"/>
                <w:iCs w:val="1"/>
                <w:color w:val="auto"/>
                <w:w w:val="91"/>
              </w:rPr>
              <w:t>BofA Securities</w:t>
            </w:r>
          </w:p>
        </w:tc>
        <w:tc>
          <w:tcPr>
            <w:tcW w:w="1960" w:type="dxa"/>
            <w:vAlign w:val="bottom"/>
          </w:tcPr>
          <w:p>
            <w:pPr>
              <w:jc w:val="right"/>
              <w:spacing w:after="0"/>
              <w:rPr>
                <w:sz w:val="20"/>
                <w:szCs w:val="20"/>
                <w:color w:val="auto"/>
              </w:rPr>
            </w:pPr>
            <w:r>
              <w:rPr>
                <w:rFonts w:ascii="Arial" w:cs="Arial" w:eastAsia="Arial" w:hAnsi="Arial"/>
                <w:sz w:val="25"/>
                <w:szCs w:val="25"/>
                <w:i w:val="1"/>
                <w:iCs w:val="1"/>
                <w:color w:val="auto"/>
              </w:rPr>
              <w:t>SVB Leerink</w:t>
            </w:r>
          </w:p>
        </w:tc>
        <w:tc>
          <w:tcPr>
            <w:tcW w:w="0" w:type="dxa"/>
            <w:vAlign w:val="bottom"/>
          </w:tcPr>
          <w:p>
            <w:pPr>
              <w:spacing w:after="0"/>
              <w:rPr>
                <w:sz w:val="1"/>
                <w:szCs w:val="1"/>
                <w:color w:val="auto"/>
              </w:rPr>
            </w:pPr>
          </w:p>
        </w:tc>
      </w:tr>
      <w:tr>
        <w:trPr>
          <w:trHeight w:val="424"/>
        </w:trPr>
        <w:tc>
          <w:tcPr>
            <w:tcW w:w="4980" w:type="dxa"/>
            <w:vAlign w:val="bottom"/>
            <w:gridSpan w:val="2"/>
            <w:vMerge w:val="restart"/>
          </w:tcPr>
          <w:p>
            <w:pPr>
              <w:spacing w:after="0"/>
              <w:rPr>
                <w:sz w:val="20"/>
                <w:szCs w:val="20"/>
                <w:color w:val="auto"/>
              </w:rPr>
            </w:pPr>
            <w:r>
              <w:rPr>
                <w:rFonts w:ascii="Arial" w:cs="Arial" w:eastAsia="Arial" w:hAnsi="Arial"/>
                <w:sz w:val="25"/>
                <w:szCs w:val="25"/>
                <w:i w:val="1"/>
                <w:iCs w:val="1"/>
                <w:color w:val="auto"/>
              </w:rPr>
              <w:t>Oppenheimer &amp; Co.</w:t>
            </w:r>
          </w:p>
        </w:tc>
        <w:tc>
          <w:tcPr>
            <w:tcW w:w="4300" w:type="dxa"/>
            <w:vAlign w:val="bottom"/>
            <w:gridSpan w:val="2"/>
          </w:tcPr>
          <w:p>
            <w:pPr>
              <w:jc w:val="center"/>
              <w:ind w:right="2420"/>
              <w:spacing w:after="0"/>
              <w:rPr>
                <w:sz w:val="20"/>
                <w:szCs w:val="20"/>
                <w:color w:val="auto"/>
              </w:rPr>
            </w:pPr>
            <w:r>
              <w:rPr>
                <w:rFonts w:ascii="Arial" w:cs="Arial" w:eastAsia="Arial" w:hAnsi="Arial"/>
                <w:sz w:val="18"/>
                <w:szCs w:val="18"/>
                <w:i w:val="1"/>
                <w:iCs w:val="1"/>
                <w:color w:val="auto"/>
                <w:w w:val="91"/>
              </w:rPr>
              <w:t>Co-Managers</w:t>
            </w:r>
          </w:p>
        </w:tc>
        <w:tc>
          <w:tcPr>
            <w:tcW w:w="1960" w:type="dxa"/>
            <w:vAlign w:val="bottom"/>
            <w:vMerge w:val="restart"/>
          </w:tcPr>
          <w:p>
            <w:pPr>
              <w:jc w:val="right"/>
              <w:spacing w:after="0"/>
              <w:rPr>
                <w:sz w:val="20"/>
                <w:szCs w:val="20"/>
                <w:color w:val="auto"/>
              </w:rPr>
            </w:pPr>
            <w:r>
              <w:rPr>
                <w:rFonts w:ascii="Arial" w:cs="Arial" w:eastAsia="Arial" w:hAnsi="Arial"/>
                <w:sz w:val="25"/>
                <w:szCs w:val="25"/>
                <w:i w:val="1"/>
                <w:iCs w:val="1"/>
                <w:color w:val="auto"/>
              </w:rPr>
              <w:t>Kempen &amp; Co</w:t>
            </w:r>
          </w:p>
        </w:tc>
        <w:tc>
          <w:tcPr>
            <w:tcW w:w="0" w:type="dxa"/>
            <w:vAlign w:val="bottom"/>
          </w:tcPr>
          <w:p>
            <w:pPr>
              <w:spacing w:after="0"/>
              <w:rPr>
                <w:sz w:val="1"/>
                <w:szCs w:val="1"/>
                <w:color w:val="auto"/>
              </w:rPr>
            </w:pPr>
          </w:p>
        </w:tc>
      </w:tr>
      <w:tr>
        <w:trPr>
          <w:trHeight w:val="319"/>
        </w:trPr>
        <w:tc>
          <w:tcPr>
            <w:tcW w:w="498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1240"/>
          </w:cols>
          <w:pgMar w:left="320" w:top="459" w:right="339" w:bottom="1440" w:gutter="0" w:footer="0" w:header="0"/>
        </w:sectPr>
      </w:pPr>
    </w:p>
    <w:p>
      <w:pPr>
        <w:ind w:left="4420"/>
        <w:spacing w:after="0"/>
        <w:tabs>
          <w:tab w:leader="none" w:pos="6360" w:val="left"/>
        </w:tabs>
        <w:rPr>
          <w:sz w:val="20"/>
          <w:szCs w:val="20"/>
          <w:color w:val="auto"/>
        </w:rPr>
      </w:pPr>
      <w:r>
        <w:rPr>
          <w:rFonts w:ascii="Arial" w:cs="Arial" w:eastAsia="Arial" w:hAnsi="Arial"/>
          <w:sz w:val="18"/>
          <w:szCs w:val="18"/>
          <w:i w:val="1"/>
          <w:iCs w:val="1"/>
          <w:color w:val="auto"/>
        </w:rPr>
        <w:t>Prospectus dated</w:t>
      </w:r>
      <w:r>
        <w:rPr>
          <w:sz w:val="20"/>
          <w:szCs w:val="20"/>
          <w:color w:val="auto"/>
        </w:rPr>
        <w:tab/>
      </w:r>
      <w:r>
        <w:rPr>
          <w:rFonts w:ascii="Arial" w:cs="Arial" w:eastAsia="Arial" w:hAnsi="Arial"/>
          <w:sz w:val="15"/>
          <w:szCs w:val="15"/>
          <w:i w:val="1"/>
          <w:iCs w:val="1"/>
          <w:color w:val="auto"/>
        </w:rPr>
        <w:t>, 2021</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255905</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920" w:type="dxa"/>
            <w:vAlign w:val="bottom"/>
            <w:vMerge w:val="continue"/>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Presentation of Financial and 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Trademarks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Market and Industry Data</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The Offering</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Summary Consolidated Financial Data</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w w:val="98"/>
              </w:rPr>
            </w:pPr>
            <w:hyperlink w:anchor="page74">
              <w:r>
                <w:rPr>
                  <w:rFonts w:ascii="Arial" w:cs="Arial" w:eastAsia="Arial" w:hAnsi="Arial"/>
                  <w:sz w:val="18"/>
                  <w:szCs w:val="18"/>
                  <w:u w:val="single" w:color="auto"/>
                  <w:color w:val="0000EE"/>
                  <w:w w:val="98"/>
                </w:rPr>
                <w:t>Cautionary Statement Regarding Forward-Looking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Dividend Policy</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Capitalization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Dilution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Selected Consolidated Financial Data</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92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Exchange Rate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940" w:type="dxa"/>
            <w:vAlign w:val="bottom"/>
            <w:gridSpan w:val="4"/>
            <w:vMerge w:val="restart"/>
          </w:tcPr>
          <w:p>
            <w:pPr>
              <w:spacing w:after="0"/>
              <w:rPr>
                <w:rFonts w:ascii="Arial" w:cs="Arial" w:eastAsia="Arial" w:hAnsi="Arial"/>
                <w:sz w:val="18"/>
                <w:szCs w:val="18"/>
                <w:color w:val="0000EE"/>
                <w:w w:val="98"/>
              </w:rPr>
            </w:pPr>
            <w:hyperlink w:anchor="page86">
              <w:r>
                <w:rPr>
                  <w:rFonts w:ascii="Arial" w:cs="Arial" w:eastAsia="Arial" w:hAnsi="Arial"/>
                  <w:sz w:val="18"/>
                  <w:szCs w:val="18"/>
                  <w:color w:val="0000EE"/>
                  <w:w w:val="98"/>
                </w:rPr>
                <w:t>Management’s Discussion and Analysis Of Financial Condition</w:t>
              </w:r>
            </w:hyperlink>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4940" w:type="dxa"/>
            <w:vAlign w:val="bottom"/>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and Results Of Operations</w:t>
              </w:r>
            </w:hyperlink>
          </w:p>
        </w:tc>
        <w:tc>
          <w:tcPr>
            <w:tcW w:w="3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4"/>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Business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Management</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Principal Shareholders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Related Party Transactions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Description of Share Capital and Articles of Association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Ordinary Shares Eligible for Future Sale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Material United States and Dutch Income Tax Considerations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Enforceability of Judgments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Underwriting</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Expenses of the Offering</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Legal Matters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Experts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Where You Can Find More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940" w:type="dxa"/>
            <w:vAlign w:val="bottom"/>
            <w:gridSpan w:val="4"/>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Index to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316865</wp:posOffset>
            </wp:positionV>
            <wp:extent cx="1491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20"/>
            <w:col w:w="5480"/>
          </w:cols>
          <w:pgMar w:left="320" w:top="459" w:right="3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Neither we nor the underwriters have authorized anyone to provide any information other than that contained in this prospectus or in any free writing prospectus prepared by or on behalf of us or to which we may have referred you. Neither we nor the underwriters take any responsibility for, or provide any assurance as to the reliability of, any other information that others may give you. Neither we nor the underwriters are making an offer to sell the ordinary shares in any jurisdiction where the offer or sale is not permitted. You should assume that the information appearing in this prospectus is accurate only as of the date on the front cover of this prospectus, regardless of the time of delivery of this prospectus or any sale of the ordinary shares. Our business, financial condition, results of operations and prospects may have changed since the date on the front cover of this prospectus.</w:t>
      </w:r>
    </w:p>
    <w:p>
      <w:pPr>
        <w:spacing w:after="0" w:line="164"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ordinary shares and the distribution of this prospectus outside the United States.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59" w:right="3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Unless otherwise indicated or the context otherwise requires, all references in this prospectus to “Pharvaris,” “Pharvaris B.V.,” “Pharvaris N.V.,” the “Company,” “we,” “our,” “ours,” “us” or similar terms refer to (i) Pharvaris B.V., together with its subsidiaries prior to the conversion of Pharvaris B.V. into Pharvaris N.V. and (ii) Pharvaris N.V., together with its subsidiaries, after giving effect to the conversion of Pharvaris B.V. into Pharvaris N.V., which is expected to occur immediately prior to the consummation of this offering.</w:t>
      </w:r>
    </w:p>
    <w:p>
      <w:pPr>
        <w:spacing w:after="0" w:line="187"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The term “Series A preferred shares” refers to the Company’s convertible preferred shares A issued pursuant to the Share Subscription Agreement, dated as of March 31, 2016, between the Company and certain of its shareholders. The term “Series B preferred shares” refers to the Company’s convertible preferred shares B issued pursuant to the Share Subscription Agreement, dated as of July 25, 2019, between the Company and certain of its shareholders, as amended on July 29, 2020. The term “Series C preferred shares” refers to the Company’s convertible preferred shares C issued pursuant to the Share Subscription Agreement, dated as of November 3, 2020, between the Company and certain of its shareholders. The term “preferred shares” refers</w:t>
      </w:r>
    </w:p>
    <w:p>
      <w:pPr>
        <w:spacing w:after="0" w:line="2" w:lineRule="exact"/>
        <w:rPr>
          <w:sz w:val="20"/>
          <w:szCs w:val="20"/>
          <w:color w:val="auto"/>
        </w:rPr>
      </w:pPr>
    </w:p>
    <w:p>
      <w:pPr>
        <w:ind w:right="260" w:firstLine="8"/>
        <w:spacing w:after="0" w:line="295"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the Series A preferred shares, the Series B preferred shares and the Series C preferred shares, collectively, prior to the conversion of Pharvaris B.V. into Pharvaris N.V. or (ii) preferred shares after conversion of Pharvaris B.V. into Pharvaris N.V., which we may issue to a protective foundation if we decide to implement a protective foundation structure (see “Risk Factors—Dutch corporate law and our Articles of Association contain or may contain provisions that may discourage, delay or prevent a takeover attempt, which could adversely affect the price of our ordinary shares”).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report under International Financial Reporting Standards, or IFRS, as issued by the International Accounting Standards Board, or the IASB. None of the consolidated financial statements in this prospectus were prepared in accordance with generally accepted accounting principles in the United States, or U.S. GAAP. We present our consolidated financial statements in euros and in accordance with IFRS. We have made rounding adjustments to some of the figures included in this prospectus. Accordingly, numerical figures shown as totals in some tables may not be an arithmetic aggregation of the figures that preceded them.</w:t>
      </w:r>
    </w:p>
    <w:p>
      <w:pPr>
        <w:spacing w:after="0" w:line="188"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Unless otherwise indicated, all references in this prospectus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84"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Solely for the convenience of the reader, certain euro amounts herein have been translated into U.S. dollars at the rate of €1.00 to $1.1705, the average exchange rate quoted as of September 30, 2020 by the European Central Bank. These translations should not be considered representations that any such amounts have been, could have been or could be converted into U.S. dollars at that or any other exchange rate as at that or any other date.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 xml:space="preserve">All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information in this prospectus that has been sourced from third parties has been accurately reproduced and, as far as we are aware and able to ascertain from the information published by that third-party, no facts have been omitted that would render the reproduced information inaccurate or misleading. Industry publications generally state that their information is obtained from sources they believe reliable but that the accuracy and completeness of such information is not guaranteed and that the projections they contain are based on a number of significant assumptions. We are not aware of any exhaustive industry or market reports that cover or address our specific markets.</w:t>
      </w:r>
    </w:p>
    <w:p>
      <w:pPr>
        <w:spacing w:after="0" w:line="1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20" w:firstLine="434"/>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consolidated financial statements and the notes thereto, included elsewhere in this prospectus, before deciding to invest in our ordinary shares.</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Phase 1 completed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anticipate commencing our RAPIDe-1 Phase 2 clinical trial of PHVS416 in 2021 and have Phase 2 data for the acute treatment of patients with HAE attacks in 2022. We are also planning to commence a Phase 2 clinical trial for prophylaxis in 2021 using twice-daily dosing of the PHVS416 soft capsules. Our primary objective with this trial is to assess the safety profile of PHVS416 dose regimens for prophylactic treatments in HAE patients. We also expect to conduct a bridging study between our formulation of PHVS719 and PHVS416 in a Phase 1 clinical trial starting in 2021.</w:t>
      </w:r>
    </w:p>
    <w:p>
      <w:pPr>
        <w:spacing w:after="0" w:line="180" w:lineRule="exact"/>
        <w:rPr>
          <w:sz w:val="20"/>
          <w:szCs w:val="20"/>
          <w:color w:val="auto"/>
        </w:rPr>
      </w:pPr>
    </w:p>
    <w:p>
      <w:pPr>
        <w:ind w:left="200" w:firstLine="434"/>
        <w:spacing w:after="0" w:line="293" w:lineRule="auto"/>
        <w:rPr>
          <w:sz w:val="20"/>
          <w:szCs w:val="20"/>
          <w:color w:val="auto"/>
        </w:rPr>
      </w:pPr>
      <w:r>
        <w:rPr>
          <w:rFonts w:ascii="Arial" w:cs="Arial" w:eastAsia="Arial" w:hAnsi="Arial"/>
          <w:sz w:val="16"/>
          <w:szCs w:val="16"/>
          <w:color w:val="auto"/>
        </w:rPr>
        <w:t xml:space="preserve">PHA121 is a novel, highly potent inhibitor and selective small-molecule bradykinin B2-receptor antagonist and, to our knowledge, the only orally available bradykinin B2-receptor antagonist currently in development. PHA121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 Potency as used in this prospectus refers to the amount of drug required to produce a pharmacological effect of given intensity and is not a measure of therapeutic efficacy. We do not yet have data from the PHA121 Phase 2 clinical trial to evaluate the potential therapeutic efficacy of PHA121 in HAE patients. PHA121 demonstrated 5000-fold selectivity for the</w:t>
      </w: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73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bradykinin B2 receptor when compared to approximately 170 other molecular targets, including the bradykinin B1 receptor. We designed PHA121 as a new chemotype with properties compatible with oral delivery. We are developing PHA121 for the on-demand setting as PHVS416, which is delivered in a soft capsule designed to rapidly treat symptoms with a single dose. We are also developing PHA121 for the prophylactic setting as PHVS719, which is a small daily dose tablet with an extended release formulation designed for the patient to achieve a steady-state plasma concentration within 72 hours.</w:t>
      </w:r>
    </w:p>
    <w:p>
      <w:pPr>
        <w:spacing w:after="0" w:line="188"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 xml:space="preserve">In our Phase 1 clinical trials to-date, we have observed rapid exposure and predictable linear pharmacokinetics, or PK, with and without food. In addition, we observed PHA121 to be a potent antagonist of the bradykinin B2 receptor,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healthy volunteers. In our models based on PK data from our Phase 1 clinical trial of PHA121 and published data for icatibant, both in the BK challenge assessment, PHA121 was shown to be consistently 25-fold more potent at inhibiting the effects of administered bradykinin than icatibant on a molar basis.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prospectus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96"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95"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Global sales of treatments for HAE achieved approximately $2 billion in 2018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 esterase inhibitor, or C1-INH, activity or inhibiting plasma kallikrein. Currently all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are in need of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66" w:lineRule="exact"/>
        <w:rPr>
          <w:sz w:val="20"/>
          <w:szCs w:val="20"/>
          <w:color w:val="auto"/>
        </w:rPr>
      </w:pPr>
    </w:p>
    <w:p>
      <w:pPr>
        <w:ind w:left="200" w:right="340" w:firstLine="434"/>
        <w:spacing w:after="0" w:line="255" w:lineRule="auto"/>
        <w:rPr>
          <w:sz w:val="20"/>
          <w:szCs w:val="20"/>
          <w:color w:val="auto"/>
        </w:rPr>
      </w:pPr>
      <w:r>
        <w:rPr>
          <w:rFonts w:ascii="Arial" w:cs="Arial" w:eastAsia="Arial" w:hAnsi="Arial"/>
          <w:sz w:val="18"/>
          <w:szCs w:val="18"/>
          <w:color w:val="auto"/>
        </w:rPr>
        <w:t>Based on results observed from our three completed and one ongoing clinical trials to-date, we believe our product candidates that contain PHA121 will demonstrate advantages and differentiation relative to currently approved HAE therapies and other oral therapies in clinical development. Namely, PHA121’s bradykinin-B2-receptor-inhibition mechanism has a well-established clinical therapeutic profile in a currently approved product in the rapid treatment of acute HAE attacks. We have observed greater potency for PHA121 compared to icatibant in our early clinical trials, potentially resulting in both a smaller therapeutic dose and a longer duration of effect. We evaluated the PD and PK of PHA121 in a bradykinin-challenge model in healthy subjects.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99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80"/>
        <w:spacing w:after="0" w:line="285" w:lineRule="auto"/>
        <w:rPr>
          <w:sz w:val="20"/>
          <w:szCs w:val="20"/>
          <w:color w:val="auto"/>
        </w:rPr>
      </w:pPr>
      <w:r>
        <w:rPr>
          <w:rFonts w:ascii="Arial" w:cs="Arial" w:eastAsia="Arial" w:hAnsi="Arial"/>
          <w:sz w:val="16"/>
          <w:szCs w:val="16"/>
          <w:color w:val="auto"/>
        </w:rPr>
        <w:t>bradykinin challenge was validated as a surrogate assessment for dose selection in the original development program for icatibant, as reviewed by the Food and Drug Administration, or FDA, and the European Medicines Agency, or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PHA121 on cardiovascular parameters affected by bradykinin such as blood pressure, heart rate and cardiac output in healthy volunteers. We observed that PHA121 was more potent in blocking the effects of BK in humans than icatibant, when comparing the PHA121 results of the trial to published data on icatibant. The data from this trial allowed us to generate a PK/PD correlation model. Based on this model and published data on icatibant, we predict the duration of effect for a single oral dose of 12 mg PHA121 will exceed that of 30 mg of icatibant and a single oral dose of 22 mg PHA121 will cover the same duration of effect as two icatibant injections of 30 mg administered six hours apart. Furthermore, analysis based on the results from this trial suggest that therapeutic doses of PHA121 may be at least 20 times smaller than the doses required for oral kallikrein inhibitors in development. In addition, we believe that the observed PK profile of our compound demonstrates the potential of PHVS719 as a prophylactic treatment of HAE by achieving steady-state plasma concentrations within 72 hours. The BK-challenge data was generated in a Phase 1 clinical trial, and we do not yet have data from the PHA121 Phase 2 clinical trial to evaluate the potential efficacy of PHA121 in HAE patients. We have not conducted a head-to-head comparison of icatibant to PHA121 in a clinical trial but have compared the published data for icatibant to data from our Phase 1 clinical trial of PHA121. Potency as used in this prospectus refers to the amount of drug required to produce a pharmacological effect of given intensity and is not a measure of therapeutic efficacy.</w:t>
      </w:r>
    </w:p>
    <w:p>
      <w:pPr>
        <w:spacing w:after="0" w:line="176" w:lineRule="exact"/>
        <w:rPr>
          <w:sz w:val="20"/>
          <w:szCs w:val="20"/>
          <w:color w:val="auto"/>
        </w:rPr>
      </w:pPr>
    </w:p>
    <w:p>
      <w:pPr>
        <w:ind w:left="200" w:right="340" w:firstLine="434"/>
        <w:spacing w:after="0" w:line="259" w:lineRule="auto"/>
        <w:rPr>
          <w:sz w:val="20"/>
          <w:szCs w:val="20"/>
          <w:color w:val="auto"/>
        </w:rPr>
      </w:pPr>
      <w:r>
        <w:rPr>
          <w:rFonts w:ascii="Arial" w:cs="Arial" w:eastAsia="Arial" w:hAnsi="Arial"/>
          <w:sz w:val="18"/>
          <w:szCs w:val="18"/>
          <w:color w:val="auto"/>
        </w:rPr>
        <w:t>We are planning a Phase 2 clinical trial, RAPIDe-1, that will evaluate angioedema symptom relief within four hours of different doses of PHVS416 or placebo while treating acute attacks of patients. We anticipate having Phase 2 data from RAPIDe-1 in 2022. Additional trials may be required by the FDA, EMA or other regulators even if we receive positive data from RAPIDe-1. We are also planning to subsequently conduct a pivotal trial in the on-demand setting.</w:t>
      </w:r>
    </w:p>
    <w:p>
      <w:pPr>
        <w:spacing w:after="0" w:line="187"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We are similarly planning two clinical trials in the prophylactic setting. In the first, subjects will be randomized to receive PHVS416 or placebo for three months. The primary objective is to assess the safety profile in HAE patients. For the second, we are planning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Differentiation of PHA121</w:t>
      </w:r>
    </w:p>
    <w:p>
      <w:pPr>
        <w:spacing w:after="0" w:line="121" w:lineRule="exact"/>
        <w:rPr>
          <w:sz w:val="20"/>
          <w:szCs w:val="20"/>
          <w:color w:val="auto"/>
        </w:rPr>
      </w:pPr>
    </w:p>
    <w:p>
      <w:pPr>
        <w:ind w:left="200" w:right="320" w:firstLine="434"/>
        <w:spacing w:after="0" w:line="277" w:lineRule="auto"/>
        <w:rPr>
          <w:sz w:val="20"/>
          <w:szCs w:val="20"/>
          <w:color w:val="auto"/>
        </w:rPr>
      </w:pPr>
      <w:r>
        <w:rPr>
          <w:rFonts w:ascii="Arial" w:cs="Arial" w:eastAsia="Arial" w:hAnsi="Arial"/>
          <w:sz w:val="18"/>
          <w:szCs w:val="18"/>
          <w:color w:val="auto"/>
        </w:rPr>
        <w:t>We believe that PHA121, as the molecule underlying both PHVS416 and PHVS719, has the potential to be highly differentiated for both the on-demand and prophylactic settings with the key benefits below:</w:t>
      </w:r>
    </w:p>
    <w:p>
      <w:pPr>
        <w:spacing w:after="0" w:line="170" w:lineRule="exact"/>
        <w:rPr>
          <w:sz w:val="20"/>
          <w:szCs w:val="20"/>
          <w:color w:val="auto"/>
        </w:rPr>
      </w:pPr>
    </w:p>
    <w:p>
      <w:pPr>
        <w:ind w:left="200" w:right="100" w:firstLine="434"/>
        <w:spacing w:after="0" w:line="277" w:lineRule="auto"/>
        <w:rPr>
          <w:sz w:val="20"/>
          <w:szCs w:val="20"/>
          <w:color w:val="auto"/>
        </w:rPr>
      </w:pPr>
      <w:r>
        <w:rPr>
          <w:rFonts w:ascii="Arial" w:cs="Arial" w:eastAsia="Arial" w:hAnsi="Arial"/>
          <w:sz w:val="18"/>
          <w:szCs w:val="18"/>
          <w:i w:val="1"/>
          <w:iCs w:val="1"/>
          <w:color w:val="auto"/>
        </w:rPr>
        <w:t>PHVS416</w:t>
      </w:r>
      <w:r>
        <w:rPr>
          <w:rFonts w:ascii="Arial" w:cs="Arial" w:eastAsia="Arial" w:hAnsi="Arial"/>
          <w:sz w:val="18"/>
          <w:szCs w:val="18"/>
          <w:color w:val="auto"/>
        </w:rPr>
        <w:t>. We believe that PHVS416, an on-demand, rapid exposure soft capsule, has potential to be highly differentiated for patients suffering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acute HAE attacks with the following benefits:</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4000" w:type="dxa"/>
            <w:vAlign w:val="bottom"/>
            <w:tcBorders>
              <w:top w:val="single" w:sz="8" w:color="auto"/>
            </w:tcBorders>
          </w:tcPr>
          <w:p>
            <w:pPr>
              <w:ind w:left="3800"/>
              <w:spacing w:after="0"/>
              <w:rPr>
                <w:sz w:val="20"/>
                <w:szCs w:val="20"/>
                <w:color w:val="auto"/>
              </w:rPr>
            </w:pPr>
            <w:r>
              <w:rPr>
                <w:rFonts w:ascii="Arial" w:cs="Arial" w:eastAsia="Arial" w:hAnsi="Arial"/>
                <w:sz w:val="18"/>
                <w:szCs w:val="18"/>
                <w:color w:val="auto"/>
              </w:rPr>
              <w:t>•</w:t>
            </w:r>
          </w:p>
        </w:tc>
        <w:tc>
          <w:tcPr>
            <w:tcW w:w="6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Clinically validated mechanism of bradykinin-B2-receptor antagonism</w:t>
            </w:r>
          </w:p>
        </w:tc>
        <w:tc>
          <w:tcPr>
            <w:tcW w:w="0" w:type="dxa"/>
            <w:vAlign w:val="bottom"/>
          </w:tcPr>
          <w:p>
            <w:pPr>
              <w:spacing w:after="0"/>
              <w:rPr>
                <w:sz w:val="1"/>
                <w:szCs w:val="1"/>
                <w:color w:val="auto"/>
              </w:rPr>
            </w:pPr>
          </w:p>
        </w:tc>
      </w:tr>
      <w:tr>
        <w:trPr>
          <w:trHeight w:val="309"/>
        </w:trPr>
        <w:tc>
          <w:tcPr>
            <w:tcW w:w="4000" w:type="dxa"/>
            <w:vAlign w:val="bottom"/>
          </w:tcPr>
          <w:p>
            <w:pPr>
              <w:ind w:left="38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w w:val="95"/>
              </w:rPr>
              <w:t>Utilizing same surrogate assessment for dose selection as the development program for</w:t>
            </w:r>
          </w:p>
        </w:tc>
        <w:tc>
          <w:tcPr>
            <w:tcW w:w="0" w:type="dxa"/>
            <w:vAlign w:val="bottom"/>
          </w:tcPr>
          <w:p>
            <w:pPr>
              <w:spacing w:after="0"/>
              <w:rPr>
                <w:sz w:val="1"/>
                <w:szCs w:val="1"/>
                <w:color w:val="auto"/>
              </w:rPr>
            </w:pPr>
          </w:p>
        </w:tc>
      </w:tr>
      <w:tr>
        <w:trPr>
          <w:trHeight w:val="23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Complete Symptom Resolution</w:t>
            </w:r>
          </w:p>
        </w:tc>
        <w:tc>
          <w:tcPr>
            <w:tcW w:w="6860" w:type="dxa"/>
            <w:vAlign w:val="bottom"/>
          </w:tcPr>
          <w:p>
            <w:pPr>
              <w:ind w:left="160"/>
              <w:spacing w:after="0"/>
              <w:rPr>
                <w:sz w:val="20"/>
                <w:szCs w:val="20"/>
                <w:color w:val="auto"/>
              </w:rPr>
            </w:pPr>
            <w:r>
              <w:rPr>
                <w:rFonts w:ascii="Arial" w:cs="Arial" w:eastAsia="Arial" w:hAnsi="Arial"/>
                <w:sz w:val="18"/>
                <w:szCs w:val="18"/>
                <w:color w:val="auto"/>
              </w:rPr>
              <w:t>icatibant</w:t>
            </w:r>
          </w:p>
        </w:tc>
        <w:tc>
          <w:tcPr>
            <w:tcW w:w="0" w:type="dxa"/>
            <w:vAlign w:val="bottom"/>
          </w:tcPr>
          <w:p>
            <w:pPr>
              <w:spacing w:after="0"/>
              <w:rPr>
                <w:sz w:val="1"/>
                <w:szCs w:val="1"/>
                <w:color w:val="auto"/>
              </w:rPr>
            </w:pPr>
          </w:p>
        </w:tc>
      </w:tr>
      <w:tr>
        <w:trPr>
          <w:trHeight w:val="107"/>
        </w:trPr>
        <w:tc>
          <w:tcPr>
            <w:tcW w:w="4000" w:type="dxa"/>
            <w:vAlign w:val="bottom"/>
            <w:vMerge w:val="continue"/>
          </w:tcPr>
          <w:p>
            <w:pPr>
              <w:spacing w:after="0"/>
              <w:rPr>
                <w:sz w:val="9"/>
                <w:szCs w:val="9"/>
                <w:color w:val="auto"/>
              </w:rPr>
            </w:pPr>
          </w:p>
        </w:tc>
        <w:tc>
          <w:tcPr>
            <w:tcW w:w="6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More potent inhibitor than icatibant</w:t>
            </w:r>
          </w:p>
        </w:tc>
        <w:tc>
          <w:tcPr>
            <w:tcW w:w="0" w:type="dxa"/>
            <w:vAlign w:val="bottom"/>
          </w:tcPr>
          <w:p>
            <w:pPr>
              <w:spacing w:after="0"/>
              <w:rPr>
                <w:sz w:val="1"/>
                <w:szCs w:val="1"/>
                <w:color w:val="auto"/>
              </w:rPr>
            </w:pPr>
          </w:p>
        </w:tc>
      </w:tr>
      <w:tr>
        <w:trPr>
          <w:trHeight w:val="338"/>
        </w:trPr>
        <w:tc>
          <w:tcPr>
            <w:tcW w:w="4000" w:type="dxa"/>
            <w:vAlign w:val="bottom"/>
          </w:tcPr>
          <w:p>
            <w:pPr>
              <w:ind w:left="38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Longer half-life than icatibant</w:t>
            </w:r>
          </w:p>
        </w:tc>
        <w:tc>
          <w:tcPr>
            <w:tcW w:w="0" w:type="dxa"/>
            <w:vAlign w:val="bottom"/>
          </w:tcPr>
          <w:p>
            <w:pPr>
              <w:spacing w:after="0"/>
              <w:rPr>
                <w:sz w:val="1"/>
                <w:szCs w:val="1"/>
                <w:color w:val="auto"/>
              </w:rPr>
            </w:pPr>
          </w:p>
        </w:tc>
      </w:tr>
      <w:tr>
        <w:trPr>
          <w:trHeight w:val="95"/>
        </w:trPr>
        <w:tc>
          <w:tcPr>
            <w:tcW w:w="4000" w:type="dxa"/>
            <w:vAlign w:val="bottom"/>
            <w:tcBorders>
              <w:bottom w:val="single" w:sz="8" w:color="auto"/>
            </w:tcBorders>
          </w:tcPr>
          <w:p>
            <w:pPr>
              <w:spacing w:after="0"/>
              <w:rPr>
                <w:sz w:val="8"/>
                <w:szCs w:val="8"/>
                <w:color w:val="auto"/>
              </w:rPr>
            </w:pPr>
          </w:p>
        </w:tc>
        <w:tc>
          <w:tcPr>
            <w:tcW w:w="6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76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Rapid Onset of Activity</w:t>
            </w: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4"/>
              </w:rPr>
              <w:t>•   Exposure exceeds the anticipated threshold therapeutic plasma level (EC</w:t>
            </w:r>
            <w:r>
              <w:rPr>
                <w:rFonts w:ascii="Arial" w:cs="Arial" w:eastAsia="Arial" w:hAnsi="Arial"/>
                <w:sz w:val="15"/>
                <w:szCs w:val="15"/>
                <w:color w:val="auto"/>
                <w:w w:val="94"/>
              </w:rPr>
              <w:t>85</w:t>
            </w:r>
            <w:r>
              <w:rPr>
                <w:rFonts w:ascii="Arial" w:cs="Arial" w:eastAsia="Arial" w:hAnsi="Arial"/>
                <w:sz w:val="18"/>
                <w:szCs w:val="18"/>
                <w:color w:val="auto"/>
                <w:w w:val="94"/>
              </w:rPr>
              <w:t>) in 15 minutes,</w:t>
            </w:r>
          </w:p>
        </w:tc>
        <w:tc>
          <w:tcPr>
            <w:tcW w:w="0" w:type="dxa"/>
            <w:vAlign w:val="bottom"/>
          </w:tcPr>
          <w:p>
            <w:pPr>
              <w:spacing w:after="0"/>
              <w:rPr>
                <w:sz w:val="1"/>
                <w:szCs w:val="1"/>
                <w:color w:val="auto"/>
              </w:rPr>
            </w:pPr>
          </w:p>
        </w:tc>
      </w:tr>
      <w:tr>
        <w:trPr>
          <w:trHeight w:val="163"/>
        </w:trPr>
        <w:tc>
          <w:tcPr>
            <w:tcW w:w="33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860" w:type="dxa"/>
            <w:vAlign w:val="bottom"/>
            <w:vMerge w:val="restart"/>
          </w:tcPr>
          <w:p>
            <w:pPr>
              <w:ind w:left="160"/>
              <w:spacing w:after="0"/>
              <w:rPr>
                <w:sz w:val="20"/>
                <w:szCs w:val="20"/>
                <w:color w:val="auto"/>
              </w:rPr>
            </w:pPr>
            <w:r>
              <w:rPr>
                <w:rFonts w:ascii="Arial" w:cs="Arial" w:eastAsia="Arial" w:hAnsi="Arial"/>
                <w:sz w:val="18"/>
                <w:szCs w:val="18"/>
                <w:color w:val="auto"/>
              </w:rPr>
              <w:t>with or without food</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No injection needed</w:t>
            </w:r>
          </w:p>
        </w:tc>
        <w:tc>
          <w:tcPr>
            <w:tcW w:w="0" w:type="dxa"/>
            <w:vAlign w:val="bottom"/>
          </w:tcPr>
          <w:p>
            <w:pPr>
              <w:spacing w:after="0"/>
              <w:rPr>
                <w:sz w:val="1"/>
                <w:szCs w:val="1"/>
                <w:color w:val="auto"/>
              </w:rPr>
            </w:pPr>
          </w:p>
        </w:tc>
      </w:tr>
      <w:tr>
        <w:trPr>
          <w:trHeight w:val="337"/>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Potential Reduced Treatment Burden /</w:t>
            </w: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rPr>
              <w:t>•   Convenient oral formulation enables early treatment of acute HAE attacks</w:t>
            </w:r>
          </w:p>
        </w:tc>
        <w:tc>
          <w:tcPr>
            <w:tcW w:w="0" w:type="dxa"/>
            <w:vAlign w:val="bottom"/>
          </w:tcPr>
          <w:p>
            <w:pPr>
              <w:spacing w:after="0"/>
              <w:rPr>
                <w:sz w:val="1"/>
                <w:szCs w:val="1"/>
                <w:color w:val="auto"/>
              </w:rPr>
            </w:pPr>
          </w:p>
        </w:tc>
      </w:tr>
      <w:tr>
        <w:trPr>
          <w:trHeight w:val="90"/>
        </w:trPr>
        <w:tc>
          <w:tcPr>
            <w:tcW w:w="3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3380" w:type="dxa"/>
            <w:vAlign w:val="bottom"/>
          </w:tcPr>
          <w:p>
            <w:pPr>
              <w:spacing w:after="0"/>
              <w:rPr>
                <w:sz w:val="20"/>
                <w:szCs w:val="20"/>
                <w:color w:val="auto"/>
              </w:rPr>
            </w:pPr>
            <w:r>
              <w:rPr>
                <w:rFonts w:ascii="Arial" w:cs="Arial" w:eastAsia="Arial" w:hAnsi="Arial"/>
                <w:sz w:val="18"/>
                <w:szCs w:val="18"/>
                <w:b w:val="1"/>
                <w:bCs w:val="1"/>
                <w:color w:val="auto"/>
              </w:rPr>
              <w:t>Enhanced Patient Convenience</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Capsule reduces treatment burden</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00"/>
        <w:spacing w:after="0"/>
        <w:tabs>
          <w:tab w:leader="none" w:pos="4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Potential lowest dosage of any oral HAE on-demand treatment</w:t>
      </w:r>
    </w:p>
    <w:p>
      <w:pPr>
        <w:spacing w:after="0" w:line="333" w:lineRule="exact"/>
        <w:rPr>
          <w:sz w:val="20"/>
          <w:szCs w:val="20"/>
          <w:color w:val="auto"/>
        </w:rPr>
      </w:pPr>
    </w:p>
    <w:p>
      <w:pPr>
        <w:ind w:left="200" w:right="500" w:firstLine="434"/>
        <w:spacing w:after="0" w:line="277" w:lineRule="auto"/>
        <w:rPr>
          <w:sz w:val="20"/>
          <w:szCs w:val="20"/>
          <w:color w:val="auto"/>
        </w:rPr>
      </w:pPr>
      <w:r>
        <w:rPr>
          <w:rFonts w:ascii="Arial" w:cs="Arial" w:eastAsia="Arial" w:hAnsi="Arial"/>
          <w:sz w:val="18"/>
          <w:szCs w:val="18"/>
          <w:i w:val="1"/>
          <w:iCs w:val="1"/>
          <w:color w:val="auto"/>
        </w:rPr>
        <w:t xml:space="preserve">PHVS719. </w:t>
      </w:r>
      <w:r>
        <w:rPr>
          <w:rFonts w:ascii="Arial" w:cs="Arial" w:eastAsia="Arial" w:hAnsi="Arial"/>
          <w:sz w:val="18"/>
          <w:szCs w:val="18"/>
          <w:color w:val="auto"/>
        </w:rPr>
        <w:t>We believe that PHVS719, a prophylactic extended-release tablet designed to be taken in small, daily doses, has potential to be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differentiated for HAE patients with the following benefits: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Protection From Attacks</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Validated, proven mechanism to address all bradykinin, regardless of pathway</w:t>
            </w:r>
          </w:p>
        </w:tc>
        <w:tc>
          <w:tcPr>
            <w:tcW w:w="0" w:type="dxa"/>
            <w:vAlign w:val="bottom"/>
          </w:tcPr>
          <w:p>
            <w:pPr>
              <w:spacing w:after="0"/>
              <w:rPr>
                <w:sz w:val="1"/>
                <w:szCs w:val="1"/>
                <w:color w:val="auto"/>
              </w:rPr>
            </w:pPr>
          </w:p>
        </w:tc>
      </w:tr>
      <w:tr>
        <w:trPr>
          <w:trHeight w:val="54"/>
        </w:trPr>
        <w:tc>
          <w:tcPr>
            <w:tcW w:w="3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w w:val="97"/>
              </w:rPr>
              <w:t>Ideal Release Profile for Prophylactic Use</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Reaches and maintains steady-state concentration within 72 hours</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5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6860" w:type="dxa"/>
            <w:vAlign w:val="bottom"/>
            <w:vMerge w:val="restart"/>
          </w:tcPr>
          <w:p>
            <w:pPr>
              <w:ind w:left="140"/>
              <w:spacing w:after="0"/>
              <w:rPr>
                <w:sz w:val="20"/>
                <w:szCs w:val="20"/>
                <w:color w:val="auto"/>
              </w:rPr>
            </w:pPr>
            <w:r>
              <w:rPr>
                <w:rFonts w:ascii="Arial" w:cs="Arial" w:eastAsia="Arial" w:hAnsi="Arial"/>
                <w:sz w:val="18"/>
                <w:szCs w:val="18"/>
                <w:color w:val="auto"/>
              </w:rPr>
              <w:t>Appropriate pharmacokinetic profile with standard meals</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19"/>
                <w:szCs w:val="19"/>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Convenient oral daily dosing with extended-release tablet</w:t>
            </w:r>
          </w:p>
        </w:tc>
        <w:tc>
          <w:tcPr>
            <w:tcW w:w="0" w:type="dxa"/>
            <w:vAlign w:val="bottom"/>
          </w:tcPr>
          <w:p>
            <w:pPr>
              <w:spacing w:after="0"/>
              <w:rPr>
                <w:sz w:val="1"/>
                <w:szCs w:val="1"/>
                <w:color w:val="auto"/>
              </w:rPr>
            </w:pPr>
          </w:p>
        </w:tc>
      </w:tr>
      <w:tr>
        <w:trPr>
          <w:trHeight w:val="323"/>
        </w:trPr>
        <w:tc>
          <w:tcPr>
            <w:tcW w:w="350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Twice-daily dosing with the potential for once a day</w:t>
            </w:r>
          </w:p>
        </w:tc>
        <w:tc>
          <w:tcPr>
            <w:tcW w:w="0" w:type="dxa"/>
            <w:vAlign w:val="bottom"/>
          </w:tcPr>
          <w:p>
            <w:pPr>
              <w:spacing w:after="0"/>
              <w:rPr>
                <w:sz w:val="1"/>
                <w:szCs w:val="1"/>
                <w:color w:val="auto"/>
              </w:rPr>
            </w:pPr>
          </w:p>
        </w:tc>
      </w:tr>
      <w:tr>
        <w:trPr>
          <w:trHeight w:val="360"/>
        </w:trPr>
        <w:tc>
          <w:tcPr>
            <w:tcW w:w="3500" w:type="dxa"/>
            <w:vAlign w:val="bottom"/>
          </w:tcPr>
          <w:p>
            <w:pPr>
              <w:spacing w:after="0"/>
              <w:rPr>
                <w:sz w:val="20"/>
                <w:szCs w:val="20"/>
                <w:color w:val="auto"/>
              </w:rPr>
            </w:pPr>
            <w:r>
              <w:rPr>
                <w:rFonts w:ascii="Arial" w:cs="Arial" w:eastAsia="Arial" w:hAnsi="Arial"/>
                <w:sz w:val="18"/>
                <w:szCs w:val="18"/>
                <w:b w:val="1"/>
                <w:bCs w:val="1"/>
                <w:color w:val="auto"/>
              </w:rPr>
              <w:t>Potential Reduced Treatment Burden /</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Potential lowest dosage of any oral HAE treatment; ease of administration</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Enhanced Patient Convenience</w:t>
            </w:r>
          </w:p>
        </w:tc>
        <w:tc>
          <w:tcPr>
            <w:tcW w:w="5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6860" w:type="dxa"/>
            <w:vAlign w:val="bottom"/>
            <w:vMerge w:val="restart"/>
          </w:tcPr>
          <w:p>
            <w:pPr>
              <w:ind w:left="140"/>
              <w:spacing w:after="0"/>
              <w:rPr>
                <w:sz w:val="20"/>
                <w:szCs w:val="20"/>
                <w:color w:val="auto"/>
              </w:rPr>
            </w:pPr>
            <w:r>
              <w:rPr>
                <w:rFonts w:ascii="Arial" w:cs="Arial" w:eastAsia="Arial" w:hAnsi="Arial"/>
                <w:sz w:val="18"/>
                <w:szCs w:val="18"/>
                <w:color w:val="auto"/>
                <w:w w:val="97"/>
              </w:rPr>
              <w:t>Well tolerated throughout therapeutic ranges as demonstrated by multiple clinical trials</w:t>
            </w:r>
          </w:p>
        </w:tc>
        <w:tc>
          <w:tcPr>
            <w:tcW w:w="0" w:type="dxa"/>
            <w:vAlign w:val="bottom"/>
          </w:tcPr>
          <w:p>
            <w:pPr>
              <w:spacing w:after="0"/>
              <w:rPr>
                <w:sz w:val="1"/>
                <w:szCs w:val="1"/>
                <w:color w:val="auto"/>
              </w:rPr>
            </w:pPr>
          </w:p>
        </w:tc>
      </w:tr>
      <w:tr>
        <w:trPr>
          <w:trHeight w:val="67"/>
        </w:trPr>
        <w:tc>
          <w:tcPr>
            <w:tcW w:w="35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to-date</w:t>
            </w:r>
          </w:p>
        </w:tc>
        <w:tc>
          <w:tcPr>
            <w:tcW w:w="0" w:type="dxa"/>
            <w:vAlign w:val="bottom"/>
          </w:tcPr>
          <w:p>
            <w:pPr>
              <w:spacing w:after="0"/>
              <w:rPr>
                <w:sz w:val="1"/>
                <w:szCs w:val="1"/>
                <w:color w:val="auto"/>
              </w:rPr>
            </w:pPr>
          </w:p>
        </w:tc>
      </w:tr>
      <w:tr>
        <w:trPr>
          <w:trHeight w:val="338"/>
        </w:trPr>
        <w:tc>
          <w:tcPr>
            <w:tcW w:w="350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6860" w:type="dxa"/>
            <w:vAlign w:val="bottom"/>
          </w:tcPr>
          <w:p>
            <w:pPr>
              <w:ind w:left="140"/>
              <w:spacing w:after="0"/>
              <w:rPr>
                <w:sz w:val="20"/>
                <w:szCs w:val="20"/>
                <w:color w:val="auto"/>
              </w:rPr>
            </w:pPr>
            <w:r>
              <w:rPr>
                <w:rFonts w:ascii="Arial" w:cs="Arial" w:eastAsia="Arial" w:hAnsi="Arial"/>
                <w:sz w:val="18"/>
                <w:szCs w:val="18"/>
                <w:color w:val="auto"/>
              </w:rPr>
              <w:t>No injection needed</w:t>
            </w:r>
          </w:p>
        </w:tc>
        <w:tc>
          <w:tcPr>
            <w:tcW w:w="0" w:type="dxa"/>
            <w:vAlign w:val="bottom"/>
          </w:tcPr>
          <w:p>
            <w:pPr>
              <w:spacing w:after="0"/>
              <w:rPr>
                <w:sz w:val="1"/>
                <w:szCs w:val="1"/>
                <w:color w:val="auto"/>
              </w:rPr>
            </w:pPr>
          </w:p>
        </w:tc>
      </w:tr>
      <w:tr>
        <w:trPr>
          <w:trHeight w:val="94"/>
        </w:trPr>
        <w:tc>
          <w:tcPr>
            <w:tcW w:w="3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4"/>
        </w:trPr>
        <w:tc>
          <w:tcPr>
            <w:tcW w:w="3500" w:type="dxa"/>
            <w:vAlign w:val="bottom"/>
          </w:tcPr>
          <w:p>
            <w:pPr>
              <w:spacing w:after="0"/>
              <w:rPr>
                <w:sz w:val="20"/>
                <w:szCs w:val="20"/>
                <w:color w:val="auto"/>
              </w:rPr>
            </w:pPr>
            <w:r>
              <w:rPr>
                <w:rFonts w:ascii="Arial" w:cs="Arial" w:eastAsia="Arial" w:hAnsi="Arial"/>
                <w:sz w:val="18"/>
                <w:szCs w:val="18"/>
                <w:b w:val="1"/>
                <w:bCs w:val="1"/>
                <w:color w:val="auto"/>
              </w:rPr>
              <w:t>Our Pipeline</w:t>
            </w:r>
          </w:p>
        </w:tc>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00" w:right="180" w:firstLine="434"/>
        <w:spacing w:after="0" w:line="311" w:lineRule="auto"/>
        <w:rPr>
          <w:sz w:val="20"/>
          <w:szCs w:val="20"/>
          <w:color w:val="auto"/>
        </w:rPr>
      </w:pPr>
      <w:r>
        <w:rPr>
          <w:rFonts w:ascii="Arial" w:cs="Arial" w:eastAsia="Arial" w:hAnsi="Arial"/>
          <w:sz w:val="16"/>
          <w:szCs w:val="16"/>
          <w:color w:val="auto"/>
        </w:rPr>
        <w:t>We plan to develop separate products for on-demand and prophylactic use, PHVS416 and PHVS719 respectively, with both products utilizing the same active ingredient, PHA121. PHVS416 will be a soft-gel capsule, and PHVS719 will be an extended release tablet. We expect to commence our RAPIDe-1 Phase 2 clinical trial of PHVS416 for on-demand use in 2021. We are also planning to commence a Phase 2 clinical trial</w:t>
      </w: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04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for prophylaxis in 2021. In this trial, we plan to assess twice-daily dosing of PHVS416 soft gel capsules for prophylactic use while we continue to advance the development of our extended-release formulation, PHVS719. A bridging study between our formulation of PHVS719 and PHVS416 in a Phase 1 clinical trial is planned in 2021 before conducting the trial of PHVS719 in the prophylactic setting.</w:t>
      </w:r>
    </w:p>
    <w:p>
      <w:pPr>
        <w:spacing w:after="0" w:line="273"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Expansion of the Portfolio</w:t>
      </w:r>
    </w:p>
    <w:p>
      <w:pPr>
        <w:spacing w:after="0" w:line="117" w:lineRule="exact"/>
        <w:rPr>
          <w:sz w:val="20"/>
          <w:szCs w:val="20"/>
          <w:color w:val="auto"/>
        </w:rPr>
      </w:pPr>
    </w:p>
    <w:p>
      <w:pPr>
        <w:ind w:left="200" w:right="60" w:firstLine="434"/>
        <w:spacing w:after="0" w:line="273" w:lineRule="auto"/>
        <w:rPr>
          <w:sz w:val="20"/>
          <w:szCs w:val="20"/>
          <w:color w:val="auto"/>
        </w:rPr>
      </w:pPr>
      <w:r>
        <w:rPr>
          <w:rFonts w:ascii="Arial" w:cs="Arial" w:eastAsia="Arial" w:hAnsi="Arial"/>
          <w:sz w:val="17"/>
          <w:szCs w:val="17"/>
          <w:color w:val="auto"/>
        </w:rPr>
        <w:t>Our ultimate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such as cardiovascular, allergy and immunology, neurological disease and others.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Team and Investors</w:t>
      </w:r>
    </w:p>
    <w:p>
      <w:pPr>
        <w:spacing w:after="0" w:line="121"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We are led by a strong management team with extensive experience in the biopharmaceutical industry and rare disease drug development, most notably the development of drugs for the treatment of HAE. Our Chief Executive Officer, Berndt Modig, has extensive experience in the pharmaceutical industry, most recently as Chief Financial Officer of Prosensa Holding N.V. and Chief Financial Officer of Jerini AG, which developed and launched icatibant. Our Chief Scientific Officer and Chief Operating Officer, Jochen Knolle, Ph.D. has extensive experience in every aspect of drug discovery as the former Chief Science Officer and Head of R&amp;D at Jerini AG, former Vice President for Medicinal Chemistry and Structural Biology at Axys Pharmaceuticals Inc., and Hoechst AG and Hoechst-Marion-Roussel where he co-invented icatibant. Our Chief Medical Officer, Peng Lu, M.D., Ph.D. previously served as Vice President, Global Program Lead for Rare Diseases at Shire PLC, now Takeda Pharmaceutical Company Limited, where she led the development and successful approval of TAKHZYRO for the prevention of HAE attacks in the U.S., the EU and the rest of the world. Our Chief Early Development Officer, Anne Lesage, Ph.D. brings in deep expertise in drug discovery and GPCR pharmacology, has held various leadership positions at Janssen Pharmaceutica and is inventor on nine patents and author on 45 publications. Our Chief Business Officer, Morgan Conn, Ph.D. has extensive experience in the biopharmaceutical industry including as the Head of Business Development at PTC Therapeutics, Inc. where he was instrumental to a variety of financing events and corporate transactions with leading pharma, biotech, and academic organizations. In addition, we are backed by a group of renowned institutional investors and have raised over $163 million of capital since our inception, including our recent financing that closed on November 5, 2020. Our investors include LSP, Kurma Partners, Idinvest Partners, Foresite Capital, Bain Capital Life Sciences, venBio Partners, Venrock Partners, Viking Global Investors, General Atlantic, and Cormorant Asset Management.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company is built upon the following strengths:</w:t>
      </w:r>
    </w:p>
    <w:p>
      <w:pPr>
        <w:spacing w:after="0" w:line="131" w:lineRule="exact"/>
        <w:rPr>
          <w:sz w:val="20"/>
          <w:szCs w:val="20"/>
          <w:color w:val="auto"/>
        </w:rPr>
      </w:pPr>
    </w:p>
    <w:p>
      <w:pPr>
        <w:ind w:left="1160" w:right="40" w:hanging="534"/>
        <w:spacing w:after="0" w:line="342"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Broad strength and expertise in the bradykinin-B2-receptor pathway. Members of the management team include an inventor of icatibant, the leadership team that developed icatibant through European approval, and a key member from the TAKHZYRO development team;</w:t>
      </w:r>
    </w:p>
    <w:p>
      <w:pPr>
        <w:spacing w:after="0" w:line="29" w:lineRule="exact"/>
        <w:rPr>
          <w:rFonts w:ascii="Arial" w:cs="Arial" w:eastAsia="Arial" w:hAnsi="Arial"/>
          <w:sz w:val="16"/>
          <w:szCs w:val="16"/>
          <w:color w:val="auto"/>
        </w:rPr>
      </w:pPr>
    </w:p>
    <w:p>
      <w:pPr>
        <w:ind w:left="1160" w:right="22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PHA121 is an orally available product candidate with a clinically validated mechanism of action that addresses serious unmet medical need in HAE;</w:t>
      </w:r>
    </w:p>
    <w:p>
      <w:pPr>
        <w:spacing w:after="0" w:line="75" w:lineRule="exact"/>
        <w:rPr>
          <w:rFonts w:ascii="Arial" w:cs="Arial" w:eastAsia="Arial" w:hAnsi="Arial"/>
          <w:sz w:val="18"/>
          <w:szCs w:val="18"/>
          <w:color w:val="auto"/>
        </w:rPr>
      </w:pPr>
    </w:p>
    <w:p>
      <w:pPr>
        <w:ind w:left="1160" w:right="4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PHA121 has demonstrated physicochemical properties suitable to formulations as both an on-demand product candidate, PHVS416, and a distinct prophylactic product candidate, PHVS719;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24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160" w:right="200" w:hanging="534"/>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PHA121, compared to icatibant, the currently approved bradykinin B2-receptor inhibitor, demonstrated superior preclinical potency in blocking bradykinin signaling at the bradykinin B2-receptor, and good oral bioavailability and a longer half-life in humans, which has resulted in longer duration of the BK-blocking pharmacodynamic effect in humans;</w:t>
      </w:r>
    </w:p>
    <w:p>
      <w:pPr>
        <w:spacing w:after="0" w:line="89" w:lineRule="exact"/>
        <w:rPr>
          <w:rFonts w:ascii="Arial" w:cs="Arial" w:eastAsia="Arial" w:hAnsi="Arial"/>
          <w:sz w:val="18"/>
          <w:szCs w:val="18"/>
          <w:color w:val="auto"/>
        </w:rPr>
      </w:pPr>
    </w:p>
    <w:p>
      <w:pPr>
        <w:ind w:left="1160" w:right="72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wholly own intellectual property – including allowed and in-process patent applications – covering PHA121 and additional molecules; and</w:t>
      </w:r>
    </w:p>
    <w:p>
      <w:pPr>
        <w:spacing w:after="0" w:line="75" w:lineRule="exact"/>
        <w:rPr>
          <w:rFonts w:ascii="Arial" w:cs="Arial" w:eastAsia="Arial" w:hAnsi="Arial"/>
          <w:sz w:val="18"/>
          <w:szCs w:val="18"/>
          <w:color w:val="auto"/>
        </w:rPr>
      </w:pPr>
    </w:p>
    <w:p>
      <w:pPr>
        <w:ind w:left="1160" w:right="58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scientific experience allows us to leverage deep insight and experience in the bradykinin-B2-receptor pathway to expand our portfolio into other BK-mediated angioedema and BK-mediated diseases beyond angioedema.</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firstLine="434"/>
        <w:spacing w:after="0" w:line="273" w:lineRule="auto"/>
        <w:rPr>
          <w:sz w:val="20"/>
          <w:szCs w:val="20"/>
          <w:color w:val="auto"/>
        </w:rPr>
      </w:pPr>
      <w:r>
        <w:rPr>
          <w:rFonts w:ascii="Arial" w:cs="Arial" w:eastAsia="Arial" w:hAnsi="Arial"/>
          <w:sz w:val="17"/>
          <w:szCs w:val="17"/>
          <w:color w:val="auto"/>
        </w:rPr>
        <w:t>Our strategy is to develop and commercialize therapies that are superior to currently available treatment options and improve patient quality of life and convenience. Our initial approach for HAE and potential expansions into non-hereditary angioedema and other BK-mediated diseases is based upon extensive patient, physician and payer research to identify the key needs in the market. According to our analysis, oral therapy remains the highest unmet need for both on-demand and prophylactic use in HAE. More importantly, our research shows that patients are not willing to accept significantly reduced efficacy or safety with a switch to oral therapy, and so we place a high degree of emphasis on advancing product candidates that we believe can be comparable to or improve upon existing approved therapies in both safety and efficacy.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key elements of our strategy include:</w:t>
      </w:r>
    </w:p>
    <w:p>
      <w:pPr>
        <w:spacing w:after="0" w:line="131" w:lineRule="exact"/>
        <w:rPr>
          <w:sz w:val="20"/>
          <w:szCs w:val="20"/>
          <w:color w:val="auto"/>
        </w:rPr>
      </w:pPr>
    </w:p>
    <w:p>
      <w:pPr>
        <w:ind w:left="1160" w:right="140" w:hanging="534"/>
        <w:spacing w:after="0" w:line="279"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Continue to advance PHA121 through clinical development for on-demand treatment of HAE utilizing a fast-onset formulation, known as PHVS416</w:t>
      </w:r>
      <w:r>
        <w:rPr>
          <w:rFonts w:ascii="Arial" w:cs="Arial" w:eastAsia="Arial" w:hAnsi="Arial"/>
          <w:sz w:val="17"/>
          <w:szCs w:val="17"/>
          <w:color w:val="auto"/>
        </w:rPr>
        <w:t>. We intend to develop and commercialize PHVS416 as a fast-acting, orally available, potent inhibitor and selective</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for acute HAE. If considered appropriate by the FDA, we plan to pursue an expedited regulatory pathway that could allow us to more quickly provide patients with a potentially more effective oral therapy that is also more convenient.</w:t>
      </w:r>
    </w:p>
    <w:p>
      <w:pPr>
        <w:spacing w:after="0" w:line="76" w:lineRule="exact"/>
        <w:rPr>
          <w:rFonts w:ascii="Arial" w:cs="Arial" w:eastAsia="Arial" w:hAnsi="Arial"/>
          <w:sz w:val="17"/>
          <w:szCs w:val="17"/>
          <w:color w:val="auto"/>
        </w:rPr>
      </w:pPr>
    </w:p>
    <w:p>
      <w:pPr>
        <w:ind w:left="1160" w:right="100" w:hanging="534"/>
        <w:spacing w:after="0" w:line="25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Advance the development of PHA121 for prophylactic treatment of HAE utilizing an extended-release formulation, known as PHVS719</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PK data from our Phase 2 trial RAPIDe-1 of PHVS416 to help select and refine our prophylactic dose for the PHVS719 clinical trials.</w:t>
      </w:r>
    </w:p>
    <w:p>
      <w:pPr>
        <w:spacing w:after="0" w:line="93" w:lineRule="exact"/>
        <w:rPr>
          <w:rFonts w:ascii="Arial" w:cs="Arial" w:eastAsia="Arial" w:hAnsi="Arial"/>
          <w:sz w:val="18"/>
          <w:szCs w:val="18"/>
          <w:color w:val="auto"/>
        </w:rPr>
      </w:pPr>
    </w:p>
    <w:p>
      <w:pPr>
        <w:ind w:left="1160" w:right="40" w:hanging="534"/>
        <w:spacing w:after="0" w:line="272"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Expand the range of bradykinin-mediated angioedema indications to which PHVS416 and PHVS719 can be applied. </w:t>
      </w:r>
      <w:r>
        <w:rPr>
          <w:rFonts w:ascii="Arial" w:cs="Arial" w:eastAsia="Arial" w:hAnsi="Arial"/>
          <w:sz w:val="17"/>
          <w:szCs w:val="17"/>
          <w:color w:val="auto"/>
        </w:rPr>
        <w:t>In addition to Type</w:t>
      </w:r>
      <w:r>
        <w:rPr>
          <w:rFonts w:ascii="Arial" w:cs="Arial" w:eastAsia="Arial" w:hAnsi="Arial"/>
          <w:sz w:val="17"/>
          <w:szCs w:val="17"/>
          <w:i w:val="1"/>
          <w:iCs w:val="1"/>
          <w:color w:val="auto"/>
        </w:rPr>
        <w:t xml:space="preserve"> </w:t>
      </w:r>
      <w:r>
        <w:rPr>
          <w:rFonts w:ascii="Arial" w:cs="Arial" w:eastAsia="Arial" w:hAnsi="Arial"/>
          <w:sz w:val="17"/>
          <w:szCs w:val="17"/>
          <w:color w:val="auto"/>
        </w:rPr>
        <w:t>1 or Type 2 HAE, bradykinin is also an important mediator for other types of non-histaminergic angioedema, such as: non-histaminergic angioedema with normal C1-INH and acquired angioedema (AAE) due to C1-INH deficiency. Currently there are still no approved treatments for these angioedema patients who are unresponsive to conventional antihistamine/glucocorticoid treatment and have a high unmet medical need for effective therapies. Several clinical reports indicate that off-label use of icatibant has successfully treated acute attacks of non-histaminergic angioedema patients, which provides a strong rationale to expand the development PHVS416 and PHVS719 to address such a high unmet medical need.</w:t>
      </w:r>
    </w:p>
    <w:p>
      <w:pPr>
        <w:spacing w:after="0" w:line="82" w:lineRule="exact"/>
        <w:rPr>
          <w:rFonts w:ascii="Arial" w:cs="Arial" w:eastAsia="Arial" w:hAnsi="Arial"/>
          <w:sz w:val="17"/>
          <w:szCs w:val="17"/>
          <w:color w:val="auto"/>
        </w:rPr>
      </w:pPr>
    </w:p>
    <w:p>
      <w:pPr>
        <w:ind w:left="1160" w:right="20" w:hanging="534"/>
        <w:spacing w:after="0" w:line="311"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Expand upon our expertise in the bradykinin-B2-receptor pathway</w:t>
      </w:r>
      <w:r>
        <w:rPr>
          <w:rFonts w:ascii="Arial" w:cs="Arial" w:eastAsia="Arial" w:hAnsi="Arial"/>
          <w:sz w:val="16"/>
          <w:szCs w:val="16"/>
          <w:color w:val="auto"/>
        </w:rPr>
        <w:t>. We intend to leverage the strategic strengths, insight, and deep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of our team in the bradykinin-B2-receptor pathway to identify additional disease areas and indications with strong scientific rationale, high unmet medical need, a defined target population and significant differentiation potential. As such, we will seek to develop</w:t>
      </w: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55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540"/>
        <w:spacing w:after="0" w:line="277" w:lineRule="auto"/>
        <w:rPr>
          <w:sz w:val="20"/>
          <w:szCs w:val="20"/>
          <w:color w:val="auto"/>
        </w:rPr>
      </w:pPr>
      <w:r>
        <w:rPr>
          <w:rFonts w:ascii="Arial" w:cs="Arial" w:eastAsia="Arial" w:hAnsi="Arial"/>
          <w:sz w:val="18"/>
          <w:szCs w:val="18"/>
          <w:color w:val="auto"/>
        </w:rPr>
        <w:t>follow-on product candidates that serve additional BK-mediated diseases beyond angioedema, such as cardiovascular, allergy and immunology, neurological disease or others.</w:t>
      </w:r>
    </w:p>
    <w:p>
      <w:pPr>
        <w:spacing w:after="0" w:line="76" w:lineRule="exact"/>
        <w:rPr>
          <w:sz w:val="20"/>
          <w:szCs w:val="20"/>
          <w:color w:val="auto"/>
        </w:rPr>
      </w:pPr>
    </w:p>
    <w:p>
      <w:pPr>
        <w:ind w:left="1160" w:right="240" w:hanging="534"/>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Commercialize our product candidates. </w:t>
      </w:r>
      <w:r>
        <w:rPr>
          <w:rFonts w:ascii="Arial" w:cs="Arial" w:eastAsia="Arial" w:hAnsi="Arial"/>
          <w:sz w:val="18"/>
          <w:szCs w:val="18"/>
          <w:color w:val="auto"/>
        </w:rPr>
        <w:t>We intend to retain economic and commercial ownership of our current product candidates. If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Series C Financing</w:t>
      </w:r>
    </w:p>
    <w:p>
      <w:pPr>
        <w:spacing w:after="0" w:line="117"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color w:val="auto"/>
        </w:rPr>
        <w:t>On November 3, 2020, we entered into a subscription agreement pursuant to which we sold 5,826,279 Series C preferred shares for an aggregate investment amount of approximately $80,000,000. The Series C preferred shares were issued on November 5, 2020. See “Related Party Transactions —Transactions with Our Principal Shareholders.”</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200" w:right="100" w:firstLine="434"/>
        <w:spacing w:after="0" w:line="301" w:lineRule="auto"/>
        <w:rPr>
          <w:sz w:val="20"/>
          <w:szCs w:val="20"/>
          <w:color w:val="auto"/>
        </w:rPr>
      </w:pPr>
      <w:r>
        <w:rPr>
          <w:rFonts w:ascii="Arial" w:cs="Arial" w:eastAsia="Arial" w:hAnsi="Arial"/>
          <w:sz w:val="16"/>
          <w:szCs w:val="16"/>
          <w:color w:val="auto"/>
        </w:rPr>
        <w:t>On January 30, 2020, the World Health Organization declared the outbreak of coronavirus (“COVID-19”) to be a public health emergency of international concern. The COVID-19 outbreak has severely restricted the level of economic activity around the world.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57"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 interests of our employees and business partners. While the impact of COVID-19 on the Company’s operations is limited, the extent to which COVID-19 may impact our financial condition or results of operations is uncertain. For instance, the ongoing spread of COVID-19 may continue to interrupt, or delay, clinical trial activities, regulatory reviews, manufacturing activities and supply chain. For example, we experienced an approximate two-month delay in starting the enrollment of our now completed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affect our operations.</w:t>
      </w:r>
    </w:p>
    <w:p>
      <w:pPr>
        <w:spacing w:after="0" w:line="185" w:lineRule="exact"/>
        <w:rPr>
          <w:sz w:val="20"/>
          <w:szCs w:val="20"/>
          <w:color w:val="auto"/>
        </w:rPr>
      </w:pPr>
    </w:p>
    <w:p>
      <w:pPr>
        <w:ind w:left="200" w:right="200" w:firstLine="434"/>
        <w:spacing w:after="0" w:line="257" w:lineRule="auto"/>
        <w:rPr>
          <w:sz w:val="20"/>
          <w:szCs w:val="20"/>
          <w:color w:val="auto"/>
        </w:rPr>
      </w:pPr>
      <w:r>
        <w:rPr>
          <w:rFonts w:ascii="Arial" w:cs="Arial" w:eastAsia="Arial" w:hAnsi="Arial"/>
          <w:sz w:val="18"/>
          <w:szCs w:val="18"/>
          <w:color w:val="auto"/>
        </w:rPr>
        <w:t>Furthermore, the spread of the virus may affect the operations of key governmental agencies, such as the FDA, which may delay the development of our product candidates. The spread of COVID-19 may also result in the inability of our suppliers to deliver components or raw materials, and the inability of our contract development and manufacturing organizations, or CDMOs, to provide supplies of our product candidates for our planned clinical trials, on a timely basis or at all. Further, COVID-19 may impact the ability of our CROs, including non-clinical CROs, to provide services to support our clinical program.</w:t>
      </w:r>
    </w:p>
    <w:p>
      <w:pPr>
        <w:spacing w:after="0" w:line="188" w:lineRule="exact"/>
        <w:rPr>
          <w:sz w:val="20"/>
          <w:szCs w:val="20"/>
          <w:color w:val="auto"/>
        </w:rPr>
      </w:pPr>
    </w:p>
    <w:p>
      <w:pPr>
        <w:ind w:left="200" w:right="200" w:firstLine="434"/>
        <w:spacing w:after="0" w:line="263" w:lineRule="auto"/>
        <w:rPr>
          <w:sz w:val="20"/>
          <w:szCs w:val="20"/>
          <w:color w:val="auto"/>
        </w:rPr>
      </w:pPr>
      <w:r>
        <w:rPr>
          <w:rFonts w:ascii="Arial" w:cs="Arial" w:eastAsia="Arial" w:hAnsi="Arial"/>
          <w:sz w:val="18"/>
          <w:szCs w:val="18"/>
          <w:color w:val="auto"/>
        </w:rPr>
        <w:t>The COVID-19 pandemic remains a rapidly evolving situation and we do not yet know the full extent of its potential impact on our business operations. The extent to which the COVID-19 pandemic impacts our business will depend on future developments, which are uncertain and cannot be predicted, including new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6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40"/>
        <w:spacing w:after="0" w:line="263" w:lineRule="auto"/>
        <w:rPr>
          <w:sz w:val="20"/>
          <w:szCs w:val="20"/>
          <w:color w:val="auto"/>
        </w:rPr>
      </w:pPr>
      <w:r>
        <w:rPr>
          <w:rFonts w:ascii="Arial" w:cs="Arial" w:eastAsia="Arial" w:hAnsi="Arial"/>
          <w:sz w:val="18"/>
          <w:szCs w:val="18"/>
          <w:color w:val="auto"/>
        </w:rPr>
        <w:t>which may emerge concerning the severity of the COVID-19 pandemic and the actions to contain COVID-19 or treat its impact, among others. We will continue to closely monitor the effects of the pandemic. For additional information on risks posed by the COVID-19 pandemic, refer to the section titled “Risk Factors” included elsewhere in this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of before making an investment decision. These risks are discussed more fully in the “Risk Factors” section of this prospectus immediately following this prospectus summary. These risks include, but are not limited to, the following:</w:t>
      </w:r>
    </w:p>
    <w:p>
      <w:pPr>
        <w:spacing w:after="0" w:line="89" w:lineRule="exact"/>
        <w:rPr>
          <w:sz w:val="20"/>
          <w:szCs w:val="20"/>
          <w:color w:val="auto"/>
        </w:rPr>
      </w:pPr>
    </w:p>
    <w:p>
      <w:pPr>
        <w:ind w:left="1160" w:right="220" w:hanging="534"/>
        <w:spacing w:after="0" w:line="286"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70" w:lineRule="exact"/>
        <w:rPr>
          <w:rFonts w:ascii="Arial" w:cs="Arial" w:eastAsia="Arial" w:hAnsi="Arial"/>
          <w:sz w:val="17"/>
          <w:szCs w:val="17"/>
          <w:color w:val="auto"/>
        </w:rPr>
      </w:pPr>
    </w:p>
    <w:p>
      <w:pPr>
        <w:ind w:left="1160" w:right="920" w:hanging="534"/>
        <w:spacing w:after="0" w:line="34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29" w:lineRule="exact"/>
        <w:rPr>
          <w:rFonts w:ascii="Arial" w:cs="Arial" w:eastAsia="Arial" w:hAnsi="Arial"/>
          <w:sz w:val="16"/>
          <w:szCs w:val="16"/>
          <w:color w:val="auto"/>
        </w:rPr>
      </w:pPr>
    </w:p>
    <w:p>
      <w:pPr>
        <w:ind w:left="1160" w:right="7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a variety of events outside our control, including, but not limited to, pandemics, epidemics or outbreaks of infectious diseases such as the recent COVID-19 pandemic.</w:t>
      </w:r>
    </w:p>
    <w:p>
      <w:pPr>
        <w:spacing w:after="0" w:line="75" w:lineRule="exact"/>
        <w:rPr>
          <w:rFonts w:ascii="Arial" w:cs="Arial" w:eastAsia="Arial" w:hAnsi="Arial"/>
          <w:sz w:val="18"/>
          <w:szCs w:val="18"/>
          <w:color w:val="auto"/>
        </w:rPr>
      </w:pPr>
    </w:p>
    <w:p>
      <w:pPr>
        <w:ind w:left="1160" w:right="120" w:hanging="534"/>
        <w:spacing w:after="0" w:line="296"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heavily dependent on the success of our product candidates PHVS416 and PHVS719, which are in early stage development and have not yet been assessed for efficacy in a clinical trial.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66" w:lineRule="exact"/>
        <w:rPr>
          <w:rFonts w:ascii="Arial" w:cs="Arial" w:eastAsia="Arial" w:hAnsi="Arial"/>
          <w:sz w:val="16"/>
          <w:szCs w:val="16"/>
          <w:color w:val="auto"/>
        </w:rPr>
      </w:pPr>
    </w:p>
    <w:p>
      <w:pPr>
        <w:ind w:left="1160" w:right="100" w:hanging="534"/>
        <w:spacing w:after="0" w:line="272"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We may experience setbacks in our clinical trials, including delays in commencing, conducting or completing our clinical trials. Moreover, we have established proof-of-mechanism for PHA121 and have designed and advanced our future clinical development program based on a clinical trial that assessed a surrogate assessment, as well as modelling of our results from that trial with additional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data and comparisons to published results for other currently available products from different trials. We may not be</w:t>
      </w:r>
      <w:r>
        <w:rPr>
          <w:rFonts w:ascii="Arial" w:cs="Arial" w:eastAsia="Arial" w:hAnsi="Arial"/>
          <w:sz w:val="17"/>
          <w:szCs w:val="17"/>
          <w:i w:val="1"/>
          <w:iCs w:val="1"/>
          <w:color w:val="auto"/>
        </w:rPr>
        <w:t xml:space="preserve"> </w:t>
      </w:r>
      <w:r>
        <w:rPr>
          <w:rFonts w:ascii="Arial" w:cs="Arial" w:eastAsia="Arial" w:hAnsi="Arial"/>
          <w:sz w:val="17"/>
          <w:szCs w:val="17"/>
          <w:color w:val="auto"/>
        </w:rPr>
        <w:t>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82" w:lineRule="exact"/>
        <w:rPr>
          <w:rFonts w:ascii="Arial" w:cs="Arial" w:eastAsia="Arial" w:hAnsi="Arial"/>
          <w:sz w:val="17"/>
          <w:szCs w:val="17"/>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trials of our product candidates may not uncover all possible adverse effects that patients may experience.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can be no assurance that we will be able to obtain or, if obtained, maintain orphan drug status.</w:t>
      </w:r>
    </w:p>
    <w:p>
      <w:pPr>
        <w:spacing w:after="0" w:line="130" w:lineRule="exact"/>
        <w:rPr>
          <w:rFonts w:ascii="Arial" w:cs="Arial" w:eastAsia="Arial" w:hAnsi="Arial"/>
          <w:sz w:val="18"/>
          <w:szCs w:val="18"/>
          <w:color w:val="auto"/>
        </w:rPr>
      </w:pPr>
    </w:p>
    <w:p>
      <w:pPr>
        <w:ind w:left="1160" w:right="80" w:hanging="534"/>
        <w:spacing w:after="0" w:line="279"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15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60" w:hanging="534"/>
        <w:spacing w:after="0" w:line="342"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29" w:lineRule="exact"/>
        <w:rPr>
          <w:rFonts w:ascii="Arial" w:cs="Arial" w:eastAsia="Arial" w:hAnsi="Arial"/>
          <w:sz w:val="16"/>
          <w:szCs w:val="16"/>
          <w:color w:val="auto"/>
        </w:rPr>
      </w:pPr>
    </w:p>
    <w:p>
      <w:pPr>
        <w:ind w:left="1160" w:hanging="534"/>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53" w:lineRule="exact"/>
        <w:rPr>
          <w:rFonts w:ascii="Arial" w:cs="Arial" w:eastAsia="Arial" w:hAnsi="Arial"/>
          <w:sz w:val="16"/>
          <w:szCs w:val="16"/>
          <w:color w:val="auto"/>
        </w:rPr>
      </w:pPr>
    </w:p>
    <w:p>
      <w:pPr>
        <w:ind w:left="1160" w:right="6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9" w:lineRule="exact"/>
        <w:rPr>
          <w:rFonts w:ascii="Arial" w:cs="Arial" w:eastAsia="Arial" w:hAnsi="Arial"/>
          <w:sz w:val="18"/>
          <w:szCs w:val="18"/>
          <w:color w:val="auto"/>
        </w:rPr>
      </w:pPr>
    </w:p>
    <w:p>
      <w:pPr>
        <w:ind w:left="1160" w:right="34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Governments and/or pricing authorities, especially in the European Union, often impose strict price and access controls, which may adversely affect our future profitability.</w:t>
      </w:r>
    </w:p>
    <w:p>
      <w:pPr>
        <w:spacing w:after="0" w:line="75" w:lineRule="exact"/>
        <w:rPr>
          <w:rFonts w:ascii="Arial" w:cs="Arial" w:eastAsia="Arial" w:hAnsi="Arial"/>
          <w:sz w:val="18"/>
          <w:szCs w:val="18"/>
          <w:color w:val="auto"/>
        </w:rPr>
      </w:pPr>
    </w:p>
    <w:p>
      <w:pPr>
        <w:ind w:left="1160" w:right="34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89" w:lineRule="exact"/>
        <w:rPr>
          <w:rFonts w:ascii="Arial" w:cs="Arial" w:eastAsia="Arial" w:hAnsi="Arial"/>
          <w:sz w:val="18"/>
          <w:szCs w:val="18"/>
          <w:color w:val="auto"/>
        </w:rPr>
      </w:pPr>
    </w:p>
    <w:p>
      <w:pPr>
        <w:ind w:left="1160" w:right="54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75" w:lineRule="exact"/>
        <w:rPr>
          <w:rFonts w:ascii="Arial" w:cs="Arial" w:eastAsia="Arial" w:hAnsi="Arial"/>
          <w:sz w:val="18"/>
          <w:szCs w:val="18"/>
          <w:color w:val="auto"/>
        </w:rPr>
      </w:pPr>
    </w:p>
    <w:p>
      <w:pPr>
        <w:ind w:left="1160" w:right="24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89" w:lineRule="exact"/>
        <w:rPr>
          <w:rFonts w:ascii="Arial" w:cs="Arial" w:eastAsia="Arial" w:hAnsi="Arial"/>
          <w:sz w:val="18"/>
          <w:szCs w:val="18"/>
          <w:color w:val="auto"/>
        </w:rPr>
      </w:pPr>
    </w:p>
    <w:p>
      <w:pPr>
        <w:ind w:left="1160" w:right="22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75" w:lineRule="exact"/>
        <w:rPr>
          <w:rFonts w:ascii="Arial" w:cs="Arial" w:eastAsia="Arial" w:hAnsi="Arial"/>
          <w:sz w:val="18"/>
          <w:szCs w:val="18"/>
          <w:color w:val="auto"/>
        </w:rPr>
      </w:pPr>
    </w:p>
    <w:p>
      <w:pPr>
        <w:ind w:left="1160" w:right="460" w:hanging="534"/>
        <w:spacing w:after="0" w:line="286"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70" w:lineRule="exact"/>
        <w:rPr>
          <w:rFonts w:ascii="Arial" w:cs="Arial" w:eastAsia="Arial" w:hAnsi="Arial"/>
          <w:sz w:val="17"/>
          <w:szCs w:val="17"/>
          <w:color w:val="auto"/>
        </w:rPr>
      </w:pPr>
    </w:p>
    <w:p>
      <w:pPr>
        <w:ind w:left="1160" w:hanging="534"/>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92" w:lineRule="exact"/>
        <w:rPr>
          <w:rFonts w:ascii="Arial" w:cs="Arial" w:eastAsia="Arial" w:hAnsi="Arial"/>
          <w:sz w:val="18"/>
          <w:szCs w:val="18"/>
          <w:color w:val="auto"/>
        </w:rPr>
      </w:pPr>
    </w:p>
    <w:p>
      <w:pPr>
        <w:jc w:val="both"/>
        <w:ind w:left="1160" w:right="34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make required payments to AnalytiCon Discovery GmbH, or AnalytiCon, under the terms of the agreement pursuant to which we acquired certain of our core intellectual property, AnalytiCon may exercise remedies that would materially and adversely affect our business and results of operations.</w:t>
      </w:r>
    </w:p>
    <w:p>
      <w:pPr>
        <w:spacing w:after="0" w:line="89" w:lineRule="exact"/>
        <w:rPr>
          <w:rFonts w:ascii="Arial" w:cs="Arial" w:eastAsia="Arial" w:hAnsi="Arial"/>
          <w:sz w:val="18"/>
          <w:szCs w:val="18"/>
          <w:color w:val="auto"/>
        </w:rPr>
      </w:pPr>
    </w:p>
    <w:p>
      <w:pPr>
        <w:ind w:left="1160" w:right="28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our ordinary shares may be highly volatile, and you may not be able to resell our ordinary shares at or above the initial public offering price.</w:t>
      </w:r>
    </w:p>
    <w:p>
      <w:pPr>
        <w:spacing w:after="0" w:line="75" w:lineRule="exact"/>
        <w:rPr>
          <w:rFonts w:ascii="Arial" w:cs="Arial" w:eastAsia="Arial" w:hAnsi="Arial"/>
          <w:sz w:val="18"/>
          <w:szCs w:val="18"/>
          <w:color w:val="auto"/>
        </w:rPr>
      </w:pPr>
    </w:p>
    <w:p>
      <w:pPr>
        <w:ind w:left="1160" w:right="2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currently intend to pay dividends on our securities and, consequently, your ability to achieve a return on your investment will depend on appreciation in the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320" w:top="459" w:right="5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44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32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a passive foreign investment company, or a PFIC, which could result in adverse U.S. federal income tax consequences to U.S. investors.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firstLine="434"/>
        <w:spacing w:after="0" w:line="263" w:lineRule="auto"/>
        <w:rPr>
          <w:sz w:val="20"/>
          <w:szCs w:val="20"/>
          <w:color w:val="auto"/>
        </w:rPr>
      </w:pPr>
      <w:r>
        <w:rPr>
          <w:rFonts w:ascii="Arial" w:cs="Arial" w:eastAsia="Arial" w:hAnsi="Arial"/>
          <w:sz w:val="18"/>
          <w:szCs w:val="18"/>
          <w:color w:val="auto"/>
        </w:rPr>
        <w:t>We were incorporated pursuant to Dutch law as Pharvaris B.V. on September 30, 2015. Prior to the consummation of this offering, we intend to convert from Pharvaris B.V. into Pharvaris N.V., a Dutch public company with limited liability. Our principal executive offices are located at J.H. Oortweg 21, 2333 CH Leiden, The Netherlands. Our telephone number is +31 (0)71 203 6410.</w:t>
      </w:r>
    </w:p>
    <w:p>
      <w:pPr>
        <w:spacing w:after="0" w:line="184" w:lineRule="exact"/>
        <w:rPr>
          <w:sz w:val="20"/>
          <w:szCs w:val="20"/>
          <w:color w:val="auto"/>
        </w:rPr>
      </w:pPr>
    </w:p>
    <w:p>
      <w:pPr>
        <w:jc w:val="both"/>
        <w:ind w:left="200" w:firstLine="434"/>
        <w:spacing w:after="0" w:line="263" w:lineRule="auto"/>
        <w:rPr>
          <w:sz w:val="20"/>
          <w:szCs w:val="20"/>
          <w:color w:val="auto"/>
        </w:rPr>
      </w:pPr>
      <w:r>
        <w:rPr>
          <w:rFonts w:ascii="Arial" w:cs="Arial" w:eastAsia="Arial" w:hAnsi="Arial"/>
          <w:sz w:val="18"/>
          <w:szCs w:val="18"/>
          <w:color w:val="auto"/>
        </w:rPr>
        <w:t xml:space="preserve">Investors should contact us for any inquiries through the address and telephone number of our principal executive offices. Our principal website is </w:t>
      </w:r>
      <w:r>
        <w:rPr>
          <w:rFonts w:ascii="Arial" w:cs="Arial" w:eastAsia="Arial" w:hAnsi="Arial"/>
          <w:sz w:val="18"/>
          <w:szCs w:val="18"/>
          <w:i w:val="1"/>
          <w:iCs w:val="1"/>
          <w:color w:val="auto"/>
        </w:rPr>
        <w:t>www.pharvaris.com</w:t>
      </w:r>
      <w:r>
        <w:rPr>
          <w:rFonts w:ascii="Arial" w:cs="Arial" w:eastAsia="Arial" w:hAnsi="Arial"/>
          <w:sz w:val="18"/>
          <w:szCs w:val="18"/>
          <w:color w:val="auto"/>
        </w:rPr>
        <w:t>. The information contained on, or accessible from, or hyperlinked to, our website is not a part of this prospectus and you should not consider information on our website to be part of this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1" w:lineRule="exact"/>
        <w:rPr>
          <w:sz w:val="20"/>
          <w:szCs w:val="20"/>
          <w:color w:val="auto"/>
        </w:rPr>
      </w:pPr>
    </w:p>
    <w:p>
      <w:pPr>
        <w:ind w:left="200" w:right="80" w:firstLine="434"/>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9" w:lineRule="exact"/>
        <w:rPr>
          <w:sz w:val="20"/>
          <w:szCs w:val="20"/>
          <w:color w:val="auto"/>
        </w:rPr>
      </w:pPr>
    </w:p>
    <w:p>
      <w:pPr>
        <w:ind w:left="1160" w:right="200" w:hanging="534"/>
        <w:spacing w:after="0" w:line="263"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inclusion of only two years of audited financial statements in addition to any required unaudited interim financial statements with correspondingly reduced “Management’s Discussion and Analysis of Financial Condition and Results of Operations” disclosure in the registration statement of which this prospectus forms a part;</w:t>
      </w:r>
    </w:p>
    <w:p>
      <w:pPr>
        <w:spacing w:after="0" w:line="89" w:lineRule="exact"/>
        <w:rPr>
          <w:rFonts w:ascii="Arial" w:cs="Arial" w:eastAsia="Arial" w:hAnsi="Arial"/>
          <w:sz w:val="18"/>
          <w:szCs w:val="18"/>
          <w:color w:val="auto"/>
        </w:rPr>
      </w:pPr>
    </w:p>
    <w:p>
      <w:pPr>
        <w:ind w:left="1160" w:right="14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 Oxley Act of 2002, as amended, or the Sarbanes-Oxley Act;</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and registration statements; and</w:t>
      </w:r>
    </w:p>
    <w:p>
      <w:pPr>
        <w:spacing w:after="0" w:line="130" w:lineRule="exact"/>
        <w:rPr>
          <w:rFonts w:ascii="Arial" w:cs="Arial" w:eastAsia="Arial" w:hAnsi="Arial"/>
          <w:sz w:val="18"/>
          <w:szCs w:val="18"/>
          <w:color w:val="auto"/>
        </w:rPr>
      </w:pPr>
    </w:p>
    <w:p>
      <w:pPr>
        <w:ind w:left="1160" w:right="100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golden parachute arrangements.</w:t>
      </w:r>
    </w:p>
    <w:p>
      <w:pPr>
        <w:spacing w:after="0" w:line="170" w:lineRule="exact"/>
        <w:rPr>
          <w:sz w:val="20"/>
          <w:szCs w:val="20"/>
          <w:color w:val="auto"/>
        </w:rPr>
      </w:pPr>
    </w:p>
    <w:p>
      <w:pPr>
        <w:jc w:val="both"/>
        <w:ind w:left="200" w:right="60" w:firstLine="434"/>
        <w:spacing w:after="0" w:line="291" w:lineRule="auto"/>
        <w:rPr>
          <w:sz w:val="20"/>
          <w:szCs w:val="20"/>
          <w:color w:val="auto"/>
        </w:rPr>
      </w:pPr>
      <w:r>
        <w:rPr>
          <w:rFonts w:ascii="Arial" w:cs="Arial" w:eastAsia="Arial" w:hAnsi="Arial"/>
          <w:sz w:val="16"/>
          <w:szCs w:val="16"/>
          <w:color w:val="auto"/>
        </w:rPr>
        <w:t>We may take advantage of these provisions until such time that we cease to qualify as an emerging growth company. We would cease to qualify as an emerging growth company upon the earliest of: (i) the last day of the fiscal year (A) in which we had more than $1.07 billion in annual revenue,</w:t>
      </w:r>
    </w:p>
    <w:p>
      <w:pPr>
        <w:ind w:left="200" w:right="40" w:hanging="6"/>
        <w:spacing w:after="0" w:line="253" w:lineRule="auto"/>
        <w:tabs>
          <w:tab w:leader="none" w:pos="4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deemed to be a “large accelerated filer” under the rules of the SEC, or (C) following the fifth anniversary of the date of the completion of this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91"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475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34759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320" w:firstLine="434"/>
        <w:spacing w:after="0" w:line="259" w:lineRule="auto"/>
        <w:rPr>
          <w:sz w:val="20"/>
          <w:szCs w:val="20"/>
          <w:color w:val="auto"/>
        </w:rPr>
      </w:pPr>
      <w:r>
        <w:rPr>
          <w:rFonts w:ascii="Arial" w:cs="Arial" w:eastAsia="Arial" w:hAnsi="Arial"/>
          <w:sz w:val="18"/>
          <w:szCs w:val="18"/>
          <w:color w:val="auto"/>
        </w:rPr>
        <w:t>Upon the consummation of this offering, we will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 but not limited to:</w:t>
      </w:r>
    </w:p>
    <w:p>
      <w:pPr>
        <w:spacing w:after="0" w:line="92" w:lineRule="exact"/>
        <w:rPr>
          <w:sz w:val="20"/>
          <w:szCs w:val="20"/>
          <w:color w:val="auto"/>
        </w:rPr>
      </w:pPr>
    </w:p>
    <w:p>
      <w:pPr>
        <w:ind w:left="1160" w:hanging="53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130" w:lineRule="exact"/>
        <w:rPr>
          <w:rFonts w:ascii="Arial" w:cs="Arial" w:eastAsia="Arial" w:hAnsi="Arial"/>
          <w:sz w:val="18"/>
          <w:szCs w:val="18"/>
          <w:color w:val="auto"/>
        </w:rPr>
      </w:pPr>
    </w:p>
    <w:p>
      <w:pPr>
        <w:ind w:left="116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160" w:right="2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70" w:lineRule="exact"/>
        <w:rPr>
          <w:sz w:val="20"/>
          <w:szCs w:val="20"/>
          <w:color w:val="auto"/>
        </w:rPr>
      </w:pPr>
    </w:p>
    <w:p>
      <w:pPr>
        <w:ind w:left="200" w:right="80" w:firstLine="434"/>
        <w:spacing w:after="0" w:line="259"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87" w:lineRule="exact"/>
        <w:rPr>
          <w:sz w:val="20"/>
          <w:szCs w:val="20"/>
          <w:color w:val="auto"/>
        </w:rPr>
      </w:pPr>
    </w:p>
    <w:p>
      <w:pPr>
        <w:ind w:left="200" w:right="100" w:firstLine="434"/>
        <w:spacing w:after="0" w:line="259" w:lineRule="auto"/>
        <w:rPr>
          <w:sz w:val="20"/>
          <w:szCs w:val="20"/>
          <w:color w:val="auto"/>
        </w:rPr>
      </w:pPr>
      <w:r>
        <w:rPr>
          <w:rFonts w:ascii="Arial" w:cs="Arial" w:eastAsia="Arial" w:hAnsi="Arial"/>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905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060" w:type="dxa"/>
            <w:vAlign w:val="bottom"/>
          </w:tcPr>
          <w:p>
            <w:pPr>
              <w:ind w:left="500"/>
              <w:spacing w:after="0"/>
              <w:rPr>
                <w:sz w:val="20"/>
                <w:szCs w:val="20"/>
                <w:color w:val="auto"/>
              </w:rPr>
            </w:pPr>
            <w:r>
              <w:rPr>
                <w:rFonts w:ascii="Arial" w:cs="Arial" w:eastAsia="Arial" w:hAnsi="Arial"/>
                <w:sz w:val="18"/>
                <w:szCs w:val="18"/>
                <w:b w:val="1"/>
                <w:bCs w:val="1"/>
                <w:color w:val="auto"/>
              </w:rPr>
              <w:t>THE OFFERING</w:t>
            </w:r>
          </w:p>
        </w:tc>
        <w:tc>
          <w:tcPr>
            <w:tcW w:w="4500" w:type="dxa"/>
            <w:vAlign w:val="bottom"/>
          </w:tcPr>
          <w:p>
            <w:pPr>
              <w:spacing w:after="0"/>
              <w:rPr>
                <w:sz w:val="20"/>
                <w:szCs w:val="20"/>
                <w:color w:val="auto"/>
              </w:rPr>
            </w:pPr>
          </w:p>
        </w:tc>
      </w:tr>
      <w:tr>
        <w:trPr>
          <w:trHeight w:val="459"/>
        </w:trPr>
        <w:tc>
          <w:tcPr>
            <w:tcW w:w="424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6,950,000 ordinary shares.</w:t>
            </w:r>
          </w:p>
        </w:tc>
      </w:tr>
      <w:tr>
        <w:trPr>
          <w:trHeight w:val="310"/>
        </w:trPr>
        <w:tc>
          <w:tcPr>
            <w:tcW w:w="4240" w:type="dxa"/>
            <w:vAlign w:val="bottom"/>
          </w:tcPr>
          <w:p>
            <w:pPr>
              <w:spacing w:after="0"/>
              <w:rPr>
                <w:sz w:val="20"/>
                <w:szCs w:val="20"/>
                <w:color w:val="auto"/>
              </w:rPr>
            </w:pPr>
            <w:r>
              <w:rPr>
                <w:rFonts w:ascii="Arial" w:cs="Arial" w:eastAsia="Arial" w:hAnsi="Arial"/>
                <w:sz w:val="18"/>
                <w:szCs w:val="18"/>
                <w:color w:val="auto"/>
              </w:rPr>
              <w:t>Option to purchase additional ordinary shares</w:t>
            </w: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8"/>
              </w:rPr>
              <w:t>We have granted the underwriters an option to purchase up to an</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0"/>
              </w:rPr>
              <w:t>additional 1,042,500 ordinary shares from us within 30 days of the date</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of this prospectus in connection with the offering solely to cover</w:t>
            </w:r>
          </w:p>
        </w:tc>
      </w:tr>
      <w:tr>
        <w:trPr>
          <w:trHeight w:val="230"/>
        </w:trPr>
        <w:tc>
          <w:tcPr>
            <w:tcW w:w="4240" w:type="dxa"/>
            <w:vAlign w:val="bottom"/>
          </w:tcPr>
          <w:p>
            <w:pPr>
              <w:spacing w:after="0"/>
              <w:rPr>
                <w:sz w:val="20"/>
                <w:szCs w:val="20"/>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overallotments.</w:t>
            </w:r>
          </w:p>
        </w:tc>
      </w:tr>
      <w:tr>
        <w:trPr>
          <w:trHeight w:val="310"/>
        </w:trPr>
        <w:tc>
          <w:tcPr>
            <w:tcW w:w="4240" w:type="dxa"/>
            <w:vAlign w:val="bottom"/>
          </w:tcPr>
          <w:p>
            <w:pPr>
              <w:spacing w:after="0"/>
              <w:rPr>
                <w:sz w:val="20"/>
                <w:szCs w:val="20"/>
                <w:color w:val="auto"/>
              </w:rPr>
            </w:pPr>
            <w:r>
              <w:rPr>
                <w:rFonts w:ascii="Arial" w:cs="Arial" w:eastAsia="Arial" w:hAnsi="Arial"/>
                <w:sz w:val="18"/>
                <w:szCs w:val="18"/>
                <w:color w:val="auto"/>
              </w:rPr>
              <w:t>Ordinary shares to be outstanding after this offering</w:t>
            </w: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9"/>
              </w:rPr>
              <w:t>30,519,276 ordinary shares (or 31,561,776 ordinary shares if the</w:t>
            </w:r>
          </w:p>
        </w:tc>
      </w:tr>
      <w:tr>
        <w:trPr>
          <w:trHeight w:val="230"/>
        </w:trPr>
        <w:tc>
          <w:tcPr>
            <w:tcW w:w="4240" w:type="dxa"/>
            <w:vAlign w:val="bottom"/>
          </w:tcPr>
          <w:p>
            <w:pPr>
              <w:spacing w:after="0"/>
              <w:rPr>
                <w:sz w:val="20"/>
                <w:szCs w:val="20"/>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underwriters exercise in full their overallotment option).</w:t>
            </w:r>
          </w:p>
        </w:tc>
      </w:tr>
      <w:tr>
        <w:trPr>
          <w:trHeight w:val="310"/>
        </w:trPr>
        <w:tc>
          <w:tcPr>
            <w:tcW w:w="4240" w:type="dxa"/>
            <w:vAlign w:val="bottom"/>
          </w:tcPr>
          <w:p>
            <w:pPr>
              <w:spacing w:after="0"/>
              <w:rPr>
                <w:sz w:val="20"/>
                <w:szCs w:val="20"/>
                <w:color w:val="auto"/>
              </w:rPr>
            </w:pPr>
            <w:r>
              <w:rPr>
                <w:rFonts w:ascii="Arial" w:cs="Arial" w:eastAsia="Arial" w:hAnsi="Arial"/>
                <w:sz w:val="18"/>
                <w:szCs w:val="18"/>
                <w:color w:val="auto"/>
              </w:rPr>
              <w:t>Use of proceeds</w:t>
            </w: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1"/>
              </w:rPr>
              <w:t>We estimate that we will receive net proceeds of approximately $113.8</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million (€97.3 million) (or approximately $131.3 million</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4"/>
              </w:rPr>
              <w:t>(€112.2 million) if the underwriters exercise in full their overallotment</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option), at an assumed initial public offering price of $18.00 per</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5"/>
              </w:rPr>
              <w:t>ordinary share, which is the midpoint of the estimated initial offering</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price range set forth on the cover page of this prospectus, after</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2"/>
              </w:rPr>
              <w:t>deducting the estimated underwriting discounts and commissions and</w:t>
            </w:r>
          </w:p>
        </w:tc>
      </w:tr>
      <w:tr>
        <w:trPr>
          <w:trHeight w:val="230"/>
        </w:trPr>
        <w:tc>
          <w:tcPr>
            <w:tcW w:w="4240" w:type="dxa"/>
            <w:vAlign w:val="bottom"/>
          </w:tcPr>
          <w:p>
            <w:pPr>
              <w:spacing w:after="0"/>
              <w:rPr>
                <w:sz w:val="20"/>
                <w:szCs w:val="20"/>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estimated offering expenses.</w:t>
            </w:r>
          </w:p>
        </w:tc>
      </w:tr>
      <w:tr>
        <w:trPr>
          <w:trHeight w:val="310"/>
        </w:trPr>
        <w:tc>
          <w:tcPr>
            <w:tcW w:w="4240" w:type="dxa"/>
            <w:vAlign w:val="bottom"/>
          </w:tcPr>
          <w:p>
            <w:pPr>
              <w:spacing w:after="0"/>
              <w:rPr>
                <w:sz w:val="24"/>
                <w:szCs w:val="24"/>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9"/>
              </w:rPr>
              <w:t>We currently expect to use the net proceeds from this offering as</w:t>
            </w:r>
          </w:p>
        </w:tc>
      </w:tr>
      <w:tr>
        <w:trPr>
          <w:trHeight w:val="230"/>
        </w:trPr>
        <w:tc>
          <w:tcPr>
            <w:tcW w:w="4240" w:type="dxa"/>
            <w:vAlign w:val="bottom"/>
          </w:tcPr>
          <w:p>
            <w:pPr>
              <w:spacing w:after="0"/>
              <w:rPr>
                <w:sz w:val="20"/>
                <w:szCs w:val="20"/>
                <w:color w:val="auto"/>
              </w:rPr>
            </w:pPr>
          </w:p>
        </w:tc>
        <w:tc>
          <w:tcPr>
            <w:tcW w:w="2060" w:type="dxa"/>
            <w:vAlign w:val="bottom"/>
          </w:tcPr>
          <w:p>
            <w:pPr>
              <w:ind w:left="1420"/>
              <w:spacing w:after="0"/>
              <w:rPr>
                <w:sz w:val="20"/>
                <w:szCs w:val="20"/>
                <w:color w:val="auto"/>
              </w:rPr>
            </w:pPr>
            <w:r>
              <w:rPr>
                <w:rFonts w:ascii="Arial" w:cs="Arial" w:eastAsia="Arial" w:hAnsi="Arial"/>
                <w:sz w:val="18"/>
                <w:szCs w:val="18"/>
                <w:color w:val="auto"/>
              </w:rPr>
              <w:t>follows:</w:t>
            </w:r>
          </w:p>
        </w:tc>
        <w:tc>
          <w:tcPr>
            <w:tcW w:w="4500" w:type="dxa"/>
            <w:vAlign w:val="bottom"/>
          </w:tcPr>
          <w:p>
            <w:pPr>
              <w:spacing w:after="0"/>
              <w:rPr>
                <w:sz w:val="20"/>
                <w:szCs w:val="20"/>
                <w:color w:val="auto"/>
              </w:rPr>
            </w:pPr>
          </w:p>
        </w:tc>
      </w:tr>
      <w:tr>
        <w:trPr>
          <w:trHeight w:val="310"/>
        </w:trPr>
        <w:tc>
          <w:tcPr>
            <w:tcW w:w="424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Arial" w:cs="Arial" w:eastAsia="Arial" w:hAnsi="Arial"/>
                <w:sz w:val="18"/>
                <w:szCs w:val="18"/>
                <w:color w:val="auto"/>
              </w:rPr>
              <w:t>•</w:t>
            </w:r>
          </w:p>
        </w:tc>
        <w:tc>
          <w:tcPr>
            <w:tcW w:w="4500" w:type="dxa"/>
            <w:vAlign w:val="bottom"/>
          </w:tcPr>
          <w:p>
            <w:pPr>
              <w:ind w:left="60"/>
              <w:spacing w:after="0"/>
              <w:rPr>
                <w:sz w:val="20"/>
                <w:szCs w:val="20"/>
                <w:color w:val="auto"/>
              </w:rPr>
            </w:pPr>
            <w:r>
              <w:rPr>
                <w:rFonts w:ascii="Arial" w:cs="Arial" w:eastAsia="Arial" w:hAnsi="Arial"/>
                <w:sz w:val="18"/>
                <w:szCs w:val="18"/>
                <w:color w:val="auto"/>
              </w:rPr>
              <w:t>approximately $38 million (€32 million) to develop our</w:t>
            </w:r>
          </w:p>
        </w:tc>
      </w:tr>
      <w:tr>
        <w:trPr>
          <w:trHeight w:val="230"/>
        </w:trPr>
        <w:tc>
          <w:tcPr>
            <w:tcW w:w="4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product candidate PHVS416;</w:t>
            </w:r>
          </w:p>
        </w:tc>
      </w:tr>
      <w:tr>
        <w:trPr>
          <w:trHeight w:val="310"/>
        </w:trPr>
        <w:tc>
          <w:tcPr>
            <w:tcW w:w="424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Arial" w:cs="Arial" w:eastAsia="Arial" w:hAnsi="Arial"/>
                <w:sz w:val="18"/>
                <w:szCs w:val="18"/>
                <w:color w:val="auto"/>
              </w:rPr>
              <w:t>•</w:t>
            </w:r>
          </w:p>
        </w:tc>
        <w:tc>
          <w:tcPr>
            <w:tcW w:w="4500" w:type="dxa"/>
            <w:vAlign w:val="bottom"/>
          </w:tcPr>
          <w:p>
            <w:pPr>
              <w:ind w:left="60"/>
              <w:spacing w:after="0"/>
              <w:rPr>
                <w:sz w:val="20"/>
                <w:szCs w:val="20"/>
                <w:color w:val="auto"/>
              </w:rPr>
            </w:pPr>
            <w:r>
              <w:rPr>
                <w:rFonts w:ascii="Arial" w:cs="Arial" w:eastAsia="Arial" w:hAnsi="Arial"/>
                <w:sz w:val="18"/>
                <w:szCs w:val="18"/>
                <w:color w:val="auto"/>
              </w:rPr>
              <w:t>approximately $46 million (€39 million) to develop our</w:t>
            </w:r>
          </w:p>
        </w:tc>
      </w:tr>
      <w:tr>
        <w:trPr>
          <w:trHeight w:val="230"/>
        </w:trPr>
        <w:tc>
          <w:tcPr>
            <w:tcW w:w="4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product candidate PHVS719;</w:t>
            </w:r>
          </w:p>
        </w:tc>
      </w:tr>
      <w:tr>
        <w:trPr>
          <w:trHeight w:val="310"/>
        </w:trPr>
        <w:tc>
          <w:tcPr>
            <w:tcW w:w="424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Arial" w:cs="Arial" w:eastAsia="Arial" w:hAnsi="Arial"/>
                <w:sz w:val="18"/>
                <w:szCs w:val="18"/>
                <w:color w:val="auto"/>
              </w:rPr>
              <w:t>•</w:t>
            </w:r>
          </w:p>
        </w:tc>
        <w:tc>
          <w:tcPr>
            <w:tcW w:w="4500" w:type="dxa"/>
            <w:vAlign w:val="bottom"/>
          </w:tcPr>
          <w:p>
            <w:pPr>
              <w:ind w:left="60"/>
              <w:spacing w:after="0"/>
              <w:rPr>
                <w:sz w:val="20"/>
                <w:szCs w:val="20"/>
                <w:color w:val="auto"/>
              </w:rPr>
            </w:pPr>
            <w:r>
              <w:rPr>
                <w:rFonts w:ascii="Arial" w:cs="Arial" w:eastAsia="Arial" w:hAnsi="Arial"/>
                <w:sz w:val="18"/>
                <w:szCs w:val="18"/>
                <w:color w:val="auto"/>
                <w:w w:val="97"/>
              </w:rPr>
              <w:t>approximately $9 million (€8 million) for additional clinical</w:t>
            </w:r>
          </w:p>
        </w:tc>
      </w:tr>
      <w:tr>
        <w:trPr>
          <w:trHeight w:val="230"/>
        </w:trPr>
        <w:tc>
          <w:tcPr>
            <w:tcW w:w="4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development and product discovery; and</w:t>
            </w:r>
          </w:p>
        </w:tc>
      </w:tr>
      <w:tr>
        <w:trPr>
          <w:trHeight w:val="324"/>
        </w:trPr>
        <w:tc>
          <w:tcPr>
            <w:tcW w:w="424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Arial" w:cs="Arial" w:eastAsia="Arial" w:hAnsi="Arial"/>
                <w:sz w:val="18"/>
                <w:szCs w:val="18"/>
                <w:color w:val="auto"/>
              </w:rPr>
              <w:t>•</w:t>
            </w:r>
          </w:p>
        </w:tc>
        <w:tc>
          <w:tcPr>
            <w:tcW w:w="4500" w:type="dxa"/>
            <w:vAlign w:val="bottom"/>
          </w:tcPr>
          <w:p>
            <w:pPr>
              <w:ind w:left="60"/>
              <w:spacing w:after="0"/>
              <w:rPr>
                <w:sz w:val="20"/>
                <w:szCs w:val="20"/>
                <w:color w:val="auto"/>
              </w:rPr>
            </w:pPr>
            <w:r>
              <w:rPr>
                <w:rFonts w:ascii="Arial" w:cs="Arial" w:eastAsia="Arial" w:hAnsi="Arial"/>
                <w:sz w:val="18"/>
                <w:szCs w:val="18"/>
                <w:color w:val="auto"/>
              </w:rPr>
              <w:t>the remainder for general corporate purposes.</w:t>
            </w:r>
          </w:p>
        </w:tc>
      </w:tr>
      <w:tr>
        <w:trPr>
          <w:trHeight w:val="324"/>
        </w:trPr>
        <w:tc>
          <w:tcPr>
            <w:tcW w:w="4240" w:type="dxa"/>
            <w:vAlign w:val="bottom"/>
          </w:tcPr>
          <w:p>
            <w:pPr>
              <w:spacing w:after="0"/>
              <w:rPr>
                <w:sz w:val="24"/>
                <w:szCs w:val="24"/>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rPr>
              <w:t>See “Use of Proceeds.”</w:t>
            </w:r>
          </w:p>
        </w:tc>
      </w:tr>
      <w:tr>
        <w:trPr>
          <w:trHeight w:val="310"/>
        </w:trPr>
        <w:tc>
          <w:tcPr>
            <w:tcW w:w="4240" w:type="dxa"/>
            <w:vAlign w:val="bottom"/>
          </w:tcPr>
          <w:p>
            <w:pPr>
              <w:spacing w:after="0"/>
              <w:rPr>
                <w:sz w:val="20"/>
                <w:szCs w:val="20"/>
                <w:color w:val="auto"/>
              </w:rPr>
            </w:pPr>
            <w:r>
              <w:rPr>
                <w:rFonts w:ascii="Arial" w:cs="Arial" w:eastAsia="Arial" w:hAnsi="Arial"/>
                <w:sz w:val="18"/>
                <w:szCs w:val="18"/>
                <w:color w:val="auto"/>
              </w:rPr>
              <w:t>Directed share program</w:t>
            </w: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0"/>
              </w:rPr>
              <w:t>At our request, the underwriters have reserved up to 5% of the ordinary</w:t>
            </w:r>
          </w:p>
        </w:tc>
      </w:tr>
      <w:tr>
        <w:trPr>
          <w:trHeight w:val="230"/>
        </w:trPr>
        <w:tc>
          <w:tcPr>
            <w:tcW w:w="4240" w:type="dxa"/>
            <w:vAlign w:val="bottom"/>
          </w:tcPr>
          <w:p>
            <w:pPr>
              <w:spacing w:after="0"/>
              <w:rPr>
                <w:sz w:val="20"/>
                <w:szCs w:val="20"/>
                <w:color w:val="auto"/>
              </w:rPr>
            </w:pPr>
          </w:p>
        </w:tc>
        <w:tc>
          <w:tcPr>
            <w:tcW w:w="6560" w:type="dxa"/>
            <w:vAlign w:val="bottom"/>
            <w:gridSpan w:val="2"/>
          </w:tcPr>
          <w:p>
            <w:pPr>
              <w:ind w:left="1420"/>
              <w:spacing w:after="0"/>
              <w:rPr>
                <w:sz w:val="20"/>
                <w:szCs w:val="20"/>
                <w:color w:val="auto"/>
              </w:rPr>
            </w:pPr>
            <w:r>
              <w:rPr>
                <w:rFonts w:ascii="Arial" w:cs="Arial" w:eastAsia="Arial" w:hAnsi="Arial"/>
                <w:sz w:val="18"/>
                <w:szCs w:val="18"/>
                <w:color w:val="auto"/>
                <w:w w:val="93"/>
              </w:rPr>
              <w:t>shares offered by this prospectus, for sale at the initial public offering</w:t>
            </w:r>
          </w:p>
        </w:tc>
      </w:tr>
    </w:tbl>
    <w:p>
      <w:pPr>
        <w:ind w:left="5860"/>
        <w:spacing w:after="0"/>
        <w:rPr>
          <w:sz w:val="20"/>
          <w:szCs w:val="20"/>
          <w:color w:val="auto"/>
        </w:rPr>
      </w:pPr>
      <w:r>
        <w:rPr>
          <w:rFonts w:ascii="Arial" w:cs="Arial" w:eastAsia="Arial" w:hAnsi="Arial"/>
          <w:sz w:val="16"/>
          <w:szCs w:val="16"/>
          <w:color w:val="auto"/>
        </w:rPr>
        <w:t>price through a directed share program to certain individuals, including</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our directors, officers, employees, and certain friends and family</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members of these persons. The sales will be made at our direction by</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Morgan Stanley &amp; Co. LLC and its affiliates through a directed share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program. The number of ordinary shares available for sale to the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general public in this offering will be reduced to the extent that these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459" w:right="5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473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51473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60"/>
        <w:spacing w:after="0"/>
        <w:rPr>
          <w:sz w:val="20"/>
          <w:szCs w:val="20"/>
          <w:color w:val="auto"/>
        </w:rPr>
      </w:pPr>
      <w:r>
        <w:rPr>
          <w:rFonts w:ascii="Arial" w:cs="Arial" w:eastAsia="Arial" w:hAnsi="Arial"/>
          <w:sz w:val="15"/>
          <w:szCs w:val="15"/>
          <w:color w:val="auto"/>
        </w:rPr>
        <w:t>individuals purchase such reserved shares. Any reserved shares that are</w:t>
      </w:r>
    </w:p>
    <w:p>
      <w:pPr>
        <w:spacing w:after="0" w:line="58"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not so purchased will be offered by the underwriters to the general</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public on the same terms as the other ordinary shares offered by this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prospectus. Shares purchased through the directed share program will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not be subject to lockup restrictions with the underwriters, except in the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case of shares purchased by any of our directors, officers or employees.</w:t>
      </w:r>
    </w:p>
    <w:p>
      <w:pPr>
        <w:spacing w:after="0" w:line="1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For additional information, see the section titled “Underwriting—</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Directed Share Program.”</w:t>
      </w:r>
    </w:p>
    <w:p>
      <w:pPr>
        <w:sectPr>
          <w:pgSz w:w="11900" w:h="16838" w:orient="portrait"/>
          <w:cols w:equalWidth="0" w:num="1">
            <w:col w:w="11020"/>
          </w:cols>
          <w:pgMar w:left="320" w:top="459" w:right="559" w:bottom="1440" w:gutter="0" w:footer="0" w:header="0"/>
        </w:sectPr>
      </w:pPr>
    </w:p>
    <w:p>
      <w:pPr>
        <w:spacing w:after="0" w:line="1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Nasdaq Stock Exchange Listing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applied to list our ordinary shares on the Nasdaq Global Market under the symbol “PHVS.”</w:t>
      </w:r>
    </w:p>
    <w:p>
      <w:pPr>
        <w:spacing w:after="0" w:line="62" w:lineRule="exact"/>
        <w:rPr>
          <w:sz w:val="20"/>
          <w:szCs w:val="20"/>
          <w:color w:val="auto"/>
        </w:rPr>
      </w:pPr>
    </w:p>
    <w:p>
      <w:pPr>
        <w:sectPr>
          <w:pgSz w:w="11900" w:h="16838" w:orient="portrait"/>
          <w:cols w:equalWidth="0" w:num="2">
            <w:col w:w="5140" w:space="720"/>
            <w:col w:w="5160"/>
          </w:cols>
          <w:pgMar w:left="320" w:top="459" w:right="5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See “Risk Factors” and the other information included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you should consider before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deciding to invest in our ordinary shares.</w:t>
      </w:r>
    </w:p>
    <w:p>
      <w:pPr>
        <w:spacing w:after="0" w:line="200" w:lineRule="exact"/>
        <w:rPr>
          <w:sz w:val="20"/>
          <w:szCs w:val="20"/>
          <w:color w:val="auto"/>
        </w:rPr>
      </w:pPr>
    </w:p>
    <w:p>
      <w:pPr>
        <w:sectPr>
          <w:pgSz w:w="11900" w:h="16838" w:orient="portrait"/>
          <w:cols w:equalWidth="0" w:num="2">
            <w:col w:w="5140" w:space="720"/>
            <w:col w:w="5160"/>
          </w:cols>
          <w:pgMar w:left="320" w:top="459" w:right="559" w:bottom="1440" w:gutter="0" w:footer="0" w:header="0"/>
          <w:type w:val="continuous"/>
        </w:sectPr>
      </w:pPr>
    </w:p>
    <w:p>
      <w:pPr>
        <w:spacing w:after="0" w:line="11" w:lineRule="exact"/>
        <w:rPr>
          <w:sz w:val="20"/>
          <w:szCs w:val="20"/>
          <w:color w:val="auto"/>
        </w:rPr>
      </w:pPr>
    </w:p>
    <w:p>
      <w:pPr>
        <w:jc w:val="both"/>
        <w:ind w:left="200" w:firstLine="434"/>
        <w:spacing w:after="0" w:line="286" w:lineRule="auto"/>
        <w:rPr>
          <w:sz w:val="20"/>
          <w:szCs w:val="20"/>
          <w:color w:val="auto"/>
        </w:rPr>
      </w:pPr>
      <w:r>
        <w:rPr>
          <w:rFonts w:ascii="Arial" w:cs="Arial" w:eastAsia="Arial" w:hAnsi="Arial"/>
          <w:sz w:val="17"/>
          <w:szCs w:val="17"/>
          <w:color w:val="auto"/>
        </w:rPr>
        <w:t>The number of our outstanding ordinary shares after this offering is based on 23,569,276 ordinary shares outstanding as of September 30, 2020, on an as adjusted basis to give effect to the closing of our Series C financing and on an as further adjusted basis to also give effect to the conversion of all of our preferred shares into ordinary shares and the sale of ordinary shares by us in the offering, but excludes:</w:t>
      </w:r>
    </w:p>
    <w:p>
      <w:pPr>
        <w:spacing w:after="0" w:line="71" w:lineRule="exact"/>
        <w:rPr>
          <w:sz w:val="20"/>
          <w:szCs w:val="20"/>
          <w:color w:val="auto"/>
        </w:rPr>
      </w:pPr>
    </w:p>
    <w:p>
      <w:pPr>
        <w:ind w:left="1160" w:right="100" w:hanging="534"/>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1,572,295 of our ordinary shares issuable upon the exercise of options outstanding as of January 1, 2021 at a weighted average exercise price of €2.22 per ordinary share;</w:t>
      </w:r>
    </w:p>
    <w:p>
      <w:pPr>
        <w:spacing w:after="0" w:line="75" w:lineRule="exact"/>
        <w:rPr>
          <w:rFonts w:ascii="Arial" w:cs="Arial" w:eastAsia="Arial" w:hAnsi="Arial"/>
          <w:sz w:val="18"/>
          <w:szCs w:val="18"/>
          <w:color w:val="auto"/>
        </w:rPr>
      </w:pPr>
    </w:p>
    <w:p>
      <w:pPr>
        <w:ind w:left="1160" w:right="80" w:hanging="534"/>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1,193,474 of our ordinary shares covered by additional option awards available for future issuance under our equity incentive plan as of January 1, 2021;</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154,945 restricted stock units, or RSUs, held by Senior Management and other employees as of February 1, 2021; and</w:t>
      </w:r>
    </w:p>
    <w:p>
      <w:pPr>
        <w:spacing w:after="0" w:line="130" w:lineRule="exact"/>
        <w:rPr>
          <w:rFonts w:ascii="Arial" w:cs="Arial" w:eastAsia="Arial" w:hAnsi="Arial"/>
          <w:sz w:val="18"/>
          <w:szCs w:val="18"/>
          <w:color w:val="auto"/>
        </w:rPr>
      </w:pPr>
    </w:p>
    <w:p>
      <w:pPr>
        <w:ind w:left="1160" w:right="80" w:hanging="534"/>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to purchase an aggregate of 873,000 ordinary shares pursuant to grants contemplated in connection with this offering, as further described below, or the IPO Grants.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all information contained in this prospectus also reflects and assumes:</w:t>
      </w:r>
    </w:p>
    <w:p>
      <w:pPr>
        <w:spacing w:after="0" w:line="131" w:lineRule="exact"/>
        <w:rPr>
          <w:sz w:val="20"/>
          <w:szCs w:val="20"/>
          <w:color w:val="auto"/>
        </w:rPr>
      </w:pPr>
    </w:p>
    <w:p>
      <w:pPr>
        <w:ind w:left="1160" w:hanging="53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options described above; and</w:t>
      </w:r>
    </w:p>
    <w:p>
      <w:pPr>
        <w:spacing w:after="0" w:line="130"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assumed initial public offering price of $18.00 per share, which is the midpoint of the estimated initial offering price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320" w:top="459" w:right="5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24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20" w:firstLine="434"/>
        <w:spacing w:after="0" w:line="263" w:lineRule="auto"/>
        <w:rPr>
          <w:sz w:val="20"/>
          <w:szCs w:val="20"/>
          <w:color w:val="auto"/>
        </w:rPr>
      </w:pPr>
      <w:r>
        <w:rPr>
          <w:rFonts w:ascii="Arial" w:cs="Arial" w:eastAsia="Arial" w:hAnsi="Arial"/>
          <w:sz w:val="18"/>
          <w:szCs w:val="18"/>
          <w:color w:val="auto"/>
        </w:rPr>
        <w:t>The following summary consolidated financial data of the Company should be read in conjunction with the sections entitled “Selected Consolidated Financial Data” and “Management’s Discussion and Analysis of Financial Condition and Results of Operations” and our consolidated financial statements, including the notes thereto, included elsewhere in this prospectus.</w:t>
      </w:r>
    </w:p>
    <w:p>
      <w:pPr>
        <w:spacing w:after="0" w:line="184"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The consolidated statement of profit or loss and other comprehensive income (loss) for the years ended December 31, 2019 and 2018 are derived from our audited consolidated financial statements and the related notes thereto included elsewhere in this prospectus. The consolidated statement of profit or loss and other comprehensive income (loss) for the nine months ended September 30, 2020 and 2019 and the statement of financial position data as of September 30, 2020 are derived from our unaudited condensed consolidated financial statements and the related notes thereto included elsewhere in this prospectus. We have prepared the unaudited condensed consolidated financial statements on the same basis as the audited consolidated financial statements, and the unaudited financial data include, in our opinion, all adjustments, consisting only of normal recurring adjustments that we consider necessary for a fair statement of our consolidated financial position and results of operations for these periods. Our historical results are not necessarily indicative of results expected for future periods and our operating results for the nine months ended September 30, 2020 are not necessarily indicative of the results that may be expected for the entire year ending December 31, 2020. You should read this section together with our consolidated financial statements and the related notes and “Management’s Discussion and Analysis of Financial Condition and Results of Operations” included elsewhere in this prospectus.</w:t>
      </w:r>
    </w:p>
    <w:p>
      <w:pPr>
        <w:spacing w:after="0" w:line="182" w:lineRule="exact"/>
        <w:rPr>
          <w:sz w:val="20"/>
          <w:szCs w:val="20"/>
          <w:color w:val="auto"/>
        </w:rPr>
      </w:pPr>
    </w:p>
    <w:p>
      <w:pPr>
        <w:ind w:left="200" w:right="300" w:firstLine="434"/>
        <w:spacing w:after="0" w:line="277" w:lineRule="auto"/>
        <w:rPr>
          <w:sz w:val="20"/>
          <w:szCs w:val="20"/>
          <w:color w:val="auto"/>
        </w:rPr>
      </w:pPr>
      <w:r>
        <w:rPr>
          <w:rFonts w:ascii="Arial" w:cs="Arial" w:eastAsia="Arial" w:hAnsi="Arial"/>
          <w:sz w:val="18"/>
          <w:szCs w:val="18"/>
          <w:color w:val="auto"/>
        </w:rPr>
        <w:t>We maintain our books and records in euros, and we prepare our consolidated financial statements in accordance with IFRS, as issued by the IASB.</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Profit or Loss and Other Comprehensive Income (Loss)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4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For the Nine Months Ended</w:t>
            </w:r>
          </w:p>
        </w:tc>
        <w:tc>
          <w:tcPr>
            <w:tcW w:w="23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4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3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(11,797,986)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(3,154,877)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(5,684,562)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(3,447,208)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(1,409,972)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(2,325,719)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(668,121)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(15,245,194)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(4,564,849)</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(8,010,281)</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(4,313,534)</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Net foreign exchange loss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(176,602)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(15,421,796)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(4,568,776)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(8,027,162)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 net of tax</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(15,421,796)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(4,568,776)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(8,027,162)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attributable to:</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Company</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(15,421,796)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(4,568,776)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(8,027,162)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loss attributable to:</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Company</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(15,421,796)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(4,568,776)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(8,027,162)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per share attributable to equity holders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r>
              <w:rPr>
                <w:rFonts w:ascii="Arial" w:cs="Arial" w:eastAsia="Arial" w:hAnsi="Arial"/>
                <w:sz w:val="15"/>
                <w:szCs w:val="15"/>
                <w:color w:val="auto"/>
              </w:rPr>
              <w:t>(1)(2)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As adjusted basic and diluted loss per share</w:t>
            </w:r>
            <w:r>
              <w:rPr>
                <w:rFonts w:ascii="Arial" w:cs="Arial" w:eastAsia="Arial" w:hAnsi="Arial"/>
                <w:sz w:val="15"/>
                <w:szCs w:val="15"/>
                <w:color w:val="auto"/>
              </w:rPr>
              <w:t>(3)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(0.65)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right="200" w:hanging="426"/>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Basic loss per share is calculated by dividing the loss attributable to equity holders of the Company by the weighted average number of issued and outstanding ordinary shares during the year.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1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right="300" w:hanging="426"/>
        <w:spacing w:after="0" w:line="255"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Diluted loss per share is calculated by adjusting the weighted average number of ordinary shares outstanding to assume conversion of all dilutive potential ordinary shares. Because the Company is loss making, all of its potential ordinary shares had an antidilutive effect and thus have been excluded from the computation of diluted loss per share.</w:t>
      </w:r>
    </w:p>
    <w:p>
      <w:pPr>
        <w:spacing w:after="0" w:line="2" w:lineRule="exact"/>
        <w:rPr>
          <w:rFonts w:ascii="Arial" w:cs="Arial" w:eastAsia="Arial" w:hAnsi="Arial"/>
          <w:sz w:val="18"/>
          <w:szCs w:val="18"/>
          <w:color w:val="auto"/>
        </w:rPr>
      </w:pPr>
    </w:p>
    <w:p>
      <w:pPr>
        <w:ind w:left="620" w:right="300" w:hanging="426"/>
        <w:spacing w:after="0" w:line="323"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unaudited as adjusted net loss per share data gives effect to the closing of our Series C financing and the conversion of all of our outstanding preferred shares and is based on 23,569,276 ordinary shares outstanding immediately prior to the consummation of this offering.</w:t>
      </w:r>
    </w:p>
    <w:p>
      <w:pPr>
        <w:spacing w:after="0" w:line="138"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following table presents our summary statement of financial position as of September 30, 2020:</w:t>
      </w:r>
    </w:p>
    <w:p>
      <w:pPr>
        <w:spacing w:after="0" w:line="130" w:lineRule="exact"/>
        <w:rPr>
          <w:rFonts w:ascii="Arial" w:cs="Arial" w:eastAsia="Arial" w:hAnsi="Arial"/>
          <w:sz w:val="16"/>
          <w:szCs w:val="16"/>
          <w:color w:val="auto"/>
        </w:rPr>
      </w:pPr>
    </w:p>
    <w:p>
      <w:pPr>
        <w:ind w:left="1160" w:hanging="534"/>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 an as adjusted basis to give effect to the closing of our Series C financing;</w:t>
      </w:r>
    </w:p>
    <w:p>
      <w:pPr>
        <w:spacing w:after="0" w:line="130" w:lineRule="exact"/>
        <w:rPr>
          <w:rFonts w:ascii="Arial" w:cs="Arial" w:eastAsia="Arial" w:hAnsi="Arial"/>
          <w:sz w:val="18"/>
          <w:szCs w:val="18"/>
          <w:color w:val="auto"/>
        </w:rPr>
      </w:pPr>
    </w:p>
    <w:p>
      <w:pPr>
        <w:ind w:left="1160" w:right="440" w:hanging="534"/>
        <w:spacing w:after="0" w:line="259"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 an as further adjusted basis to also give effect to the conversion of all of our preferred shares into ordinary shares and the sale of ordinary shares by us in the offering, at an assumed initial public offering price of $18.00 (€15.38) per ordinary share, which is the midpoint of the estimated initial offering price range set forth on the cover page of this prospectus, after deducting the estimated underwriting discounts and commissions and estimated offering expenses.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Financial Position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As of September 30, 2020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10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0"/>
                <w:szCs w:val="10"/>
                <w:color w:val="auto"/>
              </w:rPr>
            </w:pPr>
          </w:p>
        </w:tc>
        <w:tc>
          <w:tcPr>
            <w:tcW w:w="14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As Adjusted</w:t>
            </w:r>
          </w:p>
        </w:tc>
        <w:tc>
          <w:tcPr>
            <w:tcW w:w="98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As Further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0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98"/>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41,948,476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109,131,809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206,391,955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43,054,251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110,237,584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207,497,730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4,364,129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4,364,129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 equity</w:t>
            </w:r>
          </w:p>
        </w:tc>
        <w:tc>
          <w:tcPr>
            <w:tcW w:w="1000" w:type="dxa"/>
            <w:vAlign w:val="bottom"/>
          </w:tcPr>
          <w:p>
            <w:pPr>
              <w:jc w:val="right"/>
              <w:spacing w:after="0"/>
              <w:rPr>
                <w:sz w:val="20"/>
                <w:szCs w:val="20"/>
                <w:color w:val="auto"/>
              </w:rPr>
            </w:pPr>
            <w:r>
              <w:rPr>
                <w:rFonts w:ascii="Arial" w:cs="Arial" w:eastAsia="Arial" w:hAnsi="Arial"/>
                <w:sz w:val="18"/>
                <w:szCs w:val="18"/>
                <w:color w:val="auto"/>
              </w:rPr>
              <w:t>38,690,122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105,873,455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203,133,600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34"/>
        <w:spacing w:after="0" w:line="289" w:lineRule="auto"/>
        <w:rPr>
          <w:sz w:val="20"/>
          <w:szCs w:val="20"/>
          <w:color w:val="auto"/>
        </w:rPr>
      </w:pPr>
      <w:r>
        <w:rPr>
          <w:rFonts w:ascii="Arial" w:cs="Arial" w:eastAsia="Arial" w:hAnsi="Arial"/>
          <w:sz w:val="16"/>
          <w:szCs w:val="16"/>
          <w:color w:val="auto"/>
        </w:rPr>
        <w:t>Each $1.00 (€0.854) increase or decrease in the assumed initial public offering price of $18.00 (€15.38) per ordinary share, which is the midpoint of the estimated initial offering price range set forth on the cover page of this prospectus, would increase or decrease our as further adjusted cash and cash equivalents, total assets and total equity, by $6.5 million (€5.5 million), assuming that the number of ordinary shares offered by us, as set forth on the cover page of this prospectus, remains the same and after deducting estimated underwriting discounts and commissions and estimated offering expenses. We may also increase or decrease the number of ordinary shares we are offering. Each increase or decrease in the number of ordinary shares offered by us by 1.0 million shares would increase or decrease each of our as further adjusted cash and cash equivalents, total assets and total equity by $16.7 million (€14.3 million), assuming that the assumed initial public offering price remains the same, and after deducting the underwriting discounts and commissions. The as further adjusted information discussed above is illustrative only and will adjust based on the actual initial public offering price, the actual number of ordinary shares offered by us, and other terms of the offering determined at pricing.</w:t>
      </w: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prospectus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ind w:left="460" w:right="240"/>
        <w:spacing w:after="0" w:line="286" w:lineRule="auto"/>
        <w:rPr>
          <w:sz w:val="20"/>
          <w:szCs w:val="20"/>
          <w:color w:val="auto"/>
        </w:rPr>
      </w:pPr>
      <w:r>
        <w:rPr>
          <w:rFonts w:ascii="Arial" w:cs="Arial" w:eastAsia="Arial" w:hAnsi="Arial"/>
          <w:sz w:val="17"/>
          <w:szCs w:val="17"/>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5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and associated private placements. We expect to continue to incur significant expenses and increasing operating losses for the foreseeable future. We anticipate that our expenses will increase substantially if and as we:</w:t>
      </w:r>
    </w:p>
    <w:p>
      <w:pPr>
        <w:spacing w:after="0" w:line="67"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clinical development of our current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to identify additional product candidates and initiate clinical trials for such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acquire or in-license other products and technologies or enter into collaboration arrangements with regards to product discovery;</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sales, commercialization and distribution infrastructure to commercialize any products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incur increased costs as a result of operating as a public company.</w:t>
      </w:r>
    </w:p>
    <w:p>
      <w:pPr>
        <w:spacing w:after="0" w:line="22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preclinical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80"/>
        <w:spacing w:after="0" w:line="263" w:lineRule="auto"/>
        <w:rPr>
          <w:sz w:val="20"/>
          <w:szCs w:val="20"/>
          <w:color w:val="auto"/>
        </w:rPr>
      </w:pPr>
      <w:r>
        <w:rPr>
          <w:rFonts w:ascii="Arial" w:cs="Arial" w:eastAsia="Arial" w:hAnsi="Arial"/>
          <w:sz w:val="18"/>
          <w:szCs w:val="18"/>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7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preclinical development collaborations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168"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52"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and cost of our discovery and preclinical development;</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 to commence further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any future investigator-sponsored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any patent applications, claims, patents and other intellectual property rights;</w:t>
      </w:r>
    </w:p>
    <w:p>
      <w:pPr>
        <w:spacing w:after="0" w:line="142" w:lineRule="exact"/>
        <w:rPr>
          <w:rFonts w:ascii="Arial" w:cs="Arial" w:eastAsia="Arial" w:hAnsi="Arial"/>
          <w:sz w:val="17"/>
          <w:szCs w:val="17"/>
          <w:color w:val="auto"/>
        </w:rPr>
      </w:pPr>
    </w:p>
    <w:p>
      <w:pPr>
        <w:ind w:left="1000" w:right="28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obtaining sufficient quantities of our product candidates for clinical trials by establishing our contracted and/or own production capacities;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capital expenditures associated with process optimizations and preclinical and clinical manufacturing;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acquiring or licensing additional products or technologies, if 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preparing for launch and commercialization of our product candidates;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operating as a public company in the United States.</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resulting from the COVID-19 pandemic or other factors, could adversely impact our ability to access capital as and when needed. If we are unable to obtain sufficient funding in a timely manner or on commercially acceptable terms, we may have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272"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product candidates or technologies.</w:t>
      </w:r>
    </w:p>
    <w:p>
      <w:pPr>
        <w:spacing w:after="0" w:line="62"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Exchange rate fluctuations could negatively affect our financial condition.</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North America and the United Kingdom. Therefore, we have expenses denominated in U.S. dollars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and the euro and the British pound sterling, which may have a significant impact on our reported results of operations and cash flows from period to period.</w:t>
      </w:r>
    </w:p>
    <w:p>
      <w:pPr>
        <w:spacing w:after="0" w:line="26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79"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to evaluate the effectiveness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thereof.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consolidated financial statements for the fiscal year ended December 31, 2019, we concluded that there were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98" w:lineRule="exact"/>
        <w:rPr>
          <w:sz w:val="20"/>
          <w:szCs w:val="20"/>
          <w:color w:val="auto"/>
        </w:rPr>
      </w:pPr>
    </w:p>
    <w:p>
      <w:pPr>
        <w:jc w:val="both"/>
        <w:ind w:left="1000" w:right="280" w:hanging="547"/>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w:t>
      </w:r>
    </w:p>
    <w:p>
      <w:pPr>
        <w:spacing w:after="0" w:line="46" w:lineRule="exact"/>
        <w:rPr>
          <w:rFonts w:ascii="Arial" w:cs="Arial" w:eastAsia="Arial" w:hAnsi="Arial"/>
          <w:sz w:val="16"/>
          <w:szCs w:val="16"/>
          <w:color w:val="auto"/>
        </w:rPr>
      </w:pPr>
    </w:p>
    <w:p>
      <w:pPr>
        <w:ind w:left="1000" w:right="20"/>
        <w:spacing w:after="0" w:line="253" w:lineRule="auto"/>
        <w:rPr>
          <w:rFonts w:ascii="Arial" w:cs="Arial" w:eastAsia="Arial" w:hAnsi="Arial"/>
          <w:sz w:val="16"/>
          <w:szCs w:val="16"/>
          <w:color w:val="auto"/>
        </w:rPr>
      </w:pPr>
      <w:r>
        <w:rPr>
          <w:rFonts w:ascii="Arial" w:cs="Arial" w:eastAsia="Arial" w:hAnsi="Arial"/>
          <w:sz w:val="18"/>
          <w:szCs w:val="18"/>
          <w:color w:val="auto"/>
        </w:rPr>
        <w:t>(i)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93"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In addition, where control activities are dependent on information used in a control, we do not perform or document controls to determine the completeness and accuracy of such information. We also did not have controls in place to monitor control activities and identify control deficiencies. Currently, we have only three designated finance employees. To address these material weaknesses, we will need to add personnel and continue to develop and implement new financial processes. We intend to take steps to remediate the material weaknesses described above through hiring additional qualified accounting and financial reporting personnel, and further evolving our accounting processes and policies. We will not be able to fully remediate these material weaknesses until these steps have been completed and have been operating effectively for a sufficient period of time. We cannot assure you that we will be able to successfully remediate the material weaknesses or that other material weakness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68"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Our management will be required to assess the effectiveness of our internal controls over financial reporting on an annual basis pursuant to SOX 404(a), beginning with our Form 20-F for the year ended December 31, 2022. However, for as long as we are an “emerging growth company” under the JOBS Act, our independent registered public accounting firm will not be required to attest to the effectiveness of our internal control over financial reporting pursuant to Section 404(b). We could be an “emerging growth company” for up to five years following this offering.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will be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require us to incur the expense of remediation and investors may lose confidence in the accuracy and completeness of our financial reports which could cause the market price of our ordinary shares to decline and also restrict our future access to the capital markets. We could be also subject to sanctions or investigations by Nasdaq, the SEC or other regulatory authorities.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tax liability may be materially different from what is reflected in our income tax provisions and related balance sheet accounts.</w:t>
      </w:r>
    </w:p>
    <w:p>
      <w:pPr>
        <w:spacing w:after="0" w:line="1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are subject to taxation in the Netherlands, Switzerland and other jurisdictions. Our future effective income tax rate will be impacted by a number of factors, including the geographic composition of our worldwide taxable income and our ability to allocate debt and expenses effectively.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anti-tax avoidance measures proposed by the European Committee) or successfully challenge the manner in which our income taxes are currently recognized or calculated or the transfer pricing policies employed by us (including policies set forth in any advance pricing agreements entered into with any taxing authorities), our effective income tax rate could increase, which would adversely impact our cash flow and profitability. Furthermore, in many of these jurisdictions,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ability to use our net operating losses, or NOLs, in the Netherlands and Switzerland is currently limited and may be further limited. In particular,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use of NOLs is subject to limitation in Switzerland, and may expire if unused after a seven-year period. Furthermore, as a result of Dutch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 law, tax loss carry-forwards were generally subject to a time limitation of nine years from the year these tax losses were incurred but legislation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has been enacted that decreased the carry-forwards time limitation of tax losses incurred after December 31, 2018 from nine years to six years.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5, 2020, the Dutch Government has submitted a legislative proposal to the Dutch Parliament to limit the amount of tax losses that can be taken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in a profitable year. Pursuant to the proposal, as of January 1, 2022 both the carry forward and carry back loss relief will be limited to 50%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taxable profit to the extent it exceeds EUR 1 million, calculated per financial year. Further, tax losses will remain available to be used against future taxable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profits for an indefinite period. Considering that no grandfathering rule has been proposed, it is expected that this will apply to tax losses incurred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2022 and also to tax losses that are available for carry forward in 2022 pursuant to the currently applicable rules. This means that, if the legislative proposal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adopted, the final year in which tax losses incurred in year-end December 31, 2013 can be used in full against profits is the financial year 2021 and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losses incurred in subsequent years will be carry-forward indefinitely but subject to the new limitation as of January 1,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Clinical Testing of Our Product Candidates</w:t>
      </w:r>
    </w:p>
    <w:p>
      <w:pPr>
        <w:spacing w:after="0" w:line="121" w:lineRule="exact"/>
        <w:rPr>
          <w:sz w:val="20"/>
          <w:szCs w:val="20"/>
          <w:color w:val="auto"/>
        </w:rPr>
      </w:pPr>
    </w:p>
    <w:p>
      <w:pPr>
        <w:ind w:left="460" w:right="40"/>
        <w:spacing w:after="0" w:line="311"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PHVS416 and PHVS719 , which are in early stage development and have not yet been assessed for efficacy in a clinical trial. We cannot give any assurance that either product candidate, or any other compounds in development, will successfully complete clinical trials, receive regulatory approval, be commercialized or be differentiated in the market.</w:t>
      </w:r>
    </w:p>
    <w:p>
      <w:pPr>
        <w:spacing w:after="0" w:line="4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PHVS416 and PHVS719, and as a result, our business currently depends heavily on the successful development, regulatory approval and commercialization of these product candidates. We have not yet tested our product candidates in patients with HAE, and to-date we only have data from pre-clinical studies and Phase 1 clinical trials in healthy volunteers. We have not conducted a head-to-head comparison of icatibant or any other drug candidate to PHA121 in a clinical trial. We have compared the published data for icatibant to data from our Phase 1 clinical trial of PHA121. Accordingly, the value of comparisons to icatibant in this prospectus may be limited because they are not derived from a head-to-head trial and they are from trials that were conducted under different protocols at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different sites and at different times. Without head-to-head data, we will be unable to make comparative claims for our product candidates, if approved. Future clinical trials may not confirm our analyses to-date. The development of PHVS416 and PHVS719 has been and will continue to be a time-consuming and costly process, and may leave us with insufficient resources to advance other programs and product candidates. We cannot be certain that any PHA121-containing product candidate, including PHVS416 and PHVS719, will receive regulatory approval or be successfully commercialized, even if we receive regulatory approval. The research, testing, manufacturing, safety, efficacy, labeling, approval, sale, advertising promotion, commercialization and distribution of our product candidates are, and will remain, subject to comprehensive regulation by the FDA in the United States, the European Union and the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preclinical and clinical data and supporting information to establish the drug candidate’s safety and effectiveness for each desired indication. The preclinical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PHVS416 and PHVS719 or any other product candidate in the United States, Europe or other jurisdictions will prevent us from commercializing and marketing these products in such jurisdictions.</w:t>
      </w:r>
    </w:p>
    <w:p>
      <w:pPr>
        <w:spacing w:after="0" w:line="171"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286"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Our business and operations may be adversely affected by a variety of events outside our control, including pandemics, epidemics or outbreaks of infectious diseases, such as the recent COVID-19 pandemic.</w:t>
      </w:r>
    </w:p>
    <w:p>
      <w:pPr>
        <w:spacing w:after="0" w:line="62" w:lineRule="exact"/>
        <w:rPr>
          <w:sz w:val="20"/>
          <w:szCs w:val="20"/>
          <w:color w:val="auto"/>
        </w:rPr>
      </w:pPr>
    </w:p>
    <w:p>
      <w:pPr>
        <w:ind w:right="140" w:firstLine="449"/>
        <w:spacing w:after="0" w:line="271" w:lineRule="auto"/>
        <w:rPr>
          <w:sz w:val="20"/>
          <w:szCs w:val="20"/>
          <w:color w:val="auto"/>
        </w:rPr>
      </w:pPr>
      <w:r>
        <w:rPr>
          <w:rFonts w:ascii="Arial" w:cs="Arial" w:eastAsia="Arial" w:hAnsi="Arial"/>
          <w:sz w:val="17"/>
          <w:szCs w:val="17"/>
          <w:color w:val="auto"/>
        </w:rPr>
        <w:t>A wide variety of events beyond our control, including natural or man-made disasters, power shortages, fires, extreme weather conditions, pandemics, epidemics or outbreaks of infectious diseases, political unrest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For instance, the spread of COVID-19 has impacted the global economy and impacted our operations, including through interruptions of our, or delays to, clinical trial activities, regulatory reviews, manufacturing activities and supply chain. The COVID-19 outbreak has delayed, and may continue to delay, enrollment in our clinical trials due to prioritization of hospital resources toward the outbreak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we experienced an approximate two-month delay in starting the enrollment of our now completed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affect our operations.</w:t>
      </w:r>
    </w:p>
    <w:p>
      <w:pPr>
        <w:spacing w:after="0" w:line="178" w:lineRule="exact"/>
        <w:rPr>
          <w:sz w:val="20"/>
          <w:szCs w:val="20"/>
          <w:color w:val="auto"/>
        </w:rPr>
      </w:pPr>
    </w:p>
    <w:p>
      <w:pPr>
        <w:jc w:val="both"/>
        <w:ind w:right="60" w:firstLine="449"/>
        <w:spacing w:after="0" w:line="287" w:lineRule="auto"/>
        <w:rPr>
          <w:sz w:val="20"/>
          <w:szCs w:val="20"/>
          <w:color w:val="auto"/>
        </w:rPr>
      </w:pPr>
      <w:r>
        <w:rPr>
          <w:rFonts w:ascii="Arial" w:cs="Arial" w:eastAsia="Arial" w:hAnsi="Arial"/>
          <w:sz w:val="16"/>
          <w:szCs w:val="16"/>
          <w:color w:val="auto"/>
        </w:rPr>
        <w:t>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and the inability of our CDMOs to provide supplies of our product candidates for our planned clinical trials, on a timely basis or at all.</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Further, it may impact the ability of our CROs, including non-clinical CROs, to provide services to support our clinical program.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among others. If we are unable to meet our milestones it might jeopardize our funding opportunities.</w:t>
      </w:r>
    </w:p>
    <w:p>
      <w:pPr>
        <w:spacing w:after="0" w:line="19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addition, the COVID-19 pandemic has already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 The ultimate impact of the COVID-19 pandemic or a similar health epidemic is uncertain and subject to change. To the extent the COVID-19 pandemic adversely affects our business and financial results, it may also have the effect of heightening many of the other risks described in this “Risk Factors” section, such as those relating to our clinical and preclinical development operations, manufacturing activities, the supply chain for our ongoing and planned clinical trials and our ability and need to raise additional capital to support our operations.</w:t>
      </w:r>
    </w:p>
    <w:p>
      <w:pPr>
        <w:spacing w:after="0" w:line="285" w:lineRule="exact"/>
        <w:rPr>
          <w:sz w:val="20"/>
          <w:szCs w:val="20"/>
          <w:color w:val="auto"/>
        </w:rPr>
      </w:pPr>
    </w:p>
    <w:p>
      <w:pPr>
        <w:ind w:left="460" w:right="440"/>
        <w:spacing w:after="0" w:line="311" w:lineRule="auto"/>
        <w:rPr>
          <w:sz w:val="20"/>
          <w:szCs w:val="20"/>
          <w:color w:val="auto"/>
        </w:rPr>
      </w:pPr>
      <w:r>
        <w:rPr>
          <w:rFonts w:ascii="Arial" w:cs="Arial" w:eastAsia="Arial" w:hAnsi="Arial"/>
          <w:sz w:val="16"/>
          <w:szCs w:val="16"/>
          <w:b w:val="1"/>
          <w:bCs w:val="1"/>
          <w:i w:val="1"/>
          <w:iCs w:val="1"/>
          <w:color w:val="auto"/>
        </w:rPr>
        <w:t>Disruptions at FDA, EMA and other government agencies caused by funding shortages or global health concerns such as COVID-19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4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For instance, in response to COVID-19, on March 10, 2020, the FDA announced its intention to postpone most foreign inspections of manufacturing facilities and products. Foreign pre-approval and for-cause inspection assignments that are not deemed mission-critical remain temporarily postponed, while those deemed “mission-critical” are being considered for inspection on a case-by-case basis. Regulatory authorities outside the United States may adopt similar restrictions or other policy measures in response to the COVID-19 pandemic. In addition, regulatory agencies have generally reduced face-to-face interactions relative to the pre-pandemic situation which may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impact our ability to reach consensus with regulators. If a prolonged government shutdown occurs, or if global health concerns continue to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design and develop an extended-release formulation.</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Our current strategy includes developing an extended-release formulation for the PHA121 prophylactic indication. We have not yet identified a specific extended-release formulation. If we pursue this development strategy, we expect to file for and obtain patents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 release formulations and there can be no assurance that we would be able to obtain rights to such patents on attractive financial terms, if at all.</w:t>
      </w:r>
    </w:p>
    <w:p>
      <w:pPr>
        <w:spacing w:after="0" w:line="285"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b w:val="1"/>
          <w:bCs w:val="1"/>
          <w:i w:val="1"/>
          <w:iCs w:val="1"/>
          <w:color w:val="auto"/>
        </w:rPr>
        <w:t>We may experience setbacks in our clinical trials, including delays in commencing, conducting or completing our clinical trials. Moreover, we have established proof-of-mechanism for PHA121 and have designed and advanced our future clinical development program based on a clinical trial that assessed a surrogate endpoint,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69"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 xml:space="preserve">Clinical trials are expensive and complex. Each trial can take many years to complete and have uncertain outcomes. Failure of a product can occur at any stage of the testing, including later phases of clinical trials despite having progressed through preclinical and early phase clinical trials, for a variety of reasons, such as changes in formulation of the product, differences in patient populations, changes in trial and manufacturing protocols and complexities of larger, multi-center trials, among others. The results from preclinical or early phase clinical trials of a product candidate may not predict the results that will be obtained in later phase clinical trials of the product candidate. For example, we have established proof-of-mechanism for PHA121 and have designed and advanced our future clinical development program based on a clinical trial that assessed a surrogate assessment, as well as modelling of our results from that trial with additional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firstLine="449"/>
        <w:spacing w:after="0" w:line="342" w:lineRule="auto"/>
        <w:rPr>
          <w:sz w:val="20"/>
          <w:szCs w:val="20"/>
          <w:color w:val="auto"/>
        </w:rPr>
      </w:pPr>
      <w:r>
        <w:rPr>
          <w:rFonts w:ascii="Arial" w:cs="Arial" w:eastAsia="Arial" w:hAnsi="Arial"/>
          <w:sz w:val="16"/>
          <w:szCs w:val="16"/>
          <w:color w:val="auto"/>
        </w:rPr>
        <w:t>We have, and may continue to experience numerous setbacks during, or as a result of, the clinical trial process that experienced could delay or prevent the commencement, conduct and completion of clinical trials or the commercialization of our current and any future programs, such as:</w:t>
      </w:r>
    </w:p>
    <w:p>
      <w:pPr>
        <w:spacing w:after="0" w:line="29" w:lineRule="exact"/>
        <w:rPr>
          <w:sz w:val="20"/>
          <w:szCs w:val="20"/>
          <w:color w:val="auto"/>
        </w:rPr>
      </w:pPr>
    </w:p>
    <w:p>
      <w:pPr>
        <w:ind w:left="1000" w:right="220" w:hanging="547"/>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 including with respect to our strategy for sharing Phase 1 data between PHVS416 and PHVS719 programs and designs for improving the efficiency of our clinical development path;</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obtaining regulatory approval or ethics committee approval to commence a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CROs to adequately supervise investigators;</w:t>
      </w:r>
    </w:p>
    <w:p>
      <w:pPr>
        <w:spacing w:after="0" w:line="130"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recruit sufficient investigators or recruit and enroll sufficient subjects for our clinical trials in a timely manner or at all, including due to the COVID-19 pandemic;</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 or failure in having subjects complete a trial or return for post-treatment follow-up, including due to the COVID-19 pandemic;</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obtain and maintain the required institutional review board, or IRB, or ethics committee approval at each clinical trial site;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sites or investigators deviating from trial protocol or dropping out of a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adequate funding to continue a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75" w:lineRule="exact"/>
        <w:rPr>
          <w:rFonts w:ascii="Arial" w:cs="Arial" w:eastAsia="Arial" w:hAnsi="Arial"/>
          <w:sz w:val="18"/>
          <w:szCs w:val="18"/>
          <w:color w:val="auto"/>
        </w:rPr>
      </w:pPr>
    </w:p>
    <w:p>
      <w:pPr>
        <w:ind w:left="1000" w:right="380" w:hanging="547"/>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2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77"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If we suffer any material delays, negative results or other setbacks in our clinical trials or if our clinical trials are put on clinical hold or terminated, we may incur increased costs or be unable to continue development of PHA121, including our product candidates PHVS416 and PHVS719, which could have a material adverse effect on our business, financial condition, results of operations and prospects.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to demonstrate safety and efficacy. We are currently conducting early phase clinical trials, with a Phase 2 trial in the on-demand setting to commence first and provide critical data for dose selection for the prophylaxis indication.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84"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existing or experimental treatments affecting our ability to recruit patients;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identify and maintain a sufficient number of trial sites, many of which may already be engaged in other clinical trial programs, including some that may be for the same disease indication;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delays and difficulties in enrollment due to the COVID-19 pandemic;</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ambiguous or negative interim results of our clinical trials, or results that are inconsistent with earlier results;</w:t>
      </w:r>
    </w:p>
    <w:p>
      <w:pPr>
        <w:spacing w:after="0" w:line="130" w:lineRule="exact"/>
        <w:rPr>
          <w:rFonts w:ascii="Arial" w:cs="Arial" w:eastAsia="Arial" w:hAnsi="Arial"/>
          <w:sz w:val="18"/>
          <w:szCs w:val="18"/>
          <w:color w:val="auto"/>
        </w:rPr>
      </w:pPr>
    </w:p>
    <w:p>
      <w:pPr>
        <w:ind w:left="1000" w:right="240" w:hanging="547"/>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feedback from the FDA, EMA and any comparable foreign regulatory authority, data safety monitoring boards, or a comparable foreign regulatory authority, or results from earlier stage or concurrent preclinical studies and clinical trials, that might require modifications to the protocol;</w:t>
      </w:r>
    </w:p>
    <w:p>
      <w:pPr>
        <w:spacing w:after="0" w:line="89"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decisions by the FDA, EMA and any comparable foreign regulatory authority or us, or recommendations by data safety monitoring boards, to suspend or terminate clinical trials at any time for safety issues or for any other reason;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unacceptable risk-benefit profile, perceived or actual, or unforeseen safety issues or adverse effects.</w:t>
      </w:r>
    </w:p>
    <w:p>
      <w:pPr>
        <w:spacing w:after="0" w:line="225"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and the duration of exposure to the product candidate. As a result of such limitations, we cannot be sure that all side effects of our product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296" w:lineRule="exact"/>
        <w:rPr>
          <w:sz w:val="20"/>
          <w:szCs w:val="20"/>
          <w:color w:val="auto"/>
        </w:rPr>
      </w:pPr>
    </w:p>
    <w:p>
      <w:pPr>
        <w:ind w:left="460" w:right="120"/>
        <w:spacing w:after="0" w:line="26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76" w:lineRule="exact"/>
        <w:rPr>
          <w:sz w:val="20"/>
          <w:szCs w:val="20"/>
          <w:color w:val="auto"/>
        </w:rPr>
      </w:pPr>
    </w:p>
    <w:p>
      <w:pPr>
        <w:ind w:right="40" w:firstLine="449"/>
        <w:spacing w:after="0" w:line="267"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preclinical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prospectus we discuss the potency of PHA121 as shown in preclinical and Phase 1 clinical trials. Potency as used in this prospectus refers to the amount of drug required to produce a pharmacological effect of given intensity and is not a measure of therapeutic efficacy. We do not yet have data from the PHA121 Phase 2 clinical trial to evaluate the potential therapeutic efficacy of PHA121 in HAE patients. The results of preclinical studies and early clinical trials, as well as data from interim analysis of ongoing clinical trials, may not be predictive of the results of ongoing or future clinical trials. 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preclinical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299"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b w:val="1"/>
          <w:bCs w:val="1"/>
          <w:i w:val="1"/>
          <w:iCs w:val="1"/>
          <w:color w:val="auto"/>
        </w:rPr>
        <w:t>We may not be able to conduct, or contract others to conduct, animal testing in the future, which could harm our research and development activities.</w:t>
      </w:r>
    </w:p>
    <w:p>
      <w:pPr>
        <w:spacing w:after="0" w:line="62"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activities through protests and other means. To the extent the activities of these groups are successful, our research and development activities may be interrupted or delayed.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Clinical Development Programs and Our Product Candidates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62"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with or market our product candidates.</w:t>
      </w:r>
    </w:p>
    <w:p>
      <w:pPr>
        <w:spacing w:after="0" w:line="149"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Since the 1990s, many companies have tried but failed to discover oral B2 antagonists, as the bradykinin-B2-receptor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PHVS416 and PHVS719. As discussed under “—Risks Related to the Development and Clinical Testing of Our Product Candidates— 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preclinical studies and clinical trials which could delay or prevent regulatory approval of our product candidates, or negatively impact our management’s credibility, our value and our operating results.</w:t>
      </w:r>
    </w:p>
    <w:p>
      <w:pPr>
        <w:spacing w:after="0" w:line="168"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We may invest substantial time and resources in preclinical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preclinical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0" w:lineRule="exact"/>
        <w:rPr>
          <w:sz w:val="20"/>
          <w:szCs w:val="20"/>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related issues or concerns;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relating to the product candidate’s safety or efficacy;</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relating to the design, control or conduct of preclinical studies and clinical trials including the use of placebo or active controls in blinded studies;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ambiguous results of any preclinical or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relating to the sufficiency of clinical trial results;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more advanced clinical results to confirm positive results from preclinical studies or earlier clinical trials;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or observation of unexpected safety issues, adverse events or adverse side effects.</w:t>
      </w:r>
    </w:p>
    <w:p>
      <w:pPr>
        <w:spacing w:after="0" w:line="225"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Should any of these or other factors affecting our development programs or product candidates occur, regulatory approval of our product candidates could be denied, delayed or have conditions placed upon it. Failure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obtain regulatory approval in a timely manner, in a limited manner or at all would have a material adverse effect on our business, financial condition, results of operations or prospects.</w:t>
      </w:r>
    </w:p>
    <w:p>
      <w:pPr>
        <w:spacing w:after="0" w:line="170"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Additionally, effective as of January 31, 2020, the United Kingdom withdrew from the European Union, a process referred to as “Brexit”. Since a significant proportion of the regulatory framework in the United Kingdom is derived from European Union directives and regulations, the final resolution of the withdrawal of the United Kingdom from the European Union could materially impact the regulatory regime with respect to the approval of any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of our product candidates, which could significantly and materially harm our business.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we will be able to obtain or, if obtained, maintain orphan drug status.</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currently do not have orphan drug designations in respect of our PHVS416 and PHVS719 product candidates, nor do we have any applications for orphan drug designation outstanding. There is no assurance that we will be able to obtain orphan drug designations for our product candidates in indications that are important to our business or if obtained, to gain orphan drug exclusivity for our product candidates in indications that are important for our business.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78"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Even if we obtain orphan drug exclusivity for a product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obtaining and maintaining market exclusivity for any future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EMA or the FDA determines that the request for designation was materially defective. If we fail to obtain or maintain orphan exclusivity for any future products, or if the commercial value of market exclusivity is diminished, our competitive position or financial and commercial prospects could be materially adversely affected.</w:t>
      </w:r>
    </w:p>
    <w:p>
      <w:pPr>
        <w:spacing w:after="0" w:line="289" w:lineRule="exact"/>
        <w:rPr>
          <w:sz w:val="20"/>
          <w:szCs w:val="20"/>
          <w:color w:val="auto"/>
        </w:rPr>
      </w:pPr>
    </w:p>
    <w:p>
      <w:pPr>
        <w:ind w:left="460"/>
        <w:spacing w:after="0" w:line="263" w:lineRule="auto"/>
        <w:rPr>
          <w:sz w:val="20"/>
          <w:szCs w:val="20"/>
          <w:color w:val="auto"/>
        </w:rPr>
      </w:pPr>
      <w:r>
        <w:rPr>
          <w:rFonts w:ascii="Arial" w:cs="Arial" w:eastAsia="Arial" w:hAnsi="Arial"/>
          <w:sz w:val="18"/>
          <w:szCs w:val="18"/>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7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and corresponding maintenance of records and documents. In addition, we would be subject to other requirements regarding the distribution of drug samples to physicians. We and our suppliers,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8"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The FDA, or other regulatory authorities, may also impose significant limitations on the uses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66"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84"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new drug application, or NDA, and financial penalties. If we are subject to any of these sanctions, our competitive position or financial and commercial prospects could be materially adversely affected.</w:t>
      </w:r>
    </w:p>
    <w:p>
      <w:pPr>
        <w:spacing w:after="0" w:line="293" w:lineRule="exact"/>
        <w:rPr>
          <w:sz w:val="20"/>
          <w:szCs w:val="20"/>
          <w:color w:val="auto"/>
        </w:rPr>
      </w:pPr>
    </w:p>
    <w:p>
      <w:pPr>
        <w:ind w:left="460" w:right="260"/>
        <w:spacing w:after="0" w:line="342"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post-commercialization testing or restrict or regulate post-approval activities and affect our ability, or the ability of our future collaborators, to profitably sell any product candidates for which we obtain marketing approval.</w:t>
      </w:r>
    </w:p>
    <w:p>
      <w:pPr>
        <w:spacing w:after="0" w:line="18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Among policy makers and payors in various jurisdictions, there is significant interest in promoting changes in healthcare systems with the stated goals of containing healthcare costs, improving quality and/or expanding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access. For example,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Since its enactment there have been judicial, Presidential and Congressional challenges to certain aspects of the ACA, and we expect there will be additional challenges and amendments to the ACA. While Congress has not enacted legislation to comprehensively repeal the ACA, at least two bills affecting the implementation of the ACA have been signed into law, including the repeal, effective January 1, 2019, of the tax based shared responsibility payment imposed by the ACA on certain individuals who fail to maintain qualifying health coverage for all or part of a year, which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(i.e., whether the entire ACA was therefore also unconstitutional). The Supreme Court of the United States granted certiorari on March 2, 2020, heard oral arguments on the case on November 10, 2020 and the case is expected to be decided in 2021.</w:t>
      </w:r>
    </w:p>
    <w:p>
      <w:pPr>
        <w:spacing w:after="0" w:line="185"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Further,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In the coming years, additional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92"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the Budget Control Act of 2011, which, among other things, led to aggregate reductions to Medicare payments to providers of up to 2% per financial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w:t>
      </w:r>
    </w:p>
    <w:p>
      <w:pPr>
        <w:spacing w:after="0" w:line="17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Further, in the United States, there has been heightened governmental scrutiny recently over the manner in which drug manufacturers set prices for their marketed products. For instance,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implemented, the “most-favored-nation” price would generally reflect the lowest price, after certain adjustments, for a pharmaceutical product sold in an economically-comparable member country of the Organisation for Economic Co-operation and Development. The U.S. Congress has also continued to conduct inquiries into the prescription drug industry’s pricing practices. At the state level in the United States, legislatures are also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increasingly passing legislation and states are implementing regulations designed to control spending on, and patient out of pocket costs for, drug products.</w:t>
      </w:r>
    </w:p>
    <w:p>
      <w:pPr>
        <w:spacing w:after="0" w:line="248"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9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These efforts and other healthcare reform measures that may be adopted in the future may result in more rigorous coverage criteria and in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71"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6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PHVS416 and PHVS719.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303" w:lineRule="exact"/>
        <w:rPr>
          <w:sz w:val="20"/>
          <w:szCs w:val="20"/>
          <w:color w:val="auto"/>
        </w:rPr>
      </w:pPr>
    </w:p>
    <w:p>
      <w:pPr>
        <w:jc w:val="both"/>
        <w:ind w:left="460" w:right="80"/>
        <w:spacing w:after="0" w:line="263" w:lineRule="auto"/>
        <w:rPr>
          <w:sz w:val="20"/>
          <w:szCs w:val="20"/>
          <w:color w:val="auto"/>
        </w:rPr>
      </w:pPr>
      <w:r>
        <w:rPr>
          <w:rFonts w:ascii="Arial" w:cs="Arial" w:eastAsia="Arial" w:hAnsi="Arial"/>
          <w:sz w:val="18"/>
          <w:szCs w:val="18"/>
          <w:b w:val="1"/>
          <w:bCs w:val="1"/>
          <w:i w:val="1"/>
          <w:iCs w:val="1"/>
          <w:color w:val="auto"/>
        </w:rPr>
        <w:t>If we cannot manufacture our product candidates in sufficient amounts, with CDMOs or ourselves, at acceptable costs and on a timely basis, we may be unable to supply sufficient product candidates for preclinical or clinical trials or to support commercialization of our product candidates, if approved.</w:t>
      </w:r>
    </w:p>
    <w:p>
      <w:pPr>
        <w:spacing w:after="0" w:line="76"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8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addition, we currently rely on a single CDMO for the production of certain of our product candidates and, as a result, face certain additional risks relating to our manufacturing operations. A single significant disruptive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event at the manufacturing operations of our CDMO can have a material adverse effect on our business, prospects, financial condition and results of operations. In addition, our CDMO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 was unable to meet our demand for our product candidates or their services, we could experience delays in our research and development activities, planned clinical trials or commercialization of approved products. In the first quarter of 2021, we learned that our CDMO discovered a packaging issue with certain batches of packaging of soft capsules for our RAPIDe-1 trial. The CDMO is currently investigating the issue, and the start of the trial may be affected. We continue to anticipate that we will commence the RAPIDe-1 trial for on-demand treatment of HAE attacks in 2021 and that it will read out in 2022.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72"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17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expect that development of our own manufacturing facilities could provide us with enhanced control of material supply for our product candidates for the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78"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140"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increases in our operating expenses, or failure to obtain or maintain approval for our products. Our reliance on third-party manufacturers entails risks, including the following:</w:t>
      </w:r>
    </w:p>
    <w:p>
      <w:pPr>
        <w:spacing w:after="0" w:line="76" w:lineRule="exact"/>
        <w:rPr>
          <w:sz w:val="20"/>
          <w:szCs w:val="20"/>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meet our product specifications, including product formulation, and quality requirements consistently;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and product quality issues, including those related to scale-up of manufacturing;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comply with cGMP and similar quality standards;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42" w:lineRule="exact"/>
        <w:rPr>
          <w:rFonts w:ascii="Arial" w:cs="Arial" w:eastAsia="Arial" w:hAnsi="Arial"/>
          <w:sz w:val="17"/>
          <w:szCs w:val="17"/>
          <w:color w:val="auto"/>
        </w:rPr>
      </w:pPr>
    </w:p>
    <w:p>
      <w:pPr>
        <w:ind w:left="1000" w:right="22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to deliver our products under specified storage conditions and in a timely manner.</w:t>
      </w:r>
    </w:p>
    <w:p>
      <w:pPr>
        <w:spacing w:after="0" w:line="225"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292"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b w:val="1"/>
          <w:bCs w:val="1"/>
          <w:i w:val="1"/>
          <w:iCs w:val="1"/>
          <w:color w:val="auto"/>
        </w:rPr>
        <w:t>Our third-party manufacturers or suppliers may use potent chemical agents and hazardous materials, and any claims relating to improper handling, storage or disposal of these materials could be time consuming or costly.</w:t>
      </w:r>
    </w:p>
    <w:p>
      <w:pPr>
        <w:spacing w:after="0" w:line="6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95"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8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a result of our clinical development, we will have access to very sensitive data regarding the patients enrolled in our clinical trials, and our current and future product candidates will rely on the use of patient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 Health Insurance Portability and Accountability Act, or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65"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the CJEU, declared the Privacy Shield to be invalid. The CJEU upheld the validity of the standard contractual clauses, or SCCs, as a legal mechanism to transfer personal data but companies relying on SCCs will—subject to additional guidance from regulators in the EEA– need to evaluate and implement supplementary measures that provide privacy protections additional to those provided under SCCs. In turn, the findings of the CJEU will have significant implications for cross-border data flows. Further, the GDPR provides that countries in the EEA may establish their own laws and regulations further restricting the processing of certain personal data, including genetic data, biometric data, and health data.</w:t>
      </w:r>
    </w:p>
    <w:p>
      <w:pPr>
        <w:spacing w:after="0" w:line="184"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68"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compensation claims for financial or non-financial loss by affected individuals, negative publicity, reputational harm and a potential loss of business and goodwill.</w:t>
      </w:r>
    </w:p>
    <w:p>
      <w:pPr>
        <w:spacing w:after="0" w:line="170"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272" w:lineRule="exact"/>
        <w:rPr>
          <w:sz w:val="20"/>
          <w:szCs w:val="20"/>
          <w:color w:val="auto"/>
        </w:rPr>
      </w:pPr>
    </w:p>
    <w:p>
      <w:pPr>
        <w:ind w:left="460" w:right="820"/>
        <w:spacing w:after="0" w:line="375" w:lineRule="auto"/>
        <w:rPr>
          <w:sz w:val="20"/>
          <w:szCs w:val="20"/>
          <w:color w:val="auto"/>
        </w:rPr>
      </w:pPr>
      <w:r>
        <w:rPr>
          <w:rFonts w:ascii="Arial" w:cs="Arial" w:eastAsia="Arial" w:hAnsi="Arial"/>
          <w:sz w:val="15"/>
          <w:szCs w:val="15"/>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are a party to certain agreements, including clinical trial agreements and licensing agreements that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460" w:right="340"/>
        <w:spacing w:after="0" w:line="263" w:lineRule="auto"/>
        <w:rPr>
          <w:sz w:val="20"/>
          <w:szCs w:val="20"/>
          <w:color w:val="auto"/>
        </w:rPr>
      </w:pPr>
      <w:r>
        <w:rPr>
          <w:rFonts w:ascii="Arial" w:cs="Arial" w:eastAsia="Arial" w:hAnsi="Arial"/>
          <w:sz w:val="18"/>
          <w:szCs w:val="18"/>
          <w:b w:val="1"/>
          <w:bCs w:val="1"/>
          <w:i w:val="1"/>
          <w:iCs w:val="1"/>
          <w:color w:val="auto"/>
        </w:rPr>
        <w:t>If we are unable to commercialize our product candidates PHVS416 and PHVS719 or any other product candidates that we may pursue, or experience significant delays in doing so, our business, financial condition, results of operations and prospects would be materially adversely affected.</w:t>
      </w:r>
    </w:p>
    <w:p>
      <w:pPr>
        <w:spacing w:after="0" w:line="76"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We do not expect to generate product revenues in the foreseeable future. If our product candidates PHVS416 and PHVS719 or any other program that we may pursue fails, we will have to develop, acquire or license new programs. Our product candidates, as well as any other programs we may pursue, could be unsuccessful if they:</w:t>
      </w:r>
    </w:p>
    <w:p>
      <w:pPr>
        <w:spacing w:after="0" w:line="89" w:lineRule="exact"/>
        <w:rPr>
          <w:sz w:val="20"/>
          <w:szCs w:val="20"/>
          <w:color w:val="auto"/>
        </w:rPr>
      </w:pPr>
    </w:p>
    <w:p>
      <w:pPr>
        <w:ind w:left="1000" w:right="62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demonstrate acceptable safety or efficacy in preclinical studies or clinical trials or otherwise do not meet applicable regulatory standards for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generate unacceptable adverse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offer therapeutic or other improvements over existing or future products used to treat the same conditions;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accepted in the medical community or by insurers, either public or private;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capable of being produced and delivered to patients in commercial quantities at acceptable costs.</w:t>
      </w:r>
    </w:p>
    <w:p>
      <w:pPr>
        <w:spacing w:after="0" w:line="22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results of the research and trials to date cannot provide assurance that acceptable efficacy or safety will be shown upon completion of ongoing or planned clinical trials. Also, the results obtained in our PHA-0221121-C001 and PHA-022121-C002 clinical trials may not be comparable to results that may be produced during the further development of our PHA121-containing product candidates.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market opportunities for our product candidates may be smaller than currently anticipated, lowering our potential revenue.</w:t>
      </w:r>
    </w:p>
    <w:p>
      <w:pPr>
        <w:spacing w:after="0" w:line="1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 Moreover, if we are successful in developing both PHVS416 and PHVS719, we cannot accurately predict the proportion of patients choosing prophylactic or on-demand only treatment regimens.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our product candidates could be associated with side effects or adverse events.</w:t>
      </w:r>
    </w:p>
    <w:p>
      <w:pPr>
        <w:spacing w:after="0" w:line="11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preclinical or clinical trials regarding the safety of our product candidates, which we have not planned or anticipated.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65"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272" w:lineRule="exact"/>
        <w:rPr>
          <w:sz w:val="20"/>
          <w:szCs w:val="20"/>
          <w:color w:val="auto"/>
        </w:rPr>
      </w:pPr>
    </w:p>
    <w:p>
      <w:pPr>
        <w:ind w:left="460" w:right="600"/>
        <w:spacing w:after="0" w:line="308"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93"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30" w:lineRule="exact"/>
        <w:rPr>
          <w:rFonts w:ascii="Arial" w:cs="Arial" w:eastAsia="Arial" w:hAnsi="Arial"/>
          <w:sz w:val="18"/>
          <w:szCs w:val="18"/>
          <w:color w:val="auto"/>
        </w:rPr>
      </w:pPr>
    </w:p>
    <w:p>
      <w:pPr>
        <w:ind w:left="5540" w:right="1760" w:hanging="5087"/>
        <w:spacing w:after="0" w:line="449" w:lineRule="auto"/>
        <w:tabs>
          <w:tab w:leader="none" w:pos="10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approved labeling; 36</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private health insurers and other third-party payors;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or any of our potential future collaborators’ sales and commercialization strategies;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2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295"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“Business—Competition,”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6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Many of the companies against which we are competing or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PHVS416 and PHVS719, could adversely affect our business, financial condition, results of operations or prospects.</w:t>
      </w:r>
    </w:p>
    <w:p>
      <w:pPr>
        <w:spacing w:after="0" w:line="273"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Governments and/or pricing authorities, especially in the European Union, often impose strict price and access controls, which may adversely affect our future profitability.</w:t>
      </w:r>
    </w:p>
    <w:p>
      <w:pPr>
        <w:spacing w:after="0" w:line="62"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In some markets, especially in the European Union, prescription drug pricing is subject to governmental/pricing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1"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results of operations and our ability to raise funds.</w:t>
      </w:r>
    </w:p>
    <w:p>
      <w:pPr>
        <w:spacing w:after="0" w:line="292"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6" w:lineRule="exact"/>
        <w:rPr>
          <w:sz w:val="20"/>
          <w:szCs w:val="20"/>
          <w:color w:val="auto"/>
        </w:rPr>
      </w:pPr>
    </w:p>
    <w:p>
      <w:pPr>
        <w:ind w:right="440" w:firstLine="449"/>
        <w:spacing w:after="0" w:line="293"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64"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84"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92" w:lineRule="exact"/>
        <w:rPr>
          <w:sz w:val="20"/>
          <w:szCs w:val="20"/>
          <w:color w:val="auto"/>
        </w:rPr>
      </w:pPr>
    </w:p>
    <w:p>
      <w:pPr>
        <w:ind w:left="460" w:right="1300"/>
        <w:spacing w:after="0" w:line="308" w:lineRule="auto"/>
        <w:rPr>
          <w:sz w:val="20"/>
          <w:szCs w:val="20"/>
          <w:color w:val="auto"/>
        </w:rPr>
      </w:pPr>
      <w:r>
        <w:rPr>
          <w:rFonts w:ascii="Arial" w:cs="Arial" w:eastAsia="Arial" w:hAnsi="Arial"/>
          <w:sz w:val="17"/>
          <w:szCs w:val="17"/>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97"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negative publicity;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 patients or clinical investigators;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by regulators or ethics committees;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or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revenues from product sales;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the price of our ordinary shares.</w:t>
      </w:r>
    </w:p>
    <w:p>
      <w:pPr>
        <w:spacing w:after="0" w:line="225"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5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95" w:lineRule="exact"/>
        <w:rPr>
          <w:sz w:val="20"/>
          <w:szCs w:val="20"/>
          <w:color w:val="auto"/>
        </w:rPr>
      </w:pPr>
    </w:p>
    <w:p>
      <w:pPr>
        <w:ind w:left="460" w:right="58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3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 and Key Personnel</w:t>
      </w:r>
    </w:p>
    <w:p>
      <w:pPr>
        <w:spacing w:after="0" w:line="121" w:lineRule="exact"/>
        <w:rPr>
          <w:sz w:val="20"/>
          <w:szCs w:val="20"/>
          <w:color w:val="auto"/>
        </w:rPr>
      </w:pPr>
    </w:p>
    <w:p>
      <w:pPr>
        <w:ind w:left="460" w:right="200"/>
        <w:spacing w:after="0" w:line="263" w:lineRule="auto"/>
        <w:rPr>
          <w:sz w:val="20"/>
          <w:szCs w:val="20"/>
          <w:color w:val="auto"/>
        </w:rPr>
      </w:pPr>
      <w:r>
        <w:rPr>
          <w:rFonts w:ascii="Arial" w:cs="Arial" w:eastAsia="Arial" w:hAnsi="Arial"/>
          <w:sz w:val="18"/>
          <w:szCs w:val="18"/>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76"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We rely on CROs, independent clinical investigators, clinical data management organizations, consultants and other third-party firms to design, conduct, supervise and monitor clinical trials. We and these third parties are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preclinical and clinical trials, which would delay the regulatory approval process.</w:t>
      </w:r>
    </w:p>
    <w:p>
      <w:pPr>
        <w:spacing w:after="0" w:line="18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Third-party staff are not our employees and, except for remedies available to us under our agreements with such third parties, we cannot control whether or not they devote sufficient time and resources to our ongoing clinical and preclinical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7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92"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29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6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279" w:lineRule="exact"/>
        <w:rPr>
          <w:sz w:val="20"/>
          <w:szCs w:val="20"/>
          <w:color w:val="auto"/>
        </w:rPr>
      </w:pPr>
    </w:p>
    <w:p>
      <w:pPr>
        <w:ind w:left="460" w:right="280"/>
        <w:spacing w:after="0" w:line="263" w:lineRule="auto"/>
        <w:rPr>
          <w:sz w:val="20"/>
          <w:szCs w:val="20"/>
          <w:color w:val="auto"/>
        </w:rPr>
      </w:pPr>
      <w:r>
        <w:rPr>
          <w:rFonts w:ascii="Arial" w:cs="Arial" w:eastAsia="Arial" w:hAnsi="Arial"/>
          <w:sz w:val="18"/>
          <w:szCs w:val="18"/>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7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third parties may pose the following risks to us:</w:t>
      </w:r>
    </w:p>
    <w:p>
      <w:pPr>
        <w:spacing w:after="0" w:line="131" w:lineRule="exact"/>
        <w:rPr>
          <w:sz w:val="20"/>
          <w:szCs w:val="20"/>
          <w:color w:val="auto"/>
        </w:rPr>
      </w:pPr>
    </w:p>
    <w:p>
      <w:pPr>
        <w:ind w:left="100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have significant discretion in determining the efforts and resources that they will apply to our development programs and product candidates;</w:t>
      </w:r>
    </w:p>
    <w:p>
      <w:pPr>
        <w:spacing w:after="0" w:line="75"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could independently develop, supply, manufacture, commercialize or collaborate with additional third parties, products that compete directly or indirectly with our product candidates;</w:t>
      </w:r>
    </w:p>
    <w:p>
      <w:pPr>
        <w:spacing w:after="0" w:line="75"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89"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 and activities with third parties;</w:t>
      </w:r>
    </w:p>
    <w:p>
      <w:pPr>
        <w:spacing w:after="0" w:line="75"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may arise between us and our third 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89" w:lineRule="exact"/>
        <w:rPr>
          <w:rFonts w:ascii="Arial" w:cs="Arial" w:eastAsia="Arial" w:hAnsi="Arial"/>
          <w:sz w:val="18"/>
          <w:szCs w:val="18"/>
          <w:color w:val="auto"/>
        </w:rPr>
      </w:pPr>
    </w:p>
    <w:p>
      <w:pPr>
        <w:ind w:left="1000" w:right="80" w:hanging="547"/>
        <w:spacing w:after="0" w:line="30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As a result, if any third-parties upon which we are dependent fail or are unable to perform, our development programs and candidate products could be materially adversely affected.</w:t>
      </w:r>
    </w:p>
    <w:p>
      <w:pPr>
        <w:spacing w:after="0" w:line="278"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We may be unable to enter into or maintain strategic alliances or collaborations which could affect our ability to commercialize our product candidates, if approved.</w:t>
      </w:r>
    </w:p>
    <w:p>
      <w:pPr>
        <w:spacing w:after="0" w:line="6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460" w:right="100"/>
        <w:spacing w:after="0" w:line="340" w:lineRule="auto"/>
        <w:rPr>
          <w:sz w:val="20"/>
          <w:szCs w:val="20"/>
          <w:color w:val="auto"/>
        </w:rPr>
      </w:pPr>
      <w:r>
        <w:rPr>
          <w:rFonts w:ascii="Arial" w:cs="Arial" w:eastAsia="Arial" w:hAnsi="Arial"/>
          <w:sz w:val="15"/>
          <w:szCs w:val="15"/>
          <w:b w:val="1"/>
          <w:bCs w:val="1"/>
          <w:i w:val="1"/>
          <w:iCs w:val="1"/>
          <w:color w:val="auto"/>
        </w:rPr>
        <w:t>If we fail to make required payments to AnalytiCon pursuant to the agreements pursuant to which we acquired certain of our core intellectual property or are otherwise in material breach of such agreements (and fail to cure such breaches within a specified time period), AnalytiCon may exercise remedies pursuant to such agreements that would materially and adversely affect our business and results of operations.</w:t>
      </w:r>
    </w:p>
    <w:p>
      <w:pPr>
        <w:spacing w:after="0" w:line="2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Certain intellectual property that is core to our business has been invented by AnalytiCon and contractually assigned to us by AnalytiCon, with whom we continue to collaborate for the development of our product candidates. We owe AnalytiCon milestone payments contingent on our achievement of certain clinical development and regulatory events, as well as royalties and milestone payments based on sales of such product candidates. If we fail to make such payments to AnalytiCon or are otherwise in material breach of certain agreements that we entered into with AnalytiCon (and fail to cure such breaches within a specified time period), and AnalytiCon exercises contractual remedies available to it under such agreements, then we may be required to grant AnalytiCon an exclusive license to the intellectual property that it assigned to us for use in all applications, including HAE. In addition, we could be prevented from competing with AnalytiCon until five years after the commercial launch of any product candidates containing a compound from the OB2RA Class. If we failed to make such payments and AnalytiCon were to exercise such remedies, we would not be able to continue our current development program or commercialize our product candidates and our business and results of operations would be materially and adversely affected. For a description of our arrangement with AnalytiCon, please see “Business—License Agreement.”</w:t>
      </w:r>
    </w:p>
    <w:p>
      <w:pPr>
        <w:spacing w:after="0" w:line="27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79" w:lineRule="exact"/>
        <w:rPr>
          <w:sz w:val="20"/>
          <w:szCs w:val="20"/>
          <w:color w:val="auto"/>
        </w:rPr>
      </w:pPr>
    </w:p>
    <w:p>
      <w:pPr>
        <w:jc w:val="both"/>
        <w:ind w:right="60" w:firstLine="449"/>
        <w:spacing w:after="0" w:line="257" w:lineRule="auto"/>
        <w:rPr>
          <w:sz w:val="20"/>
          <w:szCs w:val="20"/>
          <w:color w:val="auto"/>
        </w:rPr>
      </w:pPr>
      <w:r>
        <w:rPr>
          <w:rFonts w:ascii="Arial" w:cs="Arial" w:eastAsia="Arial" w:hAnsi="Arial"/>
          <w:sz w:val="18"/>
          <w:szCs w:val="18"/>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0" w:firstLine="449"/>
        <w:spacing w:after="0" w:line="308" w:lineRule="auto"/>
        <w:rPr>
          <w:sz w:val="20"/>
          <w:szCs w:val="20"/>
          <w:color w:val="auto"/>
        </w:rPr>
      </w:pPr>
      <w:r>
        <w:rPr>
          <w:rFonts w:ascii="Arial" w:cs="Arial" w:eastAsia="Arial" w:hAnsi="Arial"/>
          <w:sz w:val="17"/>
          <w:szCs w:val="17"/>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52" w:lineRule="exact"/>
        <w:rPr>
          <w:sz w:val="20"/>
          <w:szCs w:val="20"/>
          <w:color w:val="auto"/>
        </w:rPr>
      </w:pPr>
    </w:p>
    <w:p>
      <w:pPr>
        <w:ind w:left="1000" w:right="80" w:hanging="547"/>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0" w:lineRule="exact"/>
        <w:rPr>
          <w:rFonts w:ascii="Arial" w:cs="Arial" w:eastAsia="Arial" w:hAnsi="Arial"/>
          <w:sz w:val="17"/>
          <w:szCs w:val="17"/>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75" w:lineRule="exact"/>
        <w:rPr>
          <w:rFonts w:ascii="Arial" w:cs="Arial" w:eastAsia="Arial" w:hAnsi="Arial"/>
          <w:sz w:val="18"/>
          <w:szCs w:val="18"/>
          <w:color w:val="auto"/>
        </w:rPr>
      </w:pPr>
    </w:p>
    <w:p>
      <w:pPr>
        <w:ind w:left="1000" w:right="240" w:hanging="547"/>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89" w:lineRule="exact"/>
        <w:rPr>
          <w:rFonts w:ascii="Arial" w:cs="Arial" w:eastAsia="Arial" w:hAnsi="Arial"/>
          <w:sz w:val="18"/>
          <w:szCs w:val="18"/>
          <w:color w:val="auto"/>
        </w:rPr>
      </w:pPr>
    </w:p>
    <w:p>
      <w:pPr>
        <w:ind w:left="1000" w:right="160" w:hanging="547"/>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9"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we or any third parties that develop or create any intellectual property for us are unable to secure necessary assignments or rights, then our rights to such intellectual property, and ultimately our ability to protect our candidate products, may be adversely affected.</w:t>
      </w:r>
    </w:p>
    <w:p>
      <w:pPr>
        <w:spacing w:after="0" w:line="170"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that we may own in the future, if any), or that we were the first to file for patent protection of such inventions.</w:t>
      </w:r>
    </w:p>
    <w:p>
      <w:pPr>
        <w:spacing w:after="0" w:line="274" w:lineRule="exact"/>
        <w:rPr>
          <w:sz w:val="20"/>
          <w:szCs w:val="20"/>
          <w:color w:val="auto"/>
        </w:rPr>
      </w:pPr>
    </w:p>
    <w:p>
      <w:pPr>
        <w:ind w:left="460" w:right="580"/>
        <w:spacing w:after="0" w:line="277" w:lineRule="auto"/>
        <w:rPr>
          <w:sz w:val="20"/>
          <w:szCs w:val="20"/>
          <w:color w:val="auto"/>
        </w:rPr>
      </w:pPr>
      <w:r>
        <w:rPr>
          <w:rFonts w:ascii="Arial" w:cs="Arial" w:eastAsia="Arial" w:hAnsi="Arial"/>
          <w:sz w:val="18"/>
          <w:szCs w:val="18"/>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62"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third parties. Consequently, we do not know whether our product candidates will be protectable by valid and enforceable patents.</w:t>
      </w:r>
    </w:p>
    <w:p>
      <w:pPr>
        <w:spacing w:after="0" w:line="225"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76"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76"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addition, patents have a limited lifespan. For example, if renewal fees are paid timely,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76"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Patents covering our technology and product candidates that may be issued (if any) could be found invalid or unenforceable if challenged in court or an issuing body.</w:t>
      </w:r>
    </w:p>
    <w:p>
      <w:pPr>
        <w:spacing w:after="0" w:line="62"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1"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in all jurisdictions.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92"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92"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8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7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Further, the America Invents Act created new procedures to challenge the validity of issued patents in the United States, including post grant review,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and derivation proceedings, which some third parties have been using to cause the cancellation of selected or all claims of issued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 than invalidated in a litigation in a U.S. federal court. If any patents that we are issued in the future (if any) or our licensor’s patents are challenged by a third-party in such a USPTO proceeding, there is no guarantee that we or our licensors or collaborators will be successful in defending the patent, which would result in a loss of the challenged patent right to us.</w:t>
      </w:r>
    </w:p>
    <w:p>
      <w:pPr>
        <w:spacing w:after="0" w:line="192"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8"/>
          <w:szCs w:val="18"/>
          <w:i w:val="1"/>
          <w:iCs w:val="1"/>
          <w:color w:val="auto"/>
        </w:rPr>
        <w:t>Association for Molecular Pathology v. Myriad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Genetics, Inc., BRCA1- &amp;BRCA2-Based Hereditary Cancer Test Patent Litigation, 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PHA121 and other product candidates that we may pursue could have a material adverse effect on our business, financial condition, results of operations and prospects.</w:t>
      </w:r>
    </w:p>
    <w:p>
      <w:pPr>
        <w:spacing w:after="0" w:line="273"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279"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production, manufacture, commercialization or use of our product candidates and technology. In addition, the production, manufacture, commercialization or use of our product candidates may infringe existing patents of which we are not aware. Even if we believe such claims of infringement are without merit, a court of competent jurisdiction could hold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are found to infringe a third-party’s valid and enforceable intellectual property rights, we could be required to:</w:t>
      </w:r>
    </w:p>
    <w:p>
      <w:pPr>
        <w:spacing w:after="0" w:line="131"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cease developing, manufacturing, selling or licensing the infringing product candidates or technology;</w:t>
      </w:r>
    </w:p>
    <w:p>
      <w:pPr>
        <w:spacing w:after="0" w:line="130" w:lineRule="exact"/>
        <w:rPr>
          <w:rFonts w:ascii="Arial" w:cs="Arial" w:eastAsia="Arial" w:hAnsi="Arial"/>
          <w:sz w:val="18"/>
          <w:szCs w:val="18"/>
          <w:color w:val="auto"/>
        </w:rPr>
      </w:pPr>
    </w:p>
    <w:p>
      <w:pPr>
        <w:ind w:left="1000" w:right="80" w:hanging="547"/>
        <w:spacing w:after="0" w:line="25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93"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substantial damages for past infringement, including treble damages and attorneys’ fees, if we are found to have willfully infringed a patent or other intellectual property right; or</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required to redesign the formulation of a product such that it does not infringe, which may not be possible or could require substantial funds and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could have a material adverse effect on our business, financial condition, results of operations and prospects.</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289"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proceedings could cause us to spend substantial resources and distract our personnel from their normal responsibilities.</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32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9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85" w:lineRule="exact"/>
        <w:rPr>
          <w:sz w:val="20"/>
          <w:szCs w:val="20"/>
          <w:color w:val="auto"/>
        </w:rPr>
      </w:pPr>
    </w:p>
    <w:p>
      <w:pPr>
        <w:jc w:val="both"/>
        <w:ind w:left="460"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risks to our competitive advantage.</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00" w:right="12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patent applications that we currently, or may in the future, own or license will not lead to issued patents;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claims of patents or patent applications that we may own or license may, when issued, not cover our product candidates;</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(if any) that we may hold rights to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00" w:right="720" w:hanging="547"/>
        <w:spacing w:after="0" w:line="308"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460" w:right="240"/>
        <w:spacing w:after="0" w:line="263" w:lineRule="auto"/>
        <w:rPr>
          <w:sz w:val="20"/>
          <w:szCs w:val="20"/>
          <w:color w:val="auto"/>
        </w:rPr>
      </w:pPr>
      <w:r>
        <w:rPr>
          <w:rFonts w:ascii="Arial" w:cs="Arial" w:eastAsia="Arial" w:hAnsi="Arial"/>
          <w:sz w:val="18"/>
          <w:szCs w:val="18"/>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40"/>
        <w:spacing w:after="0" w:line="263" w:lineRule="auto"/>
        <w:rPr>
          <w:sz w:val="20"/>
          <w:szCs w:val="20"/>
          <w:color w:val="auto"/>
        </w:rPr>
      </w:pPr>
      <w:r>
        <w:rPr>
          <w:rFonts w:ascii="Arial" w:cs="Arial" w:eastAsia="Arial" w:hAnsi="Arial"/>
          <w:sz w:val="18"/>
          <w:szCs w:val="18"/>
          <w:b w:val="1"/>
          <w:bCs w:val="1"/>
          <w:i w:val="1"/>
          <w:iCs w:val="1"/>
          <w:color w:val="auto"/>
        </w:rPr>
        <w:t>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76"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31" w:lineRule="exact"/>
        <w:rPr>
          <w:sz w:val="20"/>
          <w:szCs w:val="20"/>
          <w:color w:val="auto"/>
        </w:rPr>
      </w:pPr>
    </w:p>
    <w:p>
      <w:pPr>
        <w:ind w:left="1000" w:right="240" w:hanging="547"/>
        <w:spacing w:after="0" w:line="279"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76" w:lineRule="exact"/>
        <w:rPr>
          <w:rFonts w:ascii="Arial" w:cs="Arial" w:eastAsia="Arial" w:hAnsi="Arial"/>
          <w:sz w:val="17"/>
          <w:szCs w:val="17"/>
          <w:color w:val="auto"/>
        </w:rPr>
      </w:pPr>
    </w:p>
    <w:p>
      <w:pPr>
        <w:ind w:left="1000" w:right="20" w:hanging="547"/>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92" w:lineRule="exact"/>
        <w:rPr>
          <w:rFonts w:ascii="Arial" w:cs="Arial" w:eastAsia="Arial" w:hAnsi="Arial"/>
          <w:sz w:val="18"/>
          <w:szCs w:val="18"/>
          <w:color w:val="auto"/>
        </w:rPr>
      </w:pPr>
    </w:p>
    <w:p>
      <w:pPr>
        <w:ind w:left="1000" w:right="100" w:hanging="547"/>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89" w:lineRule="exact"/>
        <w:rPr>
          <w:rFonts w:ascii="Arial" w:cs="Arial" w:eastAsia="Arial" w:hAnsi="Arial"/>
          <w:sz w:val="18"/>
          <w:szCs w:val="18"/>
          <w:color w:val="auto"/>
        </w:rPr>
      </w:pPr>
    </w:p>
    <w:p>
      <w:pPr>
        <w:ind w:left="1000" w:right="60" w:hanging="547"/>
        <w:spacing w:after="0" w:line="25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criminal health care fraud statute, enacted as a part of the Health Insurance Portability and Accountability Act of 1996, or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93" w:lineRule="exact"/>
        <w:rPr>
          <w:rFonts w:ascii="Arial" w:cs="Arial" w:eastAsia="Arial" w:hAnsi="Arial"/>
          <w:sz w:val="18"/>
          <w:szCs w:val="18"/>
          <w:color w:val="auto"/>
        </w:rPr>
      </w:pPr>
    </w:p>
    <w:p>
      <w:pPr>
        <w:ind w:left="1000" w:hanging="547"/>
        <w:spacing w:after="0" w:line="30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2" w:lineRule="exact"/>
        <w:rPr>
          <w:rFonts w:ascii="Arial" w:cs="Arial" w:eastAsia="Arial" w:hAnsi="Arial"/>
          <w:sz w:val="16"/>
          <w:szCs w:val="16"/>
          <w:color w:val="auto"/>
        </w:rPr>
      </w:pPr>
    </w:p>
    <w:p>
      <w:pPr>
        <w:ind w:left="1000" w:right="120" w:hanging="547"/>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laws in all 50 U.S. states require businesses to provide notice to customers whose personally identifiable information has been disclosed as a result of a data breach, and certain U.S. state laws impose particular requirements relating to the handling of sensitive data, such as health information;</w:t>
      </w:r>
    </w:p>
    <w:p>
      <w:pPr>
        <w:spacing w:after="0" w:line="89" w:lineRule="exact"/>
        <w:rPr>
          <w:rFonts w:ascii="Arial" w:cs="Arial" w:eastAsia="Arial" w:hAnsi="Arial"/>
          <w:sz w:val="18"/>
          <w:szCs w:val="18"/>
          <w:color w:val="auto"/>
        </w:rPr>
      </w:pPr>
    </w:p>
    <w:p>
      <w:pPr>
        <w:ind w:left="1000" w:right="180" w:hanging="547"/>
        <w:spacing w:after="0" w:line="31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00"/>
        <w:spacing w:after="0" w:line="263" w:lineRule="auto"/>
        <w:rPr>
          <w:sz w:val="20"/>
          <w:szCs w:val="20"/>
          <w:color w:val="auto"/>
        </w:rPr>
      </w:pPr>
      <w:r>
        <w:rPr>
          <w:rFonts w:ascii="Arial" w:cs="Arial" w:eastAsia="Arial" w:hAnsi="Arial"/>
          <w:sz w:val="18"/>
          <w:szCs w:val="18"/>
          <w:color w:val="auto"/>
        </w:rPr>
        <w:t>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89" w:lineRule="exact"/>
        <w:rPr>
          <w:sz w:val="20"/>
          <w:szCs w:val="20"/>
          <w:color w:val="auto"/>
        </w:rPr>
      </w:pPr>
    </w:p>
    <w:p>
      <w:pPr>
        <w:ind w:left="1000" w:right="24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Foreign Corrupt Practices Act, or the FCPA, a U.S. law which regulates certain financial relationships with foreign government officials which could include, for example, certain medical professionals;</w:t>
      </w:r>
    </w:p>
    <w:p>
      <w:pPr>
        <w:spacing w:after="0" w:line="75" w:lineRule="exact"/>
        <w:rPr>
          <w:rFonts w:ascii="Arial" w:cs="Arial" w:eastAsia="Arial" w:hAnsi="Arial"/>
          <w:sz w:val="18"/>
          <w:szCs w:val="18"/>
          <w:color w:val="auto"/>
        </w:rPr>
      </w:pPr>
    </w:p>
    <w:p>
      <w:pPr>
        <w:jc w:val="both"/>
        <w:ind w:left="1000" w:right="500" w:hanging="547"/>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89"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state laws regulating pharmaceutical manufacturer compliance programs, commercialization-related activities, drug price transparency disclosures, and other practices;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foreign laws and regulations.</w:t>
      </w:r>
    </w:p>
    <w:p>
      <w:pPr>
        <w:spacing w:after="0" w:line="22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8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6"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Rapid technological change could make our product candidates or technologies obsolete.</w:t>
      </w:r>
    </w:p>
    <w:p>
      <w:pPr>
        <w:spacing w:after="0" w:line="117" w:lineRule="exact"/>
        <w:rPr>
          <w:sz w:val="20"/>
          <w:szCs w:val="20"/>
          <w:color w:val="auto"/>
        </w:rPr>
      </w:pPr>
    </w:p>
    <w:p>
      <w:pPr>
        <w:jc w:val="both"/>
        <w:ind w:right="200" w:firstLine="449"/>
        <w:spacing w:after="0" w:line="311"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117" w:lineRule="exact"/>
        <w:rPr>
          <w:sz w:val="20"/>
          <w:szCs w:val="20"/>
          <w:color w:val="auto"/>
        </w:rPr>
      </w:pPr>
    </w:p>
    <w:p>
      <w:pPr>
        <w:jc w:val="both"/>
        <w:ind w:right="620" w:firstLine="449"/>
        <w:spacing w:after="0" w:line="342"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29"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different jurisdictions;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differing jurisdictions could present different issues for securing, maintaining and/or obtaining freedom to operate in such jurisdictions;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in compliance with laws and regulations;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currency exchange rates of the euro and currency controls;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various governments;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markets;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Compliance Matters</w:t>
      </w:r>
    </w:p>
    <w:p>
      <w:pPr>
        <w:spacing w:after="0" w:line="121"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Because we and our suppliers are subject to environmental, health and safety laws and regulations, we may become exposed to enforcement, liability and substantial expenses in connection with environmental compliance or remediation activities which may adversely affect our business and financial condition.</w:t>
      </w:r>
    </w:p>
    <w:p>
      <w:pPr>
        <w:spacing w:after="0" w:line="7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Our operations, including our research, development, testing and manufacturing activities, are subject to numerous environmental, health and safety laws and regulations, and possible permit obligations. These laws,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wastes.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all of these laws, regulations, and associated compliance activities.</w:t>
      </w:r>
    </w:p>
    <w:p>
      <w:pPr>
        <w:spacing w:after="0" w:line="178"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57"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Environmental, health and safety laws and regulations are becoming more stringent and enforcement is prioritized. We may be required to incur substantial expenses in connection with current and future environmental, health and/ or safety compliance, our duty of care in this regard, remediation obligations and/or measurement obligations, in which case, our production and development efforts may be interrupted or delayed and our financial condition and results of operations may be materially adversely affected.</w:t>
      </w:r>
    </w:p>
    <w:p>
      <w:pPr>
        <w:spacing w:after="0" w:line="295" w:lineRule="exact"/>
        <w:rPr>
          <w:sz w:val="20"/>
          <w:szCs w:val="20"/>
          <w:color w:val="auto"/>
        </w:rPr>
      </w:pPr>
    </w:p>
    <w:p>
      <w:pPr>
        <w:ind w:left="460" w:right="380"/>
        <w:spacing w:after="0" w:line="263" w:lineRule="auto"/>
        <w:rPr>
          <w:sz w:val="20"/>
          <w:szCs w:val="20"/>
          <w:color w:val="auto"/>
        </w:rPr>
      </w:pPr>
      <w:r>
        <w:rPr>
          <w:rFonts w:ascii="Arial" w:cs="Arial" w:eastAsia="Arial" w:hAnsi="Arial"/>
          <w:sz w:val="18"/>
          <w:szCs w:val="18"/>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255" w:lineRule="auto"/>
        <w:rPr>
          <w:sz w:val="20"/>
          <w:szCs w:val="20"/>
          <w:color w:val="auto"/>
        </w:rPr>
      </w:pPr>
      <w:r>
        <w:rPr>
          <w:rFonts w:ascii="Arial" w:cs="Arial" w:eastAsia="Arial" w:hAnsi="Arial"/>
          <w:sz w:val="18"/>
          <w:szCs w:val="18"/>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preclinical studies or clinical trials, which could result in enforcement and/or sanctions and cause serious harm to our reputation.</w:t>
      </w:r>
    </w:p>
    <w:p>
      <w:pPr>
        <w:spacing w:after="0" w:line="192"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70"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and This Offering</w:t>
      </w:r>
    </w:p>
    <w:p>
      <w:pPr>
        <w:spacing w:after="0" w:line="121"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There has been no prior public market for our ordinary shares and an active and liquid market for our ordinary shares may fail to develop, which could harm the market price of our ordinary shares.</w:t>
      </w:r>
    </w:p>
    <w:p>
      <w:pPr>
        <w:spacing w:after="0" w:line="6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Prior to this offering, there has been no public market for our ordinary shares. Although we anticipate our ordinary shares being approved for listing on Nasdaq, an active trading market for our ordinary shares may never develop or be sustained following this offering. The initial public offering price of our ordinary shares will be based and determined through negotiations between us and the underwriters. This initial public offering price may not be indicative of the market price of our ordinary shares after this offering. In the absence of an active trading market for our ordinary shares, investors may not be able to sell their ordinary shares at or above the initial public offering price or at the time that they would like to sell.</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140"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We have a number of significant shareholders that will beneficially own ordinary shares representing approximately 62% of our outstanding ordinary shares upon consummation of this offering. For more information regarding our significant shareholders, please see “Principal Shareholders.”</w:t>
      </w:r>
    </w:p>
    <w:p>
      <w:pPr>
        <w:spacing w:after="0" w:line="124"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These significant shareholders have in the past often taken a similar position and exercised influence over matters requiring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If you purchase ordinary shares in this offering, you will incur immediate and substantial dilution of €8.72 ($10.21) per ordinary share, after giving effect to the sale by us of the ordinary shares offered by us in the offering and assuming an initial public offering price of $18.00 per ordinary share, which is the midpoint of the estimated initial offering price range set forth on the cover page of this prospectus, after deducting the underwriting discounts and commissions and estimated offering expenses payable by us, and our as further adjusted net tangible book value estimated at September 30, 2020 would have been approximately €203.1 ($237.8) million, representing €6.66 ($7.79) per ordinary share. This represents an immediate increase in as adjusted net tangible book value of €2.17 ($2.53) per ordinary share to existing shareholders and an immediate dilution in as further adjusted net tangible book value of €8.72 ($10.21) per ordinary share to new investors purchasing ordinary shares in this offering. Dilution for this purpose represents the difference between the price per ordinary share paid by these purchasers and as further adjusted net tangible book value per ordinary share immediately after the completion of the offering. As a result of the dilution to investors purchasing ordinary shares in this offering, investors may receive significantly less than the purchase price paid in this offering, if anything, in the event of our liquidation. For more information on the dilution you may suffer as a result of investing in this offering, see the section of this prospectus titled “Dilution.”</w:t>
      </w:r>
    </w:p>
    <w:p>
      <w:pPr>
        <w:spacing w:after="0" w:line="280" w:lineRule="exact"/>
        <w:rPr>
          <w:sz w:val="20"/>
          <w:szCs w:val="20"/>
          <w:color w:val="auto"/>
        </w:rPr>
      </w:pPr>
    </w:p>
    <w:p>
      <w:pPr>
        <w:ind w:left="460" w:right="160"/>
        <w:spacing w:after="0" w:line="263" w:lineRule="auto"/>
        <w:rPr>
          <w:sz w:val="20"/>
          <w:szCs w:val="20"/>
          <w:color w:val="auto"/>
        </w:rPr>
      </w:pPr>
      <w:r>
        <w:rPr>
          <w:rFonts w:ascii="Arial" w:cs="Arial" w:eastAsia="Arial" w:hAnsi="Arial"/>
          <w:sz w:val="18"/>
          <w:szCs w:val="18"/>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76"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77"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Under Dutch law and following the consummation of this offering, we may only pay dividends to the extent our shareholders’ equity (</w:t>
      </w:r>
      <w:r>
        <w:rPr>
          <w:rFonts w:ascii="Arial" w:cs="Arial" w:eastAsia="Arial" w:hAnsi="Arial"/>
          <w:sz w:val="18"/>
          <w:szCs w:val="18"/>
          <w:i w:val="1"/>
          <w:iCs w:val="1"/>
          <w:color w:val="auto"/>
        </w:rPr>
        <w:t>eigen</w:t>
      </w:r>
      <w:r>
        <w:rPr>
          <w:rFonts w:ascii="Arial" w:cs="Arial" w:eastAsia="Arial" w:hAnsi="Arial"/>
          <w:sz w:val="18"/>
          <w:szCs w:val="18"/>
          <w:color w:val="auto"/>
        </w:rPr>
        <w:t xml:space="preserve"> </w:t>
      </w:r>
      <w:r>
        <w:rPr>
          <w:rFonts w:ascii="Arial" w:cs="Arial" w:eastAsia="Arial" w:hAnsi="Arial"/>
          <w:sz w:val="18"/>
          <w:szCs w:val="18"/>
          <w:i w:val="1"/>
          <w:iCs w:val="1"/>
          <w:color w:val="auto"/>
        </w:rPr>
        <w:t>vermogen</w:t>
      </w:r>
      <w:r>
        <w:rPr>
          <w:rFonts w:ascii="Arial" w:cs="Arial" w:eastAsia="Arial" w:hAnsi="Arial"/>
          <w:sz w:val="18"/>
          <w:szCs w:val="18"/>
          <w:color w:val="auto"/>
        </w:rPr>
        <w:t>) exceeds the sum of the paid-up and called-up share capital plus the reserves required to be maintained by Dutch law or by our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that will be effective upon consummation of this offering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9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Under our Articles of Association that will be effective upon consummation of this offering,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which we refer to as our preferred dividend. Our Board may decide that all or part of our remaining profits shall be added to our reserves. After such reservation any remaining profit will be at the disposal of the general meeting at the proposal of our Board for distribution on our ordinary shares, subject to the applicable restrictions of Dutch law. Our Board is permitted, subject to certain requirements, to declare interim dividends without the approval of the general meeting. Dividends and other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4"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273"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If we do pay dividends, such dividends paid by us on our ordinary shares may be subject to Dutch dividend withholding tax and, if such dividends are paid to certain related parties in low-taxed jurisdictions, might in the future become subject to an additional Dutch withholding tax on dividends, in addition to the applicable Dutch dividend withholding tax.</w:t>
      </w:r>
    </w:p>
    <w:p>
      <w:pPr>
        <w:spacing w:after="0" w:line="76"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Under current Dutch tax law, dividends paid by us on our ordinary shares are in principle subject to Dutch dividend withholding tax at a rate of 15% under the Dutch Dividend Withholding Tax Act 1965 (</w:t>
      </w:r>
      <w:r>
        <w:rPr>
          <w:rFonts w:ascii="Arial" w:cs="Arial" w:eastAsia="Arial" w:hAnsi="Arial"/>
          <w:sz w:val="16"/>
          <w:szCs w:val="16"/>
          <w:i w:val="1"/>
          <w:iCs w:val="1"/>
          <w:color w:val="auto"/>
        </w:rPr>
        <w:t>Wet op de dividendbelasting 1965</w:t>
      </w:r>
      <w:r>
        <w:rPr>
          <w:rFonts w:ascii="Arial" w:cs="Arial" w:eastAsia="Arial" w:hAnsi="Arial"/>
          <w:sz w:val="16"/>
          <w:szCs w:val="16"/>
          <w:color w:val="auto"/>
        </w:rPr>
        <w:t>), unless a domestic or treaty exemption or reduction applies.</w:t>
      </w:r>
    </w:p>
    <w:p>
      <w:pPr>
        <w:spacing w:after="0" w:line="124"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a letter to the Dutch parliament dated May 29, 2020, the Dutch State Secretary for Finance announced that the Dutch government intends to introduce an additional withholding tax on dividends paid to related entities (as described below) in jurisdictions that have a corporate tax rate below 9% or to jurisdictions included on the EU’s blacklist of non-cooperative jurisdictions and in certain abusive situations, effective January 1, 2024. On September 25, 2020, the Dutch government launched an internet consultation to give interested parties the opportunity to respond to the draft legislative proposal to introduce the conditional withholding tax on dividends. Pursuant to the proposal published for consultation purposes, the conditional withholding tax on dividend payments will be an addition to the recently passed conditional withholding tax on interest and royalty payments pursuant to the Dutch Withholding Tax Act 2021 (</w:t>
      </w:r>
      <w:r>
        <w:rPr>
          <w:rFonts w:ascii="Arial" w:cs="Arial" w:eastAsia="Arial" w:hAnsi="Arial"/>
          <w:sz w:val="17"/>
          <w:szCs w:val="17"/>
          <w:i w:val="1"/>
          <w:iCs w:val="1"/>
          <w:color w:val="auto"/>
        </w:rPr>
        <w:t>Wet bronbelasting</w:t>
      </w:r>
      <w:r>
        <w:rPr>
          <w:rFonts w:ascii="Arial" w:cs="Arial" w:eastAsia="Arial" w:hAnsi="Arial"/>
          <w:sz w:val="17"/>
          <w:szCs w:val="17"/>
          <w:color w:val="auto"/>
        </w:rPr>
        <w:t xml:space="preserve"> 2021), which act has become effective January 1, 2021. For purposes of the Dutch Withholding Tax Act 2021, generally an entity is considered a related entity if such entity has a “qualifying interest” in us, generally meaning an interest – either individually or jointly as part of a collaborating group </w:t>
      </w:r>
      <w:r>
        <w:rPr>
          <w:rFonts w:ascii="Arial" w:cs="Arial" w:eastAsia="Arial" w:hAnsi="Arial"/>
          <w:sz w:val="17"/>
          <w:szCs w:val="17"/>
          <w:i w:val="1"/>
          <w:iCs w:val="1"/>
          <w:color w:val="auto"/>
        </w:rPr>
        <w:t>(samenwerkende groep)</w:t>
      </w:r>
      <w:r>
        <w:rPr>
          <w:rFonts w:ascii="Arial" w:cs="Arial" w:eastAsia="Arial" w:hAnsi="Arial"/>
          <w:sz w:val="17"/>
          <w:szCs w:val="17"/>
          <w:color w:val="auto"/>
        </w:rPr>
        <w:t xml:space="preserve"> – that enables the holder of such interest to exercise a decisive influence on the decisions that can determine our activities.</w:t>
      </w:r>
    </w:p>
    <w:p>
      <w:pPr>
        <w:spacing w:after="0" w:line="18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It is possible that the rate will be as high as the highest Dutch corporate income tax rate (currently 25%) at the time of the dividend payment, which will be the statutory rate applicable to interest and royalty payments to related entities in jurisdictions that have a corporate tax rate below 9% or to jurisdictions included on the EU’s blacklist of non-cooperative jurisdictions and in certain abusive situations.</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At the same time, the current Dutch dividend withholding tax regime is anticipated to remain in place. However, if the dividend withholding tax and the conditional withholding tax on dividends cumulate, the conditional withholding tax will be reduced by the dividend withholding tax levied. As a result, if the shareholder being a related entity is established in a jurisdiction that has a corporate tax rate below 9% or in a jurisdiction included on the EU’s blacklist of non-cooperative jurisdictions, the tax rate on dividends may rise from 15% to 25%. The internet consultation closed on October 23, 2020. After the internet consultation, the Dutch government aims to prepare the final legislative proposal in early 2021.</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the offering and may not use them effectively.</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Our Board will have broad discretion in applying the net proceeds of this offering and investors will be relying on our judgment regarding the application of the net proceeds of this offering. See “Use of Proceeds.” In addition, we might decide to postpone or not pursue certain clinical trials or other activities if the net proceeds from this offering and our other sources of cash are less than expected. Pending their use, we may invest the net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proceeds from the offering in a manner that does not produce income or that loses value. These investments may not yield a favorable return to our investors.</w:t>
      </w:r>
    </w:p>
    <w:p>
      <w:pPr>
        <w:spacing w:after="0" w:line="170"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Based on our planned use of the net proceeds of the offering and our current cash, cash equivalents and current financial assets, we estimate that such funds will be sufficient to enable us to fund our operating expenses and capital expenditure requirements through at least the next 24 months. We have based this estimate on assumptions that may prove to be incorrect, and we could use our available capital resources sooner than we currently expect. The failure by our management to apply these funds effectively could harm our business and financial condition.</w:t>
      </w:r>
    </w:p>
    <w:p>
      <w:pPr>
        <w:spacing w:after="0" w:line="279"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 xml:space="preserve">Future sales of our ordinary shares in the public market after this offering and the availability of ordinary shares for future sale could adversely affect the market price of our ordinary shares prevailing from time to time. Certain of our ordinary shares currently outstanding will not be available for sale shortly after this offering due to contractual restrictions on transfers of ordinary shares under certain lock-up agreements. Upon the expiration of these lock-up agreements 30,519,276 ordinary shares will be eligible for sale 180 days after the date of this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ordinary shares held by our affiliates will remain subject to volume, manner of sale, and other resale limitations set forth in Rule 144 (in the case of our affiliates). Furthermore, under our Articles of Association that will be effective upon the consummation of this offering, we will be authorized to issue up to 58,750,000 ordinary shares, of which 30,519,276 ordinary shares will be outstanding following this offering. 180 days following the date of this prospectus, we would no longer be restricted under the terms of our lock-up agreement from issuing or offering additional ordinary shares. Sales of substantial numbers of ordinary shares, or the perception that these sales could occur, could adversely affect prevailing market prices for our ordinary shares and could impair our future ability to raise equity capital.</w:t>
      </w:r>
    </w:p>
    <w:p>
      <w:pPr>
        <w:spacing w:after="0" w:line="185"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In addition, the ordinary shares subject to our equity incentive plans and the ordinary shares reserved for future delivery under such plans will become eligible for sale in the public market in the future, subject to certain legal and contractual limitations. Following this offering, we intend to file one or more registration statements on Form S-8 with the SEC, covering our ordinary shares available for future issuance under our equity incentive plans. Upon effectiveness of such registration statements, any ordinary shares subsequently issued under such plans will be eligible for sale in the public market, except to the extent that they are restricted by the lock-up agreements referred to above and subject to compliance with Rule 144 in the case of our affiliates. Sales of a large number of the ordinary shares issued under these plans in the public market could have an adverse effect on the market price of our ordinary shares. If these additional ordinary shares are sold, or if it is perceived that they will be sold in the public market, the trading price of our ordinary shares could decline substantially.</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not obligated to, and do not, comply with all best practice provisions of the Dutch Corporate Governance Code.</w:t>
      </w:r>
    </w:p>
    <w:p>
      <w:pPr>
        <w:spacing w:after="0" w:line="117"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Upon the consummation of this offering, we will be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“Description of Share Capital and Articles of Association.” This may affect your rights as a shareholder and you may not have the same level of protection as a shareholder in a Dutch company that fully complies with the DCGC.</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80"/>
        <w:spacing w:after="0" w:line="286" w:lineRule="auto"/>
        <w:rPr>
          <w:sz w:val="20"/>
          <w:szCs w:val="20"/>
          <w:color w:val="auto"/>
        </w:rPr>
      </w:pPr>
      <w:r>
        <w:rPr>
          <w:rFonts w:ascii="Arial" w:cs="Arial" w:eastAsia="Arial" w:hAnsi="Arial"/>
          <w:sz w:val="17"/>
          <w:szCs w:val="17"/>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If and when our ordinary shares are listed on Nasdaq, we intend to continue to follow Dutch corporate governance practices in lieu of the corporate governance requirements of Nasdaq in certain respects.</w:t>
      </w:r>
    </w:p>
    <w:p>
      <w:pPr>
        <w:spacing w:after="0" w:line="178" w:lineRule="exact"/>
        <w:rPr>
          <w:sz w:val="20"/>
          <w:szCs w:val="20"/>
          <w:color w:val="auto"/>
        </w:rPr>
      </w:pPr>
    </w:p>
    <w:p>
      <w:pPr>
        <w:jc w:val="both"/>
        <w:ind w:right="120" w:firstLine="449"/>
        <w:spacing w:after="0" w:line="287"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We will also rely on the phase-in provisions of Rule 10A-3 of the Exchange Act and the Nasdaq transition rules applicable to companies completing an initial public offering, which require all members of our audit committee meet the independence standard for audit committee membership within one year of the effectiveness of the registration statement of which this prospectus forms a part.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w:t>
      </w:r>
    </w:p>
    <w:p>
      <w:pPr>
        <w:spacing w:after="0" w:line="17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Accordingly, you may not have the same protections afforded to shareholders of companies that are subject to these Nasdaq requirements.</w:t>
      </w:r>
    </w:p>
    <w:p>
      <w:pPr>
        <w:spacing w:after="0" w:line="278"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2" w:lineRule="exact"/>
        <w:rPr>
          <w:sz w:val="20"/>
          <w:szCs w:val="20"/>
          <w:color w:val="auto"/>
        </w:rPr>
      </w:pPr>
    </w:p>
    <w:p>
      <w:pPr>
        <w:jc w:val="both"/>
        <w:ind w:right="300" w:firstLine="8"/>
        <w:spacing w:after="0" w:line="281"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8"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Such conversion of our financial statements to U.S. GAAP would involve significant time and cost, and we would still be required to prepare financial statements in accordance with IFRS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286"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our ordinary shares less attractive to investors.</w:t>
      </w:r>
    </w:p>
    <w:p>
      <w:pPr>
        <w:spacing w:after="0" w:line="16"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the ability to include only two years of audited financial statements and only two years of related “Management’s Discussion and Analysis of Financial Condition and Results of Operations” disclosure; (ii) an exemption from the auditor attestation requirement in the assessment of our internal control over financial reporting pursuant to the Sarbanes-Oxley Act; and (iii) to the extent that we no longer qualify as a foreign private issuer, (a) reduced disclosure obligations regarding executive compensation in our periodic reports and proxy statements, and (b) exemptions from the requirements of holding a nonbinding advisory vote on executive compensation, including golden parachute compensation. We cannot predict whether investors will find our ordinary shares less attractive if we rely on these exemptions. If some investors find our ordinary shares less attractive as a result, there may be a less active trading market for our ordinary shares and our share price may be reduced or more volatile.</w:t>
      </w:r>
    </w:p>
    <w:p>
      <w:pPr>
        <w:spacing w:after="0" w:line="181" w:lineRule="exact"/>
        <w:rPr>
          <w:sz w:val="20"/>
          <w:szCs w:val="20"/>
          <w:color w:val="auto"/>
        </w:rPr>
      </w:pPr>
    </w:p>
    <w:p>
      <w:pPr>
        <w:ind w:right="220" w:firstLine="449"/>
        <w:spacing w:after="0" w:line="293" w:lineRule="auto"/>
        <w:rPr>
          <w:sz w:val="20"/>
          <w:szCs w:val="20"/>
          <w:color w:val="auto"/>
        </w:rPr>
      </w:pPr>
      <w:r>
        <w:rPr>
          <w:rFonts w:ascii="Arial" w:cs="Arial" w:eastAsia="Arial" w:hAnsi="Arial"/>
          <w:sz w:val="16"/>
          <w:szCs w:val="16"/>
          <w:color w:val="auto"/>
        </w:rPr>
        <w:t>We may take advantage of these provisions until such time that we are no longer an emerging growth company. We would cease to be an emerging growth company following the fifth anniversary of the date of the completion of this offering or earlier if we have more than $1.07 billion in annual revenues, are deemed to be a “large accelerated filer” under the rules of the SEC, or issue more than $1.0 billion of nonconvertible debt over a three-year period. We may also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Given that we currently report and expect to continue 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report under IFRS, as issued by the IASB, we have irrevocably elected not to avail ourselves of this extended transition period and, as a result, we will adopt new or revised accounting standards on the relevant dates on which adoption of such standards is required by the IASB. We have taken advantage of reduced reporting requirements in this prospectus. Accordingly, the information contained herein may be different than the information you receive from other public companies in which you hold equity securities.</w:t>
      </w:r>
    </w:p>
    <w:p>
      <w:pPr>
        <w:spacing w:after="0" w:line="295" w:lineRule="exact"/>
        <w:rPr>
          <w:sz w:val="20"/>
          <w:szCs w:val="20"/>
          <w:color w:val="auto"/>
        </w:rPr>
      </w:pPr>
    </w:p>
    <w:p>
      <w:pPr>
        <w:ind w:left="460" w:right="940"/>
        <w:spacing w:after="0" w:line="277" w:lineRule="auto"/>
        <w:rPr>
          <w:sz w:val="20"/>
          <w:szCs w:val="20"/>
          <w:color w:val="auto"/>
        </w:rPr>
      </w:pPr>
      <w:r>
        <w:rPr>
          <w:rFonts w:ascii="Arial" w:cs="Arial" w:eastAsia="Arial" w:hAnsi="Arial"/>
          <w:sz w:val="18"/>
          <w:szCs w:val="18"/>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6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Prior to the consummation of this offering, we intend to convert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Our corporate affairs are, and will be, governed by our Articles of Association, our internal rules and policies and by Dutch law.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274"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62" w:lineRule="exact"/>
        <w:rPr>
          <w:sz w:val="20"/>
          <w:szCs w:val="20"/>
          <w:color w:val="auto"/>
        </w:rPr>
      </w:pPr>
    </w:p>
    <w:p>
      <w:pPr>
        <w:ind w:right="500" w:firstLine="449"/>
        <w:spacing w:after="0" w:line="301" w:lineRule="auto"/>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 In this respect, prior to the consummation of this offering, our general meeting shall authorize our Board for a period of five years after our conversion into Pharvaris N.V. to grant a call option to an independent foundation under Dutch law (if and when incorporated), or protective foundation, to acquire preferred shares pursuant to a call option agreement that may be entered into between us and such protective foundation.</w:t>
      </w:r>
    </w:p>
    <w:p>
      <w:pPr>
        <w:spacing w:after="0" w:line="157"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up 25% of their nominal value upon issuance. In order for the protective foundation to finance the issue price in relation to the preferred shares, the protective foundation may enter into a finance arrangement with a bank or other financial institution. 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repressing possible influences which could threaten the strategy, continuity, independence and/or identity of the company or the business connected with it, to such an extent that this could be considered to be damaging to the aforementioned interests. These influences may include a third party acquiring a significant percentage of our ordinary shares, the announcement of an unsolicited public offer for our ordinary shares, shareholder activism, other concentration of control over our ordinary shares or any other form of undue pressure on us to alter our strategic policies. The protective foundation, if and when incorporated, shall be structured to operate independently of us.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The voting rights of our shares are based on nominal value and, as we expect our ordinary shares to trade substantially in excess of their nominal value, preferred shares issued at 25% of their nominal value can carry significant voting power for a substantially reduced price compared to the price of our ordinary shares and thus can be used as a defensive measure. These preferred shares, if and when issued, will have both a liquidation and dividend preference over our ordinary shares and will accrue a cash preferred dividend at a fixed rate calculated over the amount paid-up on those preferred shares pro rata tempore for the period during which they were outstanding. The protective foundation would be expected to require us to cancel its preferred 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pacing w:after="0" w:line="165"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In addition, we have adopted several provisions that may have the effect of making a takeover of our Company more difficult or less attractive, including:</w:t>
      </w:r>
    </w:p>
    <w:p>
      <w:pPr>
        <w:spacing w:after="0" w:line="76" w:lineRule="exact"/>
        <w:rPr>
          <w:sz w:val="20"/>
          <w:szCs w:val="20"/>
          <w:color w:val="auto"/>
        </w:rPr>
      </w:pPr>
    </w:p>
    <w:p>
      <w:pPr>
        <w:jc w:val="both"/>
        <w:ind w:left="1000" w:right="260" w:hanging="547"/>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our issued share capital (in which case the Board shall make a new nomination);</w:t>
      </w:r>
    </w:p>
    <w:p>
      <w:pPr>
        <w:spacing w:after="0" w:line="89"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provision that our directors may only be removed by the general meeting by a two-thirds majority of the votes cast representing more than half of our issued share capital if such removal is not proposed by our Board;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provision which allows the most recent (former) chairman of our Board or our most recent (former) chief executive officer to be charged with our management if all of our directors are absent or incapacitated;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that certain matters, including an amendment of our Articles of Association, may only be brought to our shareholders for a vote upon a proposal by our Board.</w:t>
      </w:r>
    </w:p>
    <w:p>
      <w:pPr>
        <w:spacing w:after="0" w:line="170"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In addition, Dutch law allows for staggered multi-year terms of our directors, as a result of which only part of our directors may be subject to appointment or re-appointment in any one year.</w:t>
      </w:r>
    </w:p>
    <w:p>
      <w:pPr>
        <w:spacing w:after="0" w:line="278"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Shareholders may not be able to exercise preemptive rights and, as a result, may experience substantial dilution upon future issuances of ordinary shares.</w:t>
      </w:r>
    </w:p>
    <w:p>
      <w:pPr>
        <w:spacing w:after="0" w:line="62"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In the event of an issuance of our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Prior to the closing of this offering, our Board will be authorized, for a period of five years after our conversion into Pharvaris N.V.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300"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directors and senior management and the experts named in this prospectus.</w:t>
      </w:r>
    </w:p>
    <w:p>
      <w:pPr>
        <w:spacing w:after="0" w:line="6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incorporated under the laws of the Netherlands and have our statutory seat (statutaire zetel) in Leiden, the Netherlands. Some of our assets are located outside the United States and most members of the Board and Senior Management reside outside of the United States. As a result, it may not be possible for investors to effect service of process within the United States upon such persons or to enforce against them or us the U.S. courts’ judgments predicated upon the civil liability provisions of the federal securities laws of the United States.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Foreign courts may refuse to hear a United States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w:t>
      </w:r>
    </w:p>
    <w:p>
      <w:pPr>
        <w:spacing w:after="0" w:line="184"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14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6"/>
          <w:szCs w:val="16"/>
          <w:i w:val="1"/>
          <w:iCs w:val="1"/>
          <w:color w:val="auto"/>
        </w:rPr>
        <w:t>openbare orde</w:t>
      </w:r>
      <w:r>
        <w:rPr>
          <w:rFonts w:ascii="Arial" w:cs="Arial" w:eastAsia="Arial" w:hAnsi="Arial"/>
          <w:sz w:val="16"/>
          <w:szCs w:val="16"/>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w:t>
      </w:r>
    </w:p>
    <w:p>
      <w:pPr>
        <w:spacing w:after="0" w:line="17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Additionally, our Articles of Association provide that the U.S. federal district courts shall be the sole and exclusive forum for any claim asserting a cause of action arising under the Securities Act.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w:t>
      </w:r>
    </w:p>
    <w:p>
      <w:pPr>
        <w:spacing w:after="0" w:line="187"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Based on the foregoing, there can be no assurance that U.S. investors will be able to enforce any judgments obtained against members of the Board, our Senior Management, against us, or certain experts named herein who are residents of or possessing assets in the Netherlands or other countries other than the United States, in U.S. courts in civil and commercial matters, including judgments under the U.S. federal securities laws.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w:t>
      </w:r>
    </w:p>
    <w:p>
      <w:pPr>
        <w:spacing w:after="0" w:line="103"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PFIC in 2019 and we do not expect to be a PFIC for our current taxable year or in the foreseeable future. In addition, we may, directly or indirectly, hold equity interests in other PFICs. Whether we or any of our subsidiaries will be a PFIC in 2020 or any future year is a factual determination that must be made annually at the close of each taxable year, and, thus, is subject to significant uncertainty, because (i) a determination of whether a company is a PFIC must be made annually after the end of each taxable year and will depend on the composition of our income and assets and the market value of our assets from time to time and (ii) we will hold a substantial amount of cash following this offering, we cannot assure you that we will not be a PFIC for the current or any future taxable year. Accordingly, there can be no assurance that we will not be a PFIC in 2020 or any future taxable year.</w:t>
      </w:r>
    </w:p>
    <w:p>
      <w:pPr>
        <w:spacing w:after="0" w:line="164" w:lineRule="exact"/>
        <w:rPr>
          <w:sz w:val="20"/>
          <w:szCs w:val="20"/>
          <w:color w:val="auto"/>
        </w:rPr>
      </w:pPr>
    </w:p>
    <w:p>
      <w:pPr>
        <w:ind w:right="200" w:firstLine="449"/>
        <w:spacing w:after="0" w:line="271" w:lineRule="auto"/>
        <w:rPr>
          <w:sz w:val="20"/>
          <w:szCs w:val="20"/>
          <w:color w:val="auto"/>
        </w:rPr>
      </w:pPr>
      <w:r>
        <w:rPr>
          <w:rFonts w:ascii="Arial" w:cs="Arial" w:eastAsia="Arial" w:hAnsi="Arial"/>
          <w:sz w:val="17"/>
          <w:szCs w:val="17"/>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7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For further discussion, see “Material United States and Dutch Income Tax Considerations—Material U.S. Federal Income Tax Considerations to U.S.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140"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272"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293"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may be highly volatile, and you may not be able to resell our ordinary shares at or above the initial public offering price.</w:t>
      </w:r>
    </w:p>
    <w:p>
      <w:pPr>
        <w:spacing w:after="0" w:line="62"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initial public offering price for our ordinary shares will be determined by negotiations between us and the representatives of the underwriters and may not be indicative of prices that will prevail in the trading market for our ordinary shares.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67" w:lineRule="exact"/>
        <w:rPr>
          <w:sz w:val="20"/>
          <w:szCs w:val="20"/>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and timing of clinical trials of our and our competitors’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future approved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intellectual property protection for our technologies;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adequately protect our trade secrets;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raise additional capital or the terms on which we raise 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4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health crises, illnesses, epidemics or pandemics, such as the COVID-19 pandemic;</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risk factors discussed in this section.</w:t>
      </w:r>
    </w:p>
    <w:p>
      <w:pPr>
        <w:spacing w:after="0" w:line="225"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As a result of this volatility, you may not be able to sell your ordinary shares at or above the public offering price.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5"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62"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covers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269"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76"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This prospectus contains certain statements that are or may be forward-looking statements with respect to us, our industry and our business that involve substantial risks and uncertainties. All statements other than statements of historical fact contained in this prospectus,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86" w:lineRule="exact"/>
        <w:rPr>
          <w:sz w:val="20"/>
          <w:szCs w:val="20"/>
          <w:color w:val="auto"/>
        </w:rPr>
      </w:pPr>
    </w:p>
    <w:p>
      <w:pPr>
        <w:ind w:left="1000" w:right="1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early-stage clinical trials;</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preclinical studies and clinical trials, the timing of regulatory approvals and the value of our ordinary shares;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75" w:lineRule="exact"/>
        <w:rPr>
          <w:rFonts w:ascii="Arial" w:cs="Arial" w:eastAsia="Arial" w:hAnsi="Arial"/>
          <w:sz w:val="18"/>
          <w:szCs w:val="18"/>
          <w:color w:val="auto"/>
        </w:rPr>
      </w:pPr>
    </w:p>
    <w:p>
      <w:pPr>
        <w:ind w:left="1000" w:right="7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establish commercial capabilities or enter into agreements with third parties to market, sell and distribute our product candidates;</w:t>
      </w:r>
    </w:p>
    <w:p>
      <w:pPr>
        <w:spacing w:after="0" w:line="75"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dependence on third parties to perform critical activities related to the research, development and manufacturing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60"/>
          </w:cols>
          <w:pgMar w:left="32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general market, political and economic conditions;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22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offering.</w:t>
      </w:r>
    </w:p>
    <w:p>
      <w:pPr>
        <w:spacing w:after="0" w:line="192"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addition, statements that “we believe” and other similar statements reflect our belief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estimate that we will receive net proceeds from this offering of approximately $113.8 million (€97.3 million) (or approximately $131.3 million (€112.2 million) if the underwriters exercise in full their overallotment option), based on an assumed initial public offering price of $18.00 per ordinary share, which is the midpoint of the estimated initial offering price range set forth on the cover page of this prospectus, and after deducting the underwriting discounts and commissions and estimated expenses of the offering that are payable by 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expect to use the net proceeds from this offering as follows:</w:t>
      </w:r>
    </w:p>
    <w:p>
      <w:pPr>
        <w:spacing w:after="0" w:line="131" w:lineRule="exact"/>
        <w:rPr>
          <w:sz w:val="20"/>
          <w:szCs w:val="20"/>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$38 million (€32 million) to develop our product candidate PHVS416;</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$46 million (€39 million) to develop our product candidate PHVS719;</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$9 million (€8 million) for additional clinical development and product discovery;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225"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 xml:space="preserve">Based on our planned use of the net proceeds of the offering and our current cash and current financial assets, we estimate that such funds will be sufficient to enable us to fund our business through at least the next 24 months. We expect our net proceeds to be more than sufficient to fund the RAPIDe-1 Phase 2 clinical trial of PHVS416, the Phase 2 clinical trial for prophylaxis, the bridging study between our formulation of PHVS719 and PHVS416, and the </w:t>
      </w:r>
      <w:r>
        <w:rPr>
          <w:rFonts w:ascii="Arial" w:cs="Arial" w:eastAsia="Arial" w:hAnsi="Arial"/>
          <w:sz w:val="14"/>
          <w:szCs w:val="14"/>
          <w:color w:val="auto"/>
        </w:rPr>
        <w:t>14</w:t>
      </w:r>
      <w:r>
        <w:rPr>
          <w:rFonts w:ascii="Arial" w:cs="Arial" w:eastAsia="Arial" w:hAnsi="Arial"/>
          <w:sz w:val="17"/>
          <w:szCs w:val="17"/>
          <w:color w:val="auto"/>
        </w:rPr>
        <w:t>C-PHA121 trial to characterize its absorption, metabolism and excretion. We have based this estimate on assumptions that may prove to be incorrect, and we could use our available capital resources sooner than we currently expect.</w:t>
      </w:r>
    </w:p>
    <w:p>
      <w:pPr>
        <w:spacing w:after="0" w:line="176"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expected use of the net proceeds from this offering represents our current intentions based upon our present plans and business conditions, which could change in the future as our plans and business conditions evolve. 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PHVS416 and PHVS719 or any other future clinical development or product discovery program may not result in marketing approval. To the extent that we fail to obtain approval to market our product candidates PHVS416 and PHVS719 or any other clinical development or product discovery program in a timely manner and have to continue clinical trials over a longer period of time, our research and development expenses may further increase. We cannot assure that we will be able to successfully develop and commercialize our product candidates PHVS416 and PHVS719 or any other future clinical development or product discovery program, if approved for marketing, due to risks and uncertainties including those factors described above. See “Risk Factors.”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PHVS416 and PHVS719 or any other future clinical development or product discovery program, as well as maintaining our existing collaborations and any collaborations that we may enter into with third parties for our product candidates and any unforeseen cash needs. As a result, our Board will have broad discretion in applying the net proceeds of this offering, and investors will be relying on our judgment regarding the application of the net proceeds of this offering.</w:t>
      </w:r>
    </w:p>
    <w:p>
      <w:pPr>
        <w:spacing w:after="0" w:line="176" w:lineRule="exact"/>
        <w:rPr>
          <w:sz w:val="20"/>
          <w:szCs w:val="20"/>
          <w:color w:val="auto"/>
        </w:rPr>
      </w:pPr>
    </w:p>
    <w:p>
      <w:pPr>
        <w:ind w:right="240" w:firstLine="449"/>
        <w:spacing w:after="0" w:line="279" w:lineRule="auto"/>
        <w:rPr>
          <w:sz w:val="20"/>
          <w:szCs w:val="20"/>
          <w:color w:val="auto"/>
        </w:rPr>
      </w:pPr>
      <w:r>
        <w:rPr>
          <w:rFonts w:ascii="Arial" w:cs="Arial" w:eastAsia="Arial" w:hAnsi="Arial"/>
          <w:sz w:val="17"/>
          <w:szCs w:val="17"/>
          <w:color w:val="auto"/>
        </w:rPr>
        <w:t>Each $1.00 (€0.854) increase or decrease in the assumed initial public offering price of $18.00 (€15.38) per ordinary share would increase or decrease our net proceeds from this offering by $6.5 (€5.5) million, assuming that the number of ordinary shares offered by us, as set forth on the cover page of this prospectus, remains the same and after deducting underwriting discounts and commissions. We may also increase or decrease the number of ordinary shares we are offering. Each increase or decrease in the number of ordinary shares offered by us 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1.0 million shares would increase or decrease the net proceeds to us from the sale of the ordinary shares we are offering by $16.7 (€14.3) million, assuming that the assumed initial public offering price remains the same and after deducting underwriting discounts and commissions. Each increase in the number of ordinary shares offered by us by 1.0 million shares together with a concomitant $1.00 (€0.854) increase in the assumed initial public offering price would increase the net proceeds to us from the sale of the ordinary shares we are offering by $24.1 (€20.6) million, after deducting underwriting discounts and commissions. Each decrease in the number of ordinary shares offered by us by 1.0 million shares together with a concomitant $1.00 (€0.854) decrease in the assumed initial public offering price would decrease the net proceeds to us from the sale of the ordinary shares we are offering by $22.3 (€19.0) million, after deducting underwriting discounts and commissions. The information on net proceeds payable to us discussed above is illustrative only and will adjust based on the actual public offering price, the actual number of ordinary shares offered by us and other terms of the offering determined at pricing.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80" w:firstLine="449"/>
        <w:spacing w:after="0" w:line="290" w:lineRule="auto"/>
        <w:rPr>
          <w:sz w:val="20"/>
          <w:szCs w:val="20"/>
          <w:color w:val="auto"/>
        </w:rPr>
      </w:pPr>
      <w:r>
        <w:rPr>
          <w:rFonts w:ascii="Arial" w:cs="Arial" w:eastAsia="Arial" w:hAnsi="Arial"/>
          <w:sz w:val="16"/>
          <w:szCs w:val="16"/>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and following the consummation of this offering, we may only pay dividends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by our Articles of Association that will be effective upon consummation of this offering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6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Under our Articles of Association that will be effective upon consummation of this offering,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shall be added to our reserves. After such reservation, any remaining profit will be at the disposal of the general meeting at the proposal of our Board for distribution on our ordinary shares, subject to the applicable restrictions of Dutch law. Our Board is permitted, subject to certain requirements, to declare interim dividends without the approval of the general meeting. 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320" w:top="459"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our cash and our total capitalization (defined as total debt and shareholders’ equity) as of September 30, 2020:</w:t>
      </w:r>
    </w:p>
    <w:p>
      <w:pPr>
        <w:spacing w:after="0" w:line="142" w:lineRule="exact"/>
        <w:rPr>
          <w:sz w:val="20"/>
          <w:szCs w:val="20"/>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as adjusted basis to give effect to the closing of our Series C financing; and</w:t>
      </w:r>
    </w:p>
    <w:p>
      <w:pPr>
        <w:spacing w:after="0" w:line="130" w:lineRule="exact"/>
        <w:rPr>
          <w:rFonts w:ascii="Arial" w:cs="Arial" w:eastAsia="Arial" w:hAnsi="Arial"/>
          <w:sz w:val="18"/>
          <w:szCs w:val="18"/>
          <w:color w:val="auto"/>
        </w:rPr>
      </w:pPr>
    </w:p>
    <w:p>
      <w:pPr>
        <w:ind w:left="1000" w:right="140" w:hanging="547"/>
        <w:spacing w:after="0" w:line="301"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an as further adjusted basis to also give effect to the conversion of all of our preferred shares into ordinary shares and the sale of ordinary shares by us in the offering (assuming no exercise of the underwriters’ option to purchase additional shares), at an assumed initial public offering price of $18.00 (€15.38) per ordinary share, which is the midpoint of the estimated initial offering price range set forth on the cover page of this prospectus, after deducting the estimated underwriting discounts and commissions and estimated offering expenses.</w:t>
      </w:r>
    </w:p>
    <w:p>
      <w:pPr>
        <w:spacing w:after="0" w:line="15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You should read this table together with our consolidated financial statements and related notes included in this prospectus, as well as the sections of this prospectus titled “Selected Consolidated Financial Data” and “Management’s Discussion and Analysis of Financial Condition and Results of Operations” and the other financial information included elsewhere in this prospectus.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As of September 30, 2020</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30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Actual</w:t>
            </w:r>
          </w:p>
        </w:tc>
        <w:tc>
          <w:tcPr>
            <w:tcW w:w="14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Further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 xml:space="preserve">Adjusted </w:t>
            </w:r>
            <w:r>
              <w:rPr>
                <w:rFonts w:ascii="Arial" w:cs="Arial" w:eastAsia="Arial" w:hAnsi="Arial"/>
                <w:sz w:val="12"/>
                <w:szCs w:val="12"/>
                <w:b w:val="1"/>
                <w:bCs w:val="1"/>
                <w:color w:val="auto"/>
                <w:w w:val="93"/>
              </w:rPr>
              <w:t>(1) (2)</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80" w:type="dxa"/>
            <w:vAlign w:val="bottom"/>
            <w:tcBorders>
              <w:top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41,948,476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109,131,809</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206,391,955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loans and borrowings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0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0"/>
              </w:rPr>
              <w:t>Ordinary shares, €0.01 par value, 4,850,000 shares outstanding on an actual basis and on an as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ind w:left="540"/>
              <w:spacing w:after="0"/>
              <w:rPr>
                <w:sz w:val="20"/>
                <w:szCs w:val="20"/>
                <w:color w:val="auto"/>
              </w:rPr>
            </w:pPr>
            <w:r>
              <w:rPr>
                <w:rFonts w:ascii="Arial" w:cs="Arial" w:eastAsia="Arial" w:hAnsi="Arial"/>
                <w:sz w:val="18"/>
                <w:szCs w:val="18"/>
                <w:color w:val="auto"/>
                <w:w w:val="94"/>
              </w:rPr>
              <w:t>adjusted basis; ordinary shares, €0.12 par value, 30,519,276 shares outstanding on an as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540"/>
              <w:spacing w:after="0"/>
              <w:rPr>
                <w:sz w:val="20"/>
                <w:szCs w:val="20"/>
                <w:color w:val="auto"/>
              </w:rPr>
            </w:pPr>
            <w:r>
              <w:rPr>
                <w:rFonts w:ascii="Arial" w:cs="Arial" w:eastAsia="Arial" w:hAnsi="Arial"/>
                <w:sz w:val="18"/>
                <w:szCs w:val="18"/>
                <w:color w:val="auto"/>
              </w:rPr>
              <w:t>further adjusted basis</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48,500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48,500</w:t>
            </w:r>
          </w:p>
        </w:tc>
        <w:tc>
          <w:tcPr>
            <w:tcW w:w="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3,662,313</w:t>
            </w:r>
          </w:p>
        </w:tc>
        <w:tc>
          <w:tcPr>
            <w:tcW w:w="0" w:type="dxa"/>
            <w:vAlign w:val="bottom"/>
          </w:tcPr>
          <w:p>
            <w:pPr>
              <w:spacing w:after="0"/>
              <w:rPr>
                <w:sz w:val="1"/>
                <w:szCs w:val="1"/>
                <w:color w:val="auto"/>
              </w:rPr>
            </w:pPr>
          </w:p>
        </w:tc>
      </w:tr>
      <w:tr>
        <w:trPr>
          <w:trHeight w:val="202"/>
        </w:trPr>
        <w:tc>
          <w:tcPr>
            <w:tcW w:w="7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Series A preferred shares, €0.01 par value, 5,242,850 shares outstanding on an actual basis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 an as adjusted basis; 0 shares outstanding on an as further adjusted basis</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52,429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52,429</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3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89"/>
              </w:rPr>
              <w:t>Series B preferred shares, €0.01 par value, 7,650,147 shares outstanding on an actual basis and</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540"/>
              <w:spacing w:after="0"/>
              <w:rPr>
                <w:sz w:val="20"/>
                <w:szCs w:val="20"/>
                <w:color w:val="auto"/>
              </w:rPr>
            </w:pPr>
            <w:r>
              <w:rPr>
                <w:rFonts w:ascii="Arial" w:cs="Arial" w:eastAsia="Arial" w:hAnsi="Arial"/>
                <w:sz w:val="18"/>
                <w:szCs w:val="18"/>
                <w:color w:val="auto"/>
              </w:rPr>
              <w:t>an as adjusted basis; 0 shares outstanding on an as further adjusted basis</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76,501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76,501</w:t>
            </w:r>
          </w:p>
        </w:tc>
        <w:tc>
          <w:tcPr>
            <w:tcW w:w="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Series C preferred shares, €0.01 par value, 0 shares outstanding on an actual basis; 5,826,279</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5"/>
              </w:rPr>
              <w:t>shares outstanding on an adjusted basis; 0 shares outstanding on an as further adjusted</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basis</w:t>
            </w:r>
            <w:r>
              <w:rPr>
                <w:rFonts w:ascii="Arial" w:cs="Arial" w:eastAsia="Arial" w:hAnsi="Arial"/>
                <w:sz w:val="15"/>
                <w:szCs w:val="15"/>
                <w:color w:val="auto"/>
              </w:rPr>
              <w:t>(3)</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58,263</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Share premium</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70,824,510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137,949,580</w:t>
            </w:r>
          </w:p>
        </w:tc>
        <w:tc>
          <w:tcPr>
            <w:tcW w:w="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231,783,105</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1,442,563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1,442,563</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1,442,563</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Currency translation reserve</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361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13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(33,754,742)</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(33,754,742)</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(33,754,742)</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equity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0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38,690,122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105,873,455</w:t>
            </w: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203,133,600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38,690,122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105,873,455</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203,133,600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6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620" w:hanging="452"/>
        <w:spacing w:after="0" w:line="25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 adjusted and as further adjusted information is presented for informational purposes only and is not necessarily indicative of what our financial position and results would have been had these transactions actually occurred at such date, nor is it indicative of our future financial position or performance.</w:t>
      </w:r>
    </w:p>
    <w:p>
      <w:pPr>
        <w:spacing w:after="0" w:line="2" w:lineRule="exact"/>
        <w:rPr>
          <w:rFonts w:ascii="Arial" w:cs="Arial" w:eastAsia="Arial" w:hAnsi="Arial"/>
          <w:sz w:val="18"/>
          <w:szCs w:val="18"/>
          <w:color w:val="auto"/>
        </w:rPr>
      </w:pPr>
    </w:p>
    <w:p>
      <w:pPr>
        <w:ind w:left="460" w:right="120" w:hanging="452"/>
        <w:spacing w:after="0" w:line="26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$1.00 (€0.854) increase or decrease in the assumed initial public offering price of $18.00 (€15.38) per ordinary share, which is the midpoint of the estimated initial offering price range set forth on the cover page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spacing w:after="0" w:line="284" w:lineRule="auto"/>
        <w:rPr>
          <w:sz w:val="20"/>
          <w:szCs w:val="20"/>
          <w:color w:val="auto"/>
        </w:rPr>
      </w:pPr>
      <w:r>
        <w:rPr>
          <w:rFonts w:ascii="Arial" w:cs="Arial" w:eastAsia="Arial" w:hAnsi="Arial"/>
          <w:sz w:val="16"/>
          <w:szCs w:val="16"/>
          <w:color w:val="auto"/>
        </w:rPr>
        <w:t>of this prospectus, would increase or decrease each of our as further adjusted cash, shareholders’ equity and total capitalization by approximately $6.5 (€5.5) million, assuming that the number of ordinary shares offered by us, as set forth on the cover page of this prospectus, remains the same. We may also increase or decrease the number of ordinary shares we are offering. Each increase or decrease in the number of ordinary shares offered by us by 1.0 million shares would increase or decrease each of our as further adjusted cash, shareholders’ equity and total capitalization by approximately $16.7 (€14.3) million, assuming that the assumed initial public offering price remains the same, and after deducting the underwriting discounts and commissions. The as further adjusted information discussed above is illustrative only and will adjust based on the actual initial public offering price, the actual number of ordinary shares offered by us, and other terms of the offering determined at pricing.</w:t>
      </w:r>
    </w:p>
    <w:p>
      <w:pPr>
        <w:spacing w:after="0" w:line="2" w:lineRule="exact"/>
        <w:rPr>
          <w:sz w:val="20"/>
          <w:szCs w:val="20"/>
          <w:color w:val="auto"/>
        </w:rPr>
      </w:pPr>
    </w:p>
    <w:p>
      <w:pPr>
        <w:ind w:left="460" w:right="240" w:hanging="452"/>
        <w:spacing w:after="0" w:line="26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November 3, 2020, we entered into a subscription agreement, pursuant to which we sold 5,826,279 Series C preferred shares for an aggregate investment amount of approximately $80 million.</w:t>
      </w:r>
    </w:p>
    <w:p>
      <w:pPr>
        <w:spacing w:after="0" w:line="18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table and calculations above are based on the number of ordinary shares outstanding as of September 30, 2020, on an as adjusted basis to give effect to the closing of our Series C financing and on an as further adjusted basis to also give effect to the conversion of all of our preferred shares into ordinary shares and the sale of ordinary shares by us in the offering, but exclude:</w:t>
      </w:r>
    </w:p>
    <w:p>
      <w:pPr>
        <w:spacing w:after="0" w:line="89" w:lineRule="exact"/>
        <w:rPr>
          <w:sz w:val="20"/>
          <w:szCs w:val="20"/>
          <w:color w:val="auto"/>
        </w:rPr>
      </w:pPr>
    </w:p>
    <w:p>
      <w:pPr>
        <w:ind w:left="10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1,572,295 of our ordinary shares issuable upon the exercise of options outstanding as of January 1, 2021 at a weighted average exercise price of €2.22 per ordinary share;</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1,193,474 of our ordinary shares covered by additional option awards available for future issuance under our equity incentive plan as of January 1, 2021;</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154,945 RSUs held by Senior Management and other employees as of February 1, 2021;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options to purchase an aggregate of 873,000 ordinary shares pursuant to the IPO Grants.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32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If you invest in our ordinary shares, your ownership interest will be diluted to the extent of the difference between the initial public offering price per ordinary share paid by purchasers of our ordinary shares and the as further adjusted net tangible book value per ordinary share immediately after the consummation of this offering. At September 30, 2020, we had an as adjusted net tangible book value of €105.9 ($123.9) million, corresponding to an as adjusted net tangible book value of €4.49 ($5.26) per share. As adjusted net tangible book value per share represents the amount of our total assets less our total liabilities, divided by the total number of our shares outstanding at September 30, 2020 after giving effect to the closing of the Series C financing.</w:t>
      </w:r>
    </w:p>
    <w:p>
      <w:pPr>
        <w:spacing w:after="0" w:line="16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After giving effect to (i) the closing of the Series C financing, (ii) the conversion of all of our preferred shares into ordinary shares and (iii) the sale by us of the 6,950,000 ordinary shares offered by us in the offering, and assuming an initial public offering price of $18.00 per ordinary share, which is the midpoint of the estimated initial offering price range set forth on the cover page of this prospectus, after deducting the estimated underwriting discounts and commissions and estimated offering expenses payable by us, our as further adjusted net tangible book value at September 30, 2020 would have been approximately €203.1 ($237.8) million, representing €6.66 ($7.79) per share. This represents an immediate increase in as adjusted net tangible book value of €2.17 ($2.53) per share to existing shareholders and an immediate dilution in as further adjusted net tangible book value of €8.72 ($10.21) per share to new investors purchasing ordinary shares in this offering. Dilution for this purpose represents the difference between the price per ordinary share paid by these purchasers and the as further adjusted net tangible book value per ordinary share immediately after the consummation of the offering.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ind w:left="460"/>
              <w:spacing w:after="0"/>
              <w:rPr>
                <w:sz w:val="20"/>
                <w:szCs w:val="20"/>
                <w:color w:val="auto"/>
              </w:rPr>
            </w:pPr>
            <w:r>
              <w:rPr>
                <w:rFonts w:ascii="Arial" w:cs="Arial" w:eastAsia="Arial" w:hAnsi="Arial"/>
                <w:sz w:val="18"/>
                <w:szCs w:val="18"/>
                <w:color w:val="auto"/>
              </w:rPr>
              <w:t>The following table illustrates this dilution to new investors purchasing ordinary shares in the offering:</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9"/>
        </w:trPr>
        <w:tc>
          <w:tcPr>
            <w:tcW w:w="9700" w:type="dxa"/>
            <w:vAlign w:val="bottom"/>
          </w:tcPr>
          <w:p>
            <w:pPr>
              <w:spacing w:after="0"/>
              <w:rPr>
                <w:sz w:val="24"/>
                <w:szCs w:val="2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r>
      <w:tr>
        <w:trPr>
          <w:trHeight w:val="209"/>
        </w:trPr>
        <w:tc>
          <w:tcPr>
            <w:tcW w:w="9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15.38</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9700" w:type="dxa"/>
            <w:vAlign w:val="bottom"/>
          </w:tcPr>
          <w:p>
            <w:pPr>
              <w:spacing w:after="0"/>
              <w:rPr>
                <w:sz w:val="20"/>
                <w:szCs w:val="20"/>
                <w:color w:val="auto"/>
              </w:rPr>
            </w:pPr>
            <w:r>
              <w:rPr>
                <w:rFonts w:ascii="Arial" w:cs="Arial" w:eastAsia="Arial" w:hAnsi="Arial"/>
                <w:sz w:val="18"/>
                <w:szCs w:val="18"/>
                <w:color w:val="auto"/>
              </w:rPr>
              <w:t>As adjusted net tangible book value per ordinary share at September 30, 2020</w:t>
            </w:r>
          </w:p>
        </w:tc>
        <w:tc>
          <w:tcPr>
            <w:tcW w:w="460" w:type="dxa"/>
            <w:vAlign w:val="bottom"/>
          </w:tcPr>
          <w:p>
            <w:pPr>
              <w:jc w:val="right"/>
              <w:spacing w:after="0"/>
              <w:rPr>
                <w:sz w:val="20"/>
                <w:szCs w:val="20"/>
                <w:color w:val="auto"/>
              </w:rPr>
            </w:pPr>
            <w:r>
              <w:rPr>
                <w:rFonts w:ascii="Arial" w:cs="Arial" w:eastAsia="Arial" w:hAnsi="Arial"/>
                <w:sz w:val="18"/>
                <w:szCs w:val="18"/>
                <w:color w:val="auto"/>
              </w:rPr>
              <w:t>4.49</w:t>
            </w:r>
          </w:p>
        </w:tc>
        <w:tc>
          <w:tcPr>
            <w:tcW w:w="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9"/>
                <w:szCs w:val="19"/>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Increase in as further adjusted net tangible book value per ordinary share attributable to new investors</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As further adjusted net tangible book value per ordinary share after the offering</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6.66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7.79</w:t>
            </w:r>
          </w:p>
        </w:tc>
      </w:tr>
      <w:tr>
        <w:trPr>
          <w:trHeight w:val="27"/>
        </w:trPr>
        <w:tc>
          <w:tcPr>
            <w:tcW w:w="9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10.21</w:t>
            </w:r>
          </w:p>
        </w:tc>
      </w:t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ordinary share for new investor</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56.7%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r>
    </w:tbl>
    <w:p>
      <w:pPr>
        <w:spacing w:after="0" w:line="187" w:lineRule="exact"/>
        <w:rPr>
          <w:sz w:val="20"/>
          <w:szCs w:val="20"/>
          <w:color w:val="auto"/>
        </w:rPr>
      </w:pPr>
    </w:p>
    <w:p>
      <w:pPr>
        <w:ind w:right="220" w:firstLine="449"/>
        <w:spacing w:after="0" w:line="286" w:lineRule="auto"/>
        <w:rPr>
          <w:sz w:val="20"/>
          <w:szCs w:val="20"/>
          <w:color w:val="auto"/>
        </w:rPr>
      </w:pPr>
      <w:r>
        <w:rPr>
          <w:rFonts w:ascii="Arial" w:cs="Arial" w:eastAsia="Arial" w:hAnsi="Arial"/>
          <w:sz w:val="17"/>
          <w:szCs w:val="17"/>
          <w:color w:val="auto"/>
        </w:rPr>
        <w:t>If the underwriters exercise their overallotment option in full, the as further adjusted net tangible book value per ordinary share after the offering would be €6.91 ($8.09) per ordinary share, the increase in the as adjusted net tangible book value per ordinary share would be €2.42 ($2.83) per ordinary share and the dilution to new investors purchasing ordinary share in this offering would be €8.47 ($9.91) per ordinary share.</w:t>
      </w:r>
    </w:p>
    <w:p>
      <w:pPr>
        <w:spacing w:after="0" w:line="165" w:lineRule="exact"/>
        <w:rPr>
          <w:sz w:val="20"/>
          <w:szCs w:val="20"/>
          <w:color w:val="auto"/>
        </w:rPr>
      </w:pPr>
    </w:p>
    <w:p>
      <w:pPr>
        <w:ind w:right="80" w:firstLine="449"/>
        <w:spacing w:after="0" w:line="284" w:lineRule="auto"/>
        <w:rPr>
          <w:sz w:val="20"/>
          <w:szCs w:val="20"/>
          <w:color w:val="auto"/>
        </w:rPr>
      </w:pPr>
      <w:r>
        <w:rPr>
          <w:rFonts w:ascii="Arial" w:cs="Arial" w:eastAsia="Arial" w:hAnsi="Arial"/>
          <w:sz w:val="16"/>
          <w:szCs w:val="16"/>
          <w:color w:val="auto"/>
        </w:rPr>
        <w:t>Each $1.00 (€0.854) increase or decrease in the initial assumed public offering price of $18.00 (€15.38) per ordinary share, which is the midpoint of the estimated initial offering price range set forth on the cover page of this prospectus, would increase or decrease our as further adjusted net tangible book value by €5.5 ($6.5) million and the dilution to investors in the offering by €0.67 ($0.79) per ordinary share, assuming that the number of ordinary shares offered by us, as set forth on the cover page of this prospectus, remains the same. We may also increase or decrease the number of ordinary shares we are offering. Each increase or decrease of ordinary shares offered by us by 1.0 million shares would increase or decrease our as further adjusted net tangible book value by €14.3 ($16.7) million and the dilution to investors in the offering by €0.26 ($0.30) per ordinary share, assuming that the assumed initial public offering price remains the same and after deducting underwriting discounts and commissions. Each increase of ordinary shares offered by us by</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1.0 million shares together with a concomitant $1.00 (€0.854) increase in the initial assumed public offering price, would increase our as further adjusted net tangible book value by €20.6 ($24.1) million and the dilution to investors in the offering by €0.41 ($0.48) per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ordinary share, after deducting underwriting discounts and commissions. Each decrease of ordinary shares offered by us by 1.0 million shares together with a concomitant $1.00 (€0.854) decrease in the assumed initial public offering price, would decrease our as further adjusted net tangible book value by €19.0 ($22.3) million and the dilution to investors in the offering by €0.44 ($0.51) per ordinary share, after deducting underwriting discounts and commissions.</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dilution information discussed above is illustrative only and will adjust based on the actual initial public offering price, the actual number of ordinary shares offered by us and other terms of the offering determined at pricing.</w:t>
      </w:r>
    </w:p>
    <w:p>
      <w:pPr>
        <w:spacing w:after="0" w:line="185"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In addition, if the underwriters exercise their overallotment option in full, the number of shares held by the existing shareholders after the offering would be reduced to 74.7% of the total number of ordinary shares outstanding after the offering, and the number of ordinary shares held by new investors participating in the offering would increase to 7,992,500, or 25.3% of the total number of ordinary shares outstanding after the offering.</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on an as further adjusted basis as of September 30, 2020, giving effect to (i) the closing of the Series C financing,</w:t>
      </w:r>
    </w:p>
    <w:p>
      <w:pPr>
        <w:spacing w:after="0" w:line="46" w:lineRule="exact"/>
        <w:rPr>
          <w:sz w:val="20"/>
          <w:szCs w:val="20"/>
          <w:color w:val="auto"/>
        </w:rPr>
      </w:pPr>
    </w:p>
    <w:p>
      <w:pPr>
        <w:ind w:right="200" w:firstLine="8"/>
        <w:spacing w:after="0" w:line="253"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of all of our preferred shares into ordinary shares and (iii) the sale by us of the 6,950,000 ordinary shares offered by us in the offering, the consideration paid to us in cash for shares purchased from us by our existing shareholders and by new investors for ordinary shares purchased in the offering, based on an assumed initial public offering price of $18.00 per ordinary share, which is the midpoint of the estimated initial offering price range set forth on the cover page of this prospectus, and before deducting underwriting discounts and commissions and estimated offering expenses payable by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206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Pr>
          <w:p>
            <w:pPr>
              <w:spacing w:after="0"/>
              <w:rPr>
                <w:sz w:val="12"/>
                <w:szCs w:val="12"/>
                <w:color w:val="auto"/>
              </w:rPr>
            </w:pPr>
          </w:p>
        </w:tc>
        <w:tc>
          <w:tcPr>
            <w:tcW w:w="250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Total consideration</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6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55"/>
        </w:trPr>
        <w:tc>
          <w:tcPr>
            <w:tcW w:w="58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Percent</w:t>
            </w:r>
          </w:p>
        </w:tc>
        <w:tc>
          <w:tcPr>
            <w:tcW w:w="3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Amount</w:t>
            </w:r>
          </w:p>
        </w:tc>
        <w:tc>
          <w:tcPr>
            <w:tcW w:w="50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85"/>
              </w:rPr>
              <w:t>share</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23,569,276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77.23%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€140,202,137</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New investors</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6,950,000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22.77%</w:t>
            </w:r>
          </w:p>
        </w:tc>
        <w:tc>
          <w:tcPr>
            <w:tcW w:w="16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€106,877,403</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15.38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30,519,276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16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247,079,540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tables and calculations above are based on the number of ordinary shares outstanding as of September 30, 2020, on an as adjusted basis to give effect to the closing of our Series C financing and on an as further adjusted basis to also give effect to the conversion of all of our preferred shares into ordinary shares and the sale of ordinary shares by us in the offering, but exclude:</w:t>
      </w:r>
    </w:p>
    <w:p>
      <w:pPr>
        <w:spacing w:after="0" w:line="89" w:lineRule="exact"/>
        <w:rPr>
          <w:sz w:val="20"/>
          <w:szCs w:val="20"/>
          <w:color w:val="auto"/>
        </w:rPr>
      </w:pPr>
    </w:p>
    <w:p>
      <w:pPr>
        <w:ind w:left="1000" w:right="38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1,572,295 of our ordinary shares issuable upon the exercise of options outstanding as of January 1, 2021 at an exercise price of €2.22 per ordinary share;</w:t>
      </w:r>
    </w:p>
    <w:p>
      <w:pPr>
        <w:spacing w:after="0" w:line="75"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1,193,474 of our ordinary shares covered by additional option awards available for future issuance under our equity incentive plan as of January 1, 2021;</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154,945 RSUs held by Senior Management and other employees as of February 1, 2021;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options to purchase an aggregate of 873,000 ordinary shares pursuant to the IPO Grants.</w:t>
      </w:r>
    </w:p>
    <w:p>
      <w:pPr>
        <w:spacing w:after="0" w:line="22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right="580" w:firstLine="449"/>
        <w:spacing w:after="0" w:line="286" w:lineRule="auto"/>
        <w:rPr>
          <w:sz w:val="20"/>
          <w:szCs w:val="20"/>
          <w:color w:val="auto"/>
        </w:rPr>
      </w:pPr>
      <w:r>
        <w:rPr>
          <w:rFonts w:ascii="Arial" w:cs="Arial" w:eastAsia="Arial" w:hAnsi="Arial"/>
          <w:sz w:val="17"/>
          <w:szCs w:val="17"/>
          <w:color w:val="auto"/>
        </w:rPr>
        <w:t>You should read the following selected consolidated financial data in conjunction with our consolidated financial statements and related notes included in this prospectus and the sections of this prospectus titled “Management’s Discussion and Analysis of Financial Condition and Results of Operations.” Our historical results for any prior period are not necessarily indicative of results to be expected in any future period.</w:t>
      </w:r>
    </w:p>
    <w:p>
      <w:pPr>
        <w:spacing w:after="0" w:line="165"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The consolidated statement of profit or loss and other comprehensive income (loss) for the years ended December 31, 2019 and 2018 and the statements of financial position data as of December 31, 2019 and 2018 are derived from our audited consolidated financial statements and the related notes thereto included elsewhere in this prospectus. The consolidated statement of profit or loss and other comprehensive income (loss) for the nine months ended September 30, 2020 and 2019 and the statement of financial position data as of September 30, 2020 are derived from our unaudited condensed consolidated financial statements and the related notes thereto included elsewhere in this prospectus. We have prepared the unaudited condensed consolidated financial statements on the same basis as the audited consolidated financial statements, and the unaudited financial data include, in our opinion, all adjustments, consisting only of normal recurring adjustments that we consider necessary for a fair statement of our consolidated financial position and results of operations for these periods. Our historical results are not necessarily indicative of results expected for future periods and our operating results for the nine months ended September 30, 2020 are not necessarily indicative of the results that may be expected for the entire year ending December 31, 2020.</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books and records in euros, and we prepare our financial statements in accordance with IFRS, as issued by the IASB.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 and Other Comprehensive Income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5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24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5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24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(11,797,986)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(3,154,877)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(5,684,562)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(3,645,413)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(3,447,208)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(1,409,972)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(2,325,719)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(668,121)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(15,245,194)</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(4,564,849)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(8,010,281)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(4,313,534)</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(176,602)</w:t>
            </w:r>
          </w:p>
        </w:tc>
        <w:tc>
          <w:tcPr>
            <w:tcW w:w="2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(15,421,796)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(4,568,776)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(8,027,162)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 net of tax</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(15,421,796)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(4,568,776)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(8,027,162)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Loss attributable to:</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Company</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(15,421,796)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(4,568,776)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(8,027,162)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loss attributable to:</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Company</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(15,421,796)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(4,568,776)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(8,027,162)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Loss per share attributable to equity holders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r>
              <w:rPr>
                <w:rFonts w:ascii="Arial" w:cs="Arial" w:eastAsia="Arial" w:hAnsi="Arial"/>
                <w:sz w:val="15"/>
                <w:szCs w:val="15"/>
                <w:color w:val="auto"/>
              </w:rPr>
              <w:t>(1)(2)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5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Basic loss per share is calculated by dividing the loss attributable to equity holders of the Company by the weighted average number of issued and outstanding ordinary shares during the period.</w:t>
      </w:r>
    </w:p>
    <w:p>
      <w:pPr>
        <w:spacing w:after="0" w:line="1" w:lineRule="exact"/>
        <w:rPr>
          <w:rFonts w:ascii="Arial" w:cs="Arial" w:eastAsia="Arial" w:hAnsi="Arial"/>
          <w:sz w:val="18"/>
          <w:szCs w:val="18"/>
          <w:color w:val="auto"/>
        </w:rPr>
      </w:pPr>
    </w:p>
    <w:p>
      <w:pPr>
        <w:ind w:left="460" w:right="24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Diluted loss per share is calculated by adjusting the weighted average number of ordinary shares outstanding to assume conversion of all dilutive potential ordinary shares. Because the Company is loss making, all of its potential ordinary shares had an antidilutive effect, if converted, and thus have been excluded from the computation of its diluted loss per share.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As of September 30,</w:t>
            </w:r>
          </w:p>
        </w:tc>
        <w:tc>
          <w:tcPr>
            <w:tcW w:w="25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43,766</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12,927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1,062,009</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258,379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49,044</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41,948,476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20,326,372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5,385,333</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43,054,251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20,597,678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5,434,377</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r>
              <w:rPr>
                <w:rFonts w:ascii="Arial" w:cs="Arial" w:eastAsia="Arial" w:hAnsi="Arial"/>
                <w:sz w:val="15"/>
                <w:szCs w:val="15"/>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177,430</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130,962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100,928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Share premium</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70,824,510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36,624,697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15,023,205</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1,442,563</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392,139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275,992</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Currency translation reserve</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361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(33,754,742)</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(18,474,250)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(10,447,088)</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38,690,122</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18,673,548</w:t>
            </w: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4,953,037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2,819,594</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517,771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246,983</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1,544,535</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1,406,359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234,357</w:t>
            </w:r>
          </w:p>
        </w:tc>
        <w:tc>
          <w:tcPr>
            <w:tcW w:w="0" w:type="dxa"/>
            <w:vAlign w:val="bottom"/>
          </w:tcPr>
          <w:p>
            <w:pPr>
              <w:spacing w:after="0"/>
              <w:rPr>
                <w:sz w:val="1"/>
                <w:szCs w:val="1"/>
                <w:color w:val="auto"/>
              </w:rPr>
            </w:pPr>
          </w:p>
        </w:tc>
      </w:tr>
      <w:tr>
        <w:trPr>
          <w:trHeight w:val="230"/>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4,364,129</w:t>
            </w:r>
          </w:p>
        </w:tc>
        <w:tc>
          <w:tcPr>
            <w:tcW w:w="3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1,924,130</w:t>
            </w:r>
          </w:p>
        </w:tc>
        <w:tc>
          <w:tcPr>
            <w:tcW w:w="3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43,054,251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20,597,678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5,434,377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5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520" w:hanging="452"/>
        <w:spacing w:after="0" w:line="31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had 5,242,850 Series A preferred shares, 7,650,147 Series B preferred shares and 4,850,000 ordinary shares outstanding as of September 30, 2020, 5,242,850 Series A preferred shares, 3,003,391 Series B preferred shares and 4,850,000 ordinary shares outstanding as of December 31, 2019 and 5,242,850 Series A preferred shares and 4,850,000 ordinary shares outstanding as of December 31, 2018.</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business is primarily conducted in the European Union, and we maintain our books and records in euros. We have presented results of operations in euros. In this prospectus, transactions from U.S. dollars to euros were made at the rate of €1.00 to $1.1705, the average exchange rate quoted as of September 30, 2020 by the European Central Bank.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the exchange rates between the euro and the U.S. dollar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0"/>
              </w:rPr>
              <w:t>Period-end</w:t>
            </w:r>
          </w:p>
        </w:tc>
        <w:tc>
          <w:tcPr>
            <w:tcW w:w="940" w:type="dxa"/>
            <w:vAlign w:val="bottom"/>
          </w:tcPr>
          <w:p>
            <w:pPr>
              <w:jc w:val="right"/>
              <w:ind w:right="158"/>
              <w:spacing w:after="0"/>
              <w:rPr>
                <w:sz w:val="20"/>
                <w:szCs w:val="20"/>
                <w:color w:val="auto"/>
              </w:rPr>
            </w:pPr>
            <w:r>
              <w:rPr>
                <w:rFonts w:ascii="Arial" w:cs="Arial" w:eastAsia="Arial" w:hAnsi="Arial"/>
                <w:sz w:val="14"/>
                <w:szCs w:val="14"/>
                <w:b w:val="1"/>
                <w:bCs w:val="1"/>
                <w:color w:val="auto"/>
              </w:rPr>
              <w:t>Average</w:t>
            </w: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Low</w:t>
            </w:r>
          </w:p>
        </w:tc>
        <w:tc>
          <w:tcPr>
            <w:tcW w:w="7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tcPr>
          <w:p>
            <w:pPr>
              <w:jc w:val="right"/>
              <w:ind w:right="98"/>
              <w:spacing w:after="0"/>
              <w:rPr>
                <w:sz w:val="20"/>
                <w:szCs w:val="20"/>
                <w:color w:val="auto"/>
              </w:rPr>
            </w:pPr>
            <w:r>
              <w:rPr>
                <w:rFonts w:ascii="Arial" w:cs="Arial" w:eastAsia="Arial" w:hAnsi="Arial"/>
                <w:sz w:val="14"/>
                <w:szCs w:val="14"/>
                <w:b w:val="1"/>
                <w:bCs w:val="1"/>
                <w:color w:val="auto"/>
              </w:rPr>
              <w:t>for period</w:t>
            </w:r>
          </w:p>
        </w:tc>
        <w:tc>
          <w:tcPr>
            <w:tcW w:w="8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right"/>
              <w:ind w:right="354"/>
              <w:spacing w:after="0" w:line="142" w:lineRule="exact"/>
              <w:rPr>
                <w:sz w:val="20"/>
                <w:szCs w:val="20"/>
                <w:color w:val="auto"/>
              </w:rPr>
            </w:pPr>
            <w:r>
              <w:rPr>
                <w:rFonts w:ascii="Arial" w:cs="Arial" w:eastAsia="Arial" w:hAnsi="Arial"/>
                <w:sz w:val="14"/>
                <w:szCs w:val="14"/>
                <w:b w:val="1"/>
                <w:bCs w:val="1"/>
                <w:color w:val="auto"/>
              </w:rPr>
              <w:t>(U.S. dollar per €)</w:t>
            </w: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4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2018</w:t>
            </w:r>
          </w:p>
        </w:tc>
        <w:tc>
          <w:tcPr>
            <w:tcW w:w="4920" w:type="dxa"/>
            <w:vAlign w:val="bottom"/>
            <w:gridSpan w:val="2"/>
          </w:tcPr>
          <w:p>
            <w:pPr>
              <w:jc w:val="right"/>
              <w:ind w:right="68"/>
              <w:spacing w:after="0"/>
              <w:rPr>
                <w:sz w:val="20"/>
                <w:szCs w:val="20"/>
                <w:color w:val="auto"/>
              </w:rPr>
            </w:pPr>
            <w:r>
              <w:rPr>
                <w:rFonts w:ascii="Arial" w:cs="Arial" w:eastAsia="Arial" w:hAnsi="Arial"/>
                <w:sz w:val="18"/>
                <w:szCs w:val="18"/>
                <w:color w:val="auto"/>
              </w:rPr>
              <w:t>1.145</w:t>
            </w: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1.1811</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1.1261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1.1234</w:t>
            </w: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1.1196</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1.0889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2020</w:t>
            </w:r>
          </w:p>
        </w:tc>
        <w:tc>
          <w:tcPr>
            <w:tcW w:w="4920" w:type="dxa"/>
            <w:vAlign w:val="bottom"/>
            <w:gridSpan w:val="2"/>
          </w:tcPr>
          <w:p>
            <w:pPr>
              <w:jc w:val="right"/>
              <w:ind w:right="68"/>
              <w:spacing w:after="0"/>
              <w:rPr>
                <w:sz w:val="20"/>
                <w:szCs w:val="20"/>
                <w:color w:val="auto"/>
              </w:rPr>
            </w:pPr>
            <w:r>
              <w:rPr>
                <w:rFonts w:ascii="Arial" w:cs="Arial" w:eastAsia="Arial" w:hAnsi="Arial"/>
                <w:sz w:val="18"/>
                <w:szCs w:val="18"/>
                <w:color w:val="auto"/>
              </w:rPr>
              <w:t>1.2271</w:t>
            </w: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1.1422</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1.0707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 Ended:</w:t>
            </w:r>
          </w:p>
        </w:tc>
        <w:tc>
          <w:tcPr>
            <w:tcW w:w="4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January 2021</w:t>
            </w:r>
          </w:p>
        </w:tc>
        <w:tc>
          <w:tcPr>
            <w:tcW w:w="4920" w:type="dxa"/>
            <w:vAlign w:val="bottom"/>
            <w:gridSpan w:val="2"/>
          </w:tcPr>
          <w:p>
            <w:pPr>
              <w:jc w:val="right"/>
              <w:ind w:right="68"/>
              <w:spacing w:after="0"/>
              <w:rPr>
                <w:sz w:val="20"/>
                <w:szCs w:val="20"/>
                <w:color w:val="auto"/>
              </w:rPr>
            </w:pPr>
            <w:r>
              <w:rPr>
                <w:rFonts w:ascii="Arial" w:cs="Arial" w:eastAsia="Arial" w:hAnsi="Arial"/>
                <w:sz w:val="18"/>
                <w:szCs w:val="18"/>
                <w:color w:val="auto"/>
              </w:rPr>
              <w:t>1.2136</w:t>
            </w: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1.2171</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1.2064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350"/>
        </w:trPr>
        <w:tc>
          <w:tcPr>
            <w:tcW w:w="3780" w:type="dxa"/>
            <w:vAlign w:val="bottom"/>
          </w:tcPr>
          <w:p>
            <w:pPr>
              <w:spacing w:after="0"/>
              <w:rPr>
                <w:sz w:val="24"/>
                <w:szCs w:val="24"/>
                <w:color w:val="auto"/>
              </w:rPr>
            </w:pPr>
          </w:p>
        </w:tc>
        <w:tc>
          <w:tcPr>
            <w:tcW w:w="4080" w:type="dxa"/>
            <w:vAlign w:val="bottom"/>
          </w:tcPr>
          <w:p>
            <w:pPr>
              <w:jc w:val="right"/>
              <w:ind w:right="2050"/>
              <w:spacing w:after="0"/>
              <w:rPr>
                <w:sz w:val="20"/>
                <w:szCs w:val="20"/>
                <w:color w:val="auto"/>
              </w:rPr>
            </w:pPr>
            <w:r>
              <w:rPr>
                <w:rFonts w:ascii="Arial" w:cs="Arial" w:eastAsia="Arial" w:hAnsi="Arial"/>
                <w:sz w:val="18"/>
                <w:szCs w:val="18"/>
                <w:color w:val="auto"/>
              </w:rPr>
              <w:t>80</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included elsewhere in this prospectus.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prospectus, particularly under the “Risk Factors” and “Cautionary Statement Regarding Forward-Looking Statements” sections.</w:t>
      </w:r>
    </w:p>
    <w:p>
      <w:pPr>
        <w:spacing w:after="0" w:line="296"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i w:val="1"/>
          <w:iCs w:val="1"/>
          <w:color w:val="auto"/>
        </w:rPr>
        <w:t>Our audited consolidated financial statements are included elsewhere in this prospectus. These financial statements are prepared pursuant to IFRS as issued by IASB. As permitted by the rules of the SEC for foreign private issuers, we do not reconcile our financial statements to U.S. GAAP.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Phase 1 completed trials to-date, we have observed that PHA121 was well tolerated and orally bioavailable.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anticipate commencing our RAPIDe-1 Phase 2 clinical trial of PHVS416 in 2021 and have Phase 2 data for the acute treatment of patients with HAE attacks in 2022. We are also planning to commence a Phase 2 clinical trial for prophylaxis in 2021 using twice-daily dosing of the PHVS416 soft capsules. Our primary objective with this trial is to assess the safety profile of PHVS416 dose regimens for prophylactic treatments in HAE patients. We also expect to conduct a bridging study between our formulation of PHVS719 and PHVS416 in a Phase 1 clinical trial starting in 2021.</w:t>
      </w:r>
    </w:p>
    <w:p>
      <w:pPr>
        <w:spacing w:after="0" w:line="182"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color w:val="auto"/>
        </w:rPr>
        <w:t>The COVID-19 outbreak has spread globally and severely restricted the level of economic activity around the world.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49"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interests of our employees and business partners. While the impact of COVID-19 on the Company’s operations and financial performance is limited, the extent to which COVID-19 may impact our financial condition or results of operations is uncertain. For instance, the ongoing spread of COVID-19 may continue to interrupt, or delay, clinical trial activities, regulatory reviews, manufacturing activities and supply chain. For example, we experienced an approximate two-month delay in starting the enrollment of our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adversely affect our operations.</w:t>
      </w:r>
    </w:p>
    <w:p>
      <w:pPr>
        <w:spacing w:after="0" w:line="178" w:lineRule="exact"/>
        <w:rPr>
          <w:sz w:val="20"/>
          <w:szCs w:val="20"/>
          <w:color w:val="auto"/>
        </w:rPr>
      </w:pPr>
    </w:p>
    <w:p>
      <w:pPr>
        <w:jc w:val="both"/>
        <w:ind w:right="40" w:firstLine="449"/>
        <w:spacing w:after="0" w:line="279" w:lineRule="auto"/>
        <w:rPr>
          <w:sz w:val="20"/>
          <w:szCs w:val="20"/>
          <w:color w:val="auto"/>
        </w:rPr>
      </w:pPr>
      <w:r>
        <w:rPr>
          <w:rFonts w:ascii="Arial" w:cs="Arial" w:eastAsia="Arial" w:hAnsi="Arial"/>
          <w:sz w:val="17"/>
          <w:szCs w:val="17"/>
          <w:color w:val="auto"/>
        </w:rPr>
        <w:t>Furthermore, the spread of the virus may affect the operations of key governmental agencies, such as the FDA, which may delay the development of our product candidates. The spread of COVID-19 may also result in the inability of our suppliers to deliver components or raw materials, and the inability of our CDMOs to provide supplies of our product candidates for our planned clinical trials, on a timely basis or at all. Further, COVID-19 may impact the ability of our CROs, including non-clinical CROs, to provide services to support our clinical program.</w:t>
      </w:r>
    </w:p>
    <w:p>
      <w:pPr>
        <w:spacing w:after="0" w:line="17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COVID-19 pandemic remains a rapidly evolving situation and we do not yet know the full extent of its potential impact on our business operations. However, we are making efforts to limit the financial impact of COVID-19 going forward.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 did not record any revenues during the period covered by the historical financial information included in this prospectus. We do not expect to derive any revenues before we are able to commercialize our first product.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are focused on the clinical development of PHA121. Since our inception, we have devoted substantially all of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131" w:lineRule="exact"/>
        <w:rPr>
          <w:sz w:val="20"/>
          <w:szCs w:val="20"/>
          <w:color w:val="auto"/>
        </w:rPr>
      </w:pPr>
    </w:p>
    <w:p>
      <w:pPr>
        <w:ind w:left="1000" w:right="14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 benefits expenses, which includes salaries, pensions, share-based compensation expenses, bonus plans and other related costs for research and development staff;</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preclinical expenses, which include costs of our outsourced discovery, preclinical and nonclinical development studies;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75"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manufacturing expenses, which include costs related to manufacturing of active pharmaceutical ingredients and manufacturing of the products used in our clinical trials and research and development activities;</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459" w:right="3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in connection with investigator-sponsored clinical trials and evaluations;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advisers’ fees, including discovery, nonclinical, clinical, chemistry, manufacturing, and controls -related and other consulting services;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intellectual property costs, which includes costs associated with obtaining and maintaining patents and other intellectual property; and</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costs.</w:t>
      </w:r>
    </w:p>
    <w:p>
      <w:pPr>
        <w:spacing w:after="0" w:line="225" w:lineRule="exact"/>
        <w:rPr>
          <w:sz w:val="20"/>
          <w:szCs w:val="20"/>
          <w:color w:val="auto"/>
        </w:rPr>
      </w:pPr>
    </w:p>
    <w:p>
      <w:pPr>
        <w:jc w:val="both"/>
        <w:ind w:right="660" w:firstLine="449"/>
        <w:spacing w:after="0" w:line="311" w:lineRule="auto"/>
        <w:rPr>
          <w:sz w:val="20"/>
          <w:szCs w:val="20"/>
          <w:color w:val="auto"/>
        </w:rPr>
      </w:pPr>
      <w:r>
        <w:rPr>
          <w:rFonts w:ascii="Arial" w:cs="Arial" w:eastAsia="Arial" w:hAnsi="Arial"/>
          <w:sz w:val="16"/>
          <w:szCs w:val="16"/>
          <w:color w:val="auto"/>
        </w:rPr>
        <w:t>We expect that our total research and development expense in 2021 will be in the range of €50 to €60 million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4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There is a risk that any clinical development or product discovery program may not result in commercial approval. To the extent that we fail to obtain approval to commercialize our product candidates in a timely manner, we would need to continue to conduct clinical trials over a longer period of time, and we anticipate that our research and development expenses may further increase.</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Clinical development timelines and associated costs may vary significantly and the successful development of our product candidates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“Risk Factors.”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consist of the following:</w:t>
      </w:r>
    </w:p>
    <w:p>
      <w:pPr>
        <w:spacing w:after="0" w:line="116" w:lineRule="exact"/>
        <w:rPr>
          <w:sz w:val="20"/>
          <w:szCs w:val="20"/>
          <w:color w:val="auto"/>
        </w:rPr>
      </w:pPr>
    </w:p>
    <w:p>
      <w:pPr>
        <w:ind w:left="1000" w:right="62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 benefits, including salaries, pensions, share-based compensation expenses, bonus plans and other related costs for staff and independent contractors in executive and operational functions;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auditors’ and advisers’ fees, including accounting, tax, legal and other consulting services;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rental expenses, facilities and IT expenses and other general expenses relating to our operations.</w:t>
      </w:r>
    </w:p>
    <w:p>
      <w:pPr>
        <w:spacing w:after="0" w:line="22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We anticipate that the continuing development of our business and the expense of maintaining directors’ and officers’ liability insurance will contribute to a future increase in general and administrative expenses. We also expect that general and administrative expenses will increase in the future as we incur additional costs associated with being a public company in the United States.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 Expenses</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 2016, we implemented an Equity Incentive Plan, or the Plan, in order to advance the interests of our shareholders by enhancing our ability to attract, retain and motivate persons who are expected to make important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contributions to us and by providing such persons with performance-based incentives that are intended to better align the interests of such persons with those of our shareholders. The fair value of these instruments will be recognized as personnel expenses in either research and development and expenses or general and administrative expense.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loss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For the nine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(in €)</w:t>
            </w: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(11,797,986)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(3,154,877)</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(8,643,109)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(3,447,208)</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(1,409,972)</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(2,037,236)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(15,245,194)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(4,564,849)</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(10,680,345)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(176,602)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(3,927)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(172,675)</w:t>
            </w: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(15,421,796)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(4,568,776)</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(10,853,020)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Income taxes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(15,421,796)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(4,568,776)</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w w:val="95"/>
              </w:rPr>
              <w:t>(10,853,020)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540"/>
        </w:trPr>
        <w:tc>
          <w:tcPr>
            <w:tcW w:w="6960" w:type="dxa"/>
            <w:vAlign w:val="bottom"/>
          </w:tcPr>
          <w:p>
            <w:pPr>
              <w:ind w:left="460"/>
              <w:spacing w:after="0"/>
              <w:rPr>
                <w:sz w:val="20"/>
                <w:szCs w:val="20"/>
                <w:color w:val="auto"/>
              </w:rPr>
            </w:pPr>
            <w:r>
              <w:rPr>
                <w:rFonts w:ascii="Arial" w:cs="Arial" w:eastAsia="Arial" w:hAnsi="Arial"/>
                <w:sz w:val="18"/>
                <w:szCs w:val="18"/>
                <w:i w:val="1"/>
                <w:iCs w:val="1"/>
                <w:color w:val="auto"/>
              </w:rPr>
              <w:t>Research and Development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960" w:type="dxa"/>
            <w:vAlign w:val="bottom"/>
          </w:tcPr>
          <w:p>
            <w:pPr>
              <w:spacing w:after="0"/>
              <w:rPr>
                <w:sz w:val="24"/>
                <w:szCs w:val="24"/>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For the nine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(in €)</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(1,677,630)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(69,417)</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(1,608,213)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2,317%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Clinical expenses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(5,293,514)</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(886,152)</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3"/>
              </w:rPr>
              <w:t>(4,407,362)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Preclinical expenses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(2,065,658)</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(1,056,826)</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(1,008,832)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Manufacturing costs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(2,624,638)</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(830,088)</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3"/>
              </w:rPr>
              <w:t>(1,794,550)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License costs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(136,546)</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(12,394)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(124,152)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(11,797,986)</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(3,154,877)</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3"/>
              </w:rPr>
              <w:t>(8,643,109)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Research and development expenses increased by €8,643,109 to €11,797,986 in the nine months ended September 30, 2020, or 274% from €3,154,877 for the nine months ended September 30, 2019. The increase in research and development expenses was due primarily to the expansion of the Phase 1 clinical program in 2020 and the progression of preclinical studies to prepare for the Phase 2 clinical program in 2020. The cost of manufacturing of PHA121 for preclinical studies and expanded formulation development work were also major cost drivers in 2020. In 2019, a milestone payment of €300,000 was paid to AnalytiCon upon commencement of Phase 1 development. In personnel expenses, an amount of €817,488 for 2020 and €69,417 for 2019 is related to the share-based payments arrangements.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2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nine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tcPr>
          <w:p>
            <w:pPr>
              <w:spacing w:after="0"/>
              <w:rPr>
                <w:sz w:val="14"/>
                <w:szCs w:val="14"/>
                <w:color w:val="auto"/>
              </w:rPr>
            </w:pPr>
          </w:p>
        </w:tc>
        <w:tc>
          <w:tcPr>
            <w:tcW w:w="22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8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(in €)</w:t>
            </w: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(708,645)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(696,528)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Consulting fees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(732,915)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(796,447)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(63,532)</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(656,798)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(175,937)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(480,861)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(778,696)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(134,606)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(644,090)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Facilities, communication &amp; office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(419,879)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(341,779)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Travel expenses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(25,161)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(143,232)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(118,071)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(125,114)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(69,533)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(55,581)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(3,447,208)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(1,409,972)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(2,037,236)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General and administrative expenses increased by €2,037,236 to €3,447,208 in the nine months ended September 30, 2020, or 144% from €1,409,972 for the nine months ended September 30, 2019. The increase in general and administrative expenses was mainly driven by the growth of the Group and the associated engagement of consultants and service providers as well as the hiring of additional employees to support the Group’s activities and to fulfill legal, tax and reporting compliance requirements. In addition, the Group’s preparation for an initial public offering led to an increase in legal, accounting and reporting expenses. In personnel expenses, an amount of €232,936 for 2020 and €12,117 for 2019 is related to the share-based payments arrangements.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Foreign Exchange Loss</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Our net foreign exchange loss increased by €172,675 from €3,927 for the nine months ended September 30, 2019 to €176,602 for the nine months ended September 30, 2020. This increase is due to the translation of the Group’s foreign operations into the Group’s reporting currency and the increase in the services rendered from parties invoicing in a currency different to the Group reporting currency.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have a history of losses. We had accumulated tax losses of €19.9 million with respect to corporate tax as of September 30, 2020. We expect to continue incurring losses in the near future as we continue to invest in the development of our product candidates. Consequently, we do not have any deferred tax asset on our statement of financial position. The total unrecognized deferred tax assets from temporary differences equaled €3.2 million for the nine months ended September 30, 2020.</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loss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For the year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3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tcBorders>
              <w:top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(in €)</w:t>
            </w: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(5,684,562)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(3,645,413)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(2,039,149)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60" w:type="dxa"/>
            <w:vAlign w:val="bottom"/>
            <w:gridSpan w:val="2"/>
          </w:tcPr>
          <w:p>
            <w:pPr>
              <w:jc w:val="right"/>
              <w:ind w:right="44"/>
              <w:spacing w:after="0"/>
              <w:rPr>
                <w:sz w:val="20"/>
                <w:szCs w:val="20"/>
                <w:color w:val="auto"/>
              </w:rPr>
            </w:pPr>
            <w:r>
              <w:rPr>
                <w:rFonts w:ascii="Arial" w:cs="Arial" w:eastAsia="Arial" w:hAnsi="Arial"/>
                <w:sz w:val="18"/>
                <w:szCs w:val="18"/>
                <w:color w:val="auto"/>
              </w:rPr>
              <w:t>(2,325,719)</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(668,121)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(1,657,598)</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42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(8,010,281)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(4,313,534)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(3,696,747)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4260" w:type="dxa"/>
            <w:vAlign w:val="bottom"/>
            <w:gridSpan w:val="2"/>
          </w:tcPr>
          <w:p>
            <w:pPr>
              <w:jc w:val="right"/>
              <w:ind w:right="44"/>
              <w:spacing w:after="0"/>
              <w:rPr>
                <w:sz w:val="20"/>
                <w:szCs w:val="20"/>
                <w:color w:val="auto"/>
              </w:rPr>
            </w:pPr>
            <w:r>
              <w:rPr>
                <w:rFonts w:ascii="Arial" w:cs="Arial" w:eastAsia="Arial" w:hAnsi="Arial"/>
                <w:sz w:val="18"/>
                <w:szCs w:val="18"/>
                <w:color w:val="auto"/>
              </w:rPr>
              <w:t>(16,881)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(16,501)</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42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(8,027,162)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(4,313,914)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(3,713,248)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Income taxes</w:t>
            </w:r>
          </w:p>
        </w:tc>
        <w:tc>
          <w:tcPr>
            <w:tcW w:w="3200" w:type="dxa"/>
            <w:vAlign w:val="bottom"/>
          </w:tcPr>
          <w:p>
            <w:pPr>
              <w:spacing w:after="0"/>
              <w:rPr>
                <w:sz w:val="18"/>
                <w:szCs w:val="18"/>
                <w:color w:val="auto"/>
              </w:rPr>
            </w:pPr>
          </w:p>
        </w:tc>
        <w:tc>
          <w:tcPr>
            <w:tcW w:w="1060" w:type="dxa"/>
            <w:vAlign w:val="bottom"/>
          </w:tcPr>
          <w:p>
            <w:pPr>
              <w:jc w:val="right"/>
              <w:ind w:right="10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42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(8,027,162)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(4,313,914)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(3,713,248)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364"/>
        </w:trPr>
        <w:tc>
          <w:tcPr>
            <w:tcW w:w="4100" w:type="dxa"/>
            <w:vAlign w:val="bottom"/>
          </w:tcPr>
          <w:p>
            <w:pPr>
              <w:spacing w:after="0"/>
              <w:rPr>
                <w:sz w:val="24"/>
                <w:szCs w:val="24"/>
                <w:color w:val="auto"/>
              </w:rPr>
            </w:pPr>
          </w:p>
        </w:tc>
        <w:tc>
          <w:tcPr>
            <w:tcW w:w="3200" w:type="dxa"/>
            <w:vAlign w:val="bottom"/>
          </w:tcPr>
          <w:p>
            <w:pPr>
              <w:jc w:val="right"/>
              <w:ind w:right="1490"/>
              <w:spacing w:after="0"/>
              <w:rPr>
                <w:sz w:val="20"/>
                <w:szCs w:val="20"/>
                <w:color w:val="auto"/>
              </w:rPr>
            </w:pPr>
            <w:r>
              <w:rPr>
                <w:rFonts w:ascii="Arial" w:cs="Arial" w:eastAsia="Arial" w:hAnsi="Arial"/>
                <w:sz w:val="18"/>
                <w:szCs w:val="18"/>
                <w:color w:val="auto"/>
              </w:rPr>
              <w:t>85</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1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For the year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21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(in €)</w:t>
            </w: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(131,544)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(99,946)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(31,598)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Clinical expenses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(2,009,892)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(205,873)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(1,804,019)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Preclinical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(1,850,444)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(2,449,046)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598,602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Manufacturing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(1,379,590)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(870,933)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(508,657)</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License costs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(13,092)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(19,615)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6,523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(5,684,562)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(3,645,413)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(2,039,149)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Research and development expenses increased by €2,039,149 in 2019, or 56% from €3,645,413 for the year ended December 31, 2018 to €5,684,562 for the year ended December 31, 2019. The increase in research and development expenses in 2019 compared to 2018 was due to the progression of PHA121 into clinical development, with a Phase 1 clinical trial initiated in 2019, and the commencement of preclinical studies to prepare for the Phase 2 clinical program that is anticipated to commence in 2021. The cost of manufacturing PHA121 for preclinical studies and clinical trials was also a major cost driver in 2019. A milestone payment of €300,000 was also paid to AnalytiCon upon commencement of Phase 1 development.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For the year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206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41"/>
              <w:spacing w:after="0" w:line="142" w:lineRule="exact"/>
              <w:rPr>
                <w:sz w:val="20"/>
                <w:szCs w:val="20"/>
                <w:color w:val="auto"/>
              </w:rPr>
            </w:pPr>
            <w:r>
              <w:rPr>
                <w:rFonts w:ascii="Arial" w:cs="Arial" w:eastAsia="Arial" w:hAnsi="Arial"/>
                <w:sz w:val="14"/>
                <w:szCs w:val="14"/>
                <w:b w:val="1"/>
                <w:bCs w:val="1"/>
                <w:color w:val="auto"/>
              </w:rPr>
              <w:t>(in €)</w:t>
            </w: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(49,601)</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(799)</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(48,802)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Consulting fees</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(990,730)</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(333,160)</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(657,570)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(495,326)</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(62,958)</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(432,368)</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Accounting and auditing fees</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(300,841)</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(111,852)</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(188,989)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(236,904)</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(84,970)</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(151,934)</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Facilities, communication &amp; office expenses</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(167,062)</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(47,536)</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(119,526)</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(85,255)</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(26,846)</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(58,409)</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88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(2,325,719</w:t>
            </w:r>
          </w:p>
        </w:tc>
        <w:tc>
          <w:tcPr>
            <w:tcW w:w="22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(668,121</w:t>
            </w:r>
          </w:p>
        </w:tc>
        <w:tc>
          <w:tcPr>
            <w:tcW w:w="2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(1,657,598</w:t>
            </w:r>
          </w:p>
        </w:tc>
        <w:tc>
          <w:tcPr>
            <w:tcW w:w="220" w:type="dxa"/>
            <w:vAlign w:val="bottom"/>
            <w:vMerge w:val="continue"/>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General and administrative expenses increased by €1,657,598, from €668,121 for the year ended December 31, 2018 to €2,325,719 for the year ended December 31, 2019. The increase in general and administrative expenses was driven by a variety of factors primarily the growth of the Company, in particular the increase in additional consulting personnel, recruitment, accounting and legal fees, investor relations expenses related to financing activities, travel expenses and increased office space to accommodate our growth.</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Foreign Exchange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net foreign exchange loss increased by €16,501 from €380 for the year ended December 31, 2018 to €16,881 for the year ended December 31,</w:t>
      </w:r>
    </w:p>
    <w:p>
      <w:pPr>
        <w:spacing w:after="0" w:line="46"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2019. This increase is due to increased foreign exchange losses as a result of an increase in transactions in foreign currencies due to the Company’s activities in various jurisdictions.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We have a history of losses. We had accumulated tax losses of €5.9 million with respect to corporate tax as of December 31, 2019. We had accumulated tax losses of €2.7 million with respect to corporate tax as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December 31, 2018. We expect to continue incurring losses in the near future as we continue to invest in the development of our product candidates. Consequently, we do not have any deferred tax asset on our statement of financial position. The total unrecognized deferred tax assets from temporary differences equaled €2.9 million for the year ended December 31, 2019 compared to €1.6 million for the year ended December 31, 2018.</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Since inception, we have incurred significant operating losses. We incurred losses of €4,313,914 during the year ended December 31, 2018 and €8,027,162 during the year ended December 31, 2019. For the nine months ended September 30, 2020, we incurred losses of €15,421,796. Since inception, we have not generated any revenues or net cash flows from sales. We will not receive any revenues or net cash flows from sales until we successful develop a product candidate obtain regulatory approval and successfully commercialize it. There is no assurance that we will be able to do so.</w:t>
      </w:r>
    </w:p>
    <w:p>
      <w:pPr>
        <w:spacing w:after="0" w:line="15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To date, we have relied solely on the issuance of equity securities to finance our operations and internal growth. From inception through September 30, 2020, we have raised the following capital:</w:t>
      </w:r>
    </w:p>
    <w:p>
      <w:pPr>
        <w:spacing w:after="0" w:line="76" w:lineRule="exact"/>
        <w:rPr>
          <w:sz w:val="20"/>
          <w:szCs w:val="20"/>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4,850,000 Common shares raising €225,000;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5,242,850 Series A preferred shares raising €14,899,133 (net of transaction costs);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3,003,391 Series B-1 preferred shares raising €21,631,526 (net of transaction costs);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4,646,756 Series B-2 preferred shares raising €34,246,281 (net of transaction costs).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 November 2020, we issued 5,826,279 Series C preferred shares raising approximately $80 million.</w:t>
      </w:r>
    </w:p>
    <w:p>
      <w:pPr>
        <w:spacing w:after="0" w:line="225"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As of September 30, 2020 we held cash and cash equivalents of €41,948,476. We expect that the net proceeds from this offering, together with our existing cash and cash equivalents, will enable us to fund our operating expenses and capital expenditure requirements for the next 24 months.</w:t>
      </w:r>
    </w:p>
    <w:p>
      <w:pPr>
        <w:spacing w:after="0" w:line="12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93" w:lineRule="exact"/>
        <w:rPr>
          <w:sz w:val="20"/>
          <w:szCs w:val="20"/>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and cost of our discovery, preclinical and nonclinical development;</w:t>
      </w:r>
    </w:p>
    <w:p>
      <w:pPr>
        <w:spacing w:after="0" w:line="130"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and cost of our clinical trials, including payments of patient and clinical site cost, clinical investigator cost and payments to CROs that are assisting with our sponsored clinical trials, and other research and development activities;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 to commence further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associated with any future investigator-sponsored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any patent applications, claims, patents and other intellectual property rights;</w:t>
      </w:r>
    </w:p>
    <w:p>
      <w:pPr>
        <w:spacing w:after="0" w:line="142" w:lineRule="exact"/>
        <w:rPr>
          <w:rFonts w:ascii="Arial" w:cs="Arial" w:eastAsia="Arial" w:hAnsi="Arial"/>
          <w:sz w:val="17"/>
          <w:szCs w:val="17"/>
          <w:color w:val="auto"/>
        </w:rPr>
      </w:pPr>
    </w:p>
    <w:p>
      <w:pPr>
        <w:ind w:left="1000" w:right="30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and timing of obtaining sufficient quantities of our product candidates for clinical trials by establishing our contracted and/or own production capacities;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any delays caused by the COVID-19 pandemic and associated restrictions;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preparing for launch and commercialization of our product candidates;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operating as a public company in the United States.</w:t>
      </w:r>
    </w:p>
    <w:p>
      <w:pPr>
        <w:spacing w:after="0" w:line="225" w:lineRule="exact"/>
        <w:rPr>
          <w:sz w:val="20"/>
          <w:szCs w:val="20"/>
          <w:color w:val="auto"/>
        </w:rPr>
      </w:pPr>
    </w:p>
    <w:p>
      <w:pPr>
        <w:jc w:val="both"/>
        <w:ind w:right="360" w:firstLine="449"/>
        <w:spacing w:after="0" w:line="286"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65"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To the extent that we raise additional funds by issuing and selling equity or equity-linked securities, shareholders will experience dilution. Debt financings,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the COVID-19 pandemic). If we are unable to raise additional funds when needed, we may be required to delay, reduce, or terminate some or all of our development programs and clinical trials. We may also be required to sell or license to others technologies or our clinical product candidates that we would prefer to develop and commercialize ourselves.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for the nine months ended September 30, 2020 and September 20,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primary sources and uses of our cash and cash equivalents for each of the periods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For the nine months ended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tcPr>
          <w:p>
            <w:pPr>
              <w:spacing w:after="0"/>
              <w:rPr>
                <w:sz w:val="14"/>
                <w:szCs w:val="14"/>
                <w:color w:val="auto"/>
              </w:rPr>
            </w:pPr>
          </w:p>
        </w:tc>
        <w:tc>
          <w:tcPr>
            <w:tcW w:w="23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3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8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(in €)</w:t>
            </w: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(12,588,520)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(3,529,943)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(9,058,577)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(35,657)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(4,297)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(31,360)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financing activities</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34,246,281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22,297,707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11,948,574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21,622,104</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18,763,467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2,858,637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20,326,372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5,385,333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14,941,039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41,948,476</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24,148,800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17,799,676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Net cash flows used in operating activities reflects our results for the period adjusted for, among other things, depreciation, unrealized foreign exchange results, share-based payments, changes in working capital and accruals.</w:t>
      </w:r>
    </w:p>
    <w:p>
      <w:pPr>
        <w:spacing w:after="0" w:line="170"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Net cash flows used in operating activities increased by €9,058,577, or 257%, from €3,529,943 for the nine months ended September 30, 2019 to €12,588,520 for the nine months ended September 30, 2020, primarily reflecting the increase in costs related to outsourced preclinical, clinical development activities and manufacturing of PHA121, financing activities and the accompanying growth of the Group, in particular with respect to the increase in personnel.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Net cash flows used in investing activities increased by €31,360 from €4,297 for the nine months ended September 30, 2019 to €35,657 for the nine months ended September 30, 2020, primarily as a result of capital expenditure related to office equipment as a result of the increase in personnel and the number of offices rented.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Net cash flows provided by financing activities increased by €11,948,574 from €22,297,707 for the nine months ended September 30, 2019 to €34,246,281 for the nine months ended September 30, 2020, primarily as a result of the proceeds of €34,246,281 from the second tranche of the Series B financing.</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for the years ended December 31, 2019 and December 31,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primary sources and uses of our cash and cash equivalents for each of the periods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For the year ended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tcPr>
          <w:p>
            <w:pPr>
              <w:spacing w:after="0"/>
              <w:rPr>
                <w:sz w:val="14"/>
                <w:szCs w:val="14"/>
                <w:color w:val="auto"/>
              </w:rPr>
            </w:pPr>
          </w:p>
        </w:tc>
        <w:tc>
          <w:tcPr>
            <w:tcW w:w="22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00" w:type="dxa"/>
            <w:vAlign w:val="bottom"/>
            <w:tcBorders>
              <w:top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(in €)</w:t>
            </w: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(6,677,011)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(3,918,653)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(2,758,358)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(13,476)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(13,476)</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financing activities</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21,631,526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4,508,851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17,122,675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00" w:type="dxa"/>
            <w:vAlign w:val="bottom"/>
          </w:tcPr>
          <w:p>
            <w:pPr>
              <w:jc w:val="right"/>
              <w:ind w:right="96"/>
              <w:spacing w:after="0"/>
              <w:rPr>
                <w:sz w:val="20"/>
                <w:szCs w:val="20"/>
                <w:color w:val="auto"/>
              </w:rPr>
            </w:pPr>
            <w:r>
              <w:rPr>
                <w:rFonts w:ascii="Arial" w:cs="Arial" w:eastAsia="Arial" w:hAnsi="Arial"/>
                <w:sz w:val="18"/>
                <w:szCs w:val="18"/>
                <w:b w:val="1"/>
                <w:bCs w:val="1"/>
                <w:color w:val="auto"/>
                <w:w w:val="99"/>
              </w:rPr>
              <w:t>14,941,039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590,198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14,350,841</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5,385,333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4,795,135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590,198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00" w:type="dxa"/>
            <w:vAlign w:val="bottom"/>
          </w:tcPr>
          <w:p>
            <w:pPr>
              <w:jc w:val="right"/>
              <w:ind w:right="96"/>
              <w:spacing w:after="0"/>
              <w:rPr>
                <w:sz w:val="20"/>
                <w:szCs w:val="20"/>
                <w:color w:val="auto"/>
              </w:rPr>
            </w:pPr>
            <w:r>
              <w:rPr>
                <w:rFonts w:ascii="Arial" w:cs="Arial" w:eastAsia="Arial" w:hAnsi="Arial"/>
                <w:sz w:val="18"/>
                <w:szCs w:val="18"/>
                <w:b w:val="1"/>
                <w:bCs w:val="1"/>
                <w:color w:val="auto"/>
                <w:w w:val="99"/>
              </w:rPr>
              <w:t>20,326,372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5,385,333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14,941,039</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277%</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Net cash flows used in operating activities reflects our results for the period adjusted for, among other things, depreciation, unrealized foreign exchange results, share-based payments, changes in working capital and accruals.</w:t>
      </w:r>
    </w:p>
    <w:p>
      <w:pPr>
        <w:spacing w:after="0" w:line="170"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Net cash flows used in operating activities increased by €2,758,358, or 70%, from €3,918,653 for the year ended December 31, 2018 to €6,677,011 for the year ended December 31, 2019, primarily reflecting the increase in costs related to outsourced clinical development activities and manufacturing of PHA121, due to the transition from a preclinical stage into a clinical stage company, financing activities and the accompanying growth of the Company, in particular with respect to the increase in personnel.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Net cash flows used in investing activities increased by €13,476 from nil for the year ended December 31, 2018 to €13,476 for the year ended December 31, 2019, primarily as a result of expenses related to capital expenditures related to office equipment. In 2018 no such expenses were incurred.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00" w:firstLine="449"/>
        <w:spacing w:after="0" w:line="342" w:lineRule="auto"/>
        <w:rPr>
          <w:sz w:val="20"/>
          <w:szCs w:val="20"/>
          <w:color w:val="auto"/>
        </w:rPr>
      </w:pPr>
      <w:r>
        <w:rPr>
          <w:rFonts w:ascii="Arial" w:cs="Arial" w:eastAsia="Arial" w:hAnsi="Arial"/>
          <w:sz w:val="16"/>
          <w:szCs w:val="16"/>
          <w:color w:val="auto"/>
        </w:rPr>
        <w:t>Net cash flows provided by financing activities increased by €17,122,675, or 380%, from €4,508,851 for the year ended December 31, 2018 to €21,631,526 for the year ended December 31, 2019, primarily as the result of net proceeds from the Series B preferred shares issued in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and commitments as of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Less than</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Between 1</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1 year</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and 3 years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w:t>
            </w: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Service contracts</w:t>
            </w:r>
          </w:p>
        </w:tc>
        <w:tc>
          <w:tcPr>
            <w:tcW w:w="4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5,013,700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4,005,200</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1,008,500</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9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5,013,700</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4,005,200</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1,008,500</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920" w:type="dxa"/>
            <w:vAlign w:val="bottom"/>
            <w:vMerge w:val="restart"/>
          </w:tcPr>
          <w:p>
            <w:pPr>
              <w:jc w:val="right"/>
              <w:ind w:right="1490"/>
              <w:spacing w:after="0"/>
              <w:rPr>
                <w:sz w:val="20"/>
                <w:szCs w:val="20"/>
                <w:color w:val="auto"/>
              </w:rPr>
            </w:pPr>
            <w:r>
              <w:rPr>
                <w:rFonts w:ascii="Arial" w:cs="Arial" w:eastAsia="Arial" w:hAnsi="Arial"/>
                <w:sz w:val="18"/>
                <w:szCs w:val="18"/>
                <w:color w:val="auto"/>
              </w:rPr>
              <w:t>89</w:t>
            </w: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table above does not include potential milestone fees, sublicense fees, royalty fees, licensing maintenance fees, and reimbursement of patent maintenance costs that we may be required to pay under the agreement we have entered into with AnalytiCon to license intellectual property. We have not included such potential obligations in the table above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“Business—License Agreement.”</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commitments from service contracts mainly result from contracts with preclinical and clinical CROs and CDMOs.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2020, we did not have any off-balance sheet arrangements other than the disclosed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are exposed to market risk (including currency risk, interest rate risk and price risk), credit risk and liquidity risk. Our management manages each risk as discussed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We operate internationally and therefore are exposed to currency risk arising from various currency exposure, primarily with respect to the British pound and the US Dollar as we have agreements with CROs which are based in Great Britain, and consulting agreements with parties that are based in the United States. From these transactions, currency risk arises. We have not established a formal policy to manage the currency risk against our functional currency. At September 30, 2020 and December 31, 2019 and 2018, we had a limited amount of trade payables in foreign currency.</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Price Risk</w:t>
      </w:r>
    </w:p>
    <w:p>
      <w:pPr>
        <w:spacing w:after="0" w:line="117"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The market prices for the provision of preclinical and clinical materials and services, as well as external contracted research, may vary over time. The commercial prices of any of our products or product candidates are currently uncertain and we are not exposed to commodity price risk.</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borrowings and are therefore not exposed to interest risk.</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only exposure to credit risk is the carrying amounts of bank balances.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We have no revenues to date and have relied on the financing from shareholders in order to ensure sufficient liquidity. We ensure the availability of cash for operational activities through appropriate budget and liquidity planning. Additionally, we maintain a level of cash, which is managed centrally, to finance our operational activities. As of September 30, 2020, we had cash and cash equivalents of €41,948,476. Subsequent to September 30, 2020 we issued Series C preferred shares in November 2020 for net proceeds of approximately $80 million. We believe we have sufficient capital to continue</w:t>
      </w:r>
    </w:p>
    <w:p>
      <w:pPr>
        <w:spacing w:after="0" w:line="1"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operations for the next</w:t>
      </w:r>
      <w:r>
        <w:rPr>
          <w:sz w:val="20"/>
          <w:szCs w:val="20"/>
          <w:color w:val="auto"/>
        </w:rPr>
        <w:tab/>
      </w:r>
      <w:r>
        <w:rPr>
          <w:rFonts w:ascii="Arial" w:cs="Arial" w:eastAsia="Arial" w:hAnsi="Arial"/>
          <w:sz w:val="13"/>
          <w:szCs w:val="13"/>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prospectus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adopted an equity-settled share-based compensation plan in 2016, pursuant to which certain participants are granted the right to acquire common shares or RSUs of the Company. The grants made under this plan are accounted for in accordance with the policy as stated in Note 2.14 to our consolidated financial statements included elsewhere in this prospectus. The total amount to be expensed is determined by reference to the fair value of the options or RSUs granted.</w:t>
      </w:r>
    </w:p>
    <w:p>
      <w:pPr>
        <w:spacing w:after="0" w:line="18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Due to the lack of quoted market prices, we have determined the fair value for the measurement of the equity-settled transactions at the grant date with assistance of an external appraiser, considering certain assumptions relating to the volatility of stock price, the determination of an appropriate risk-free interest rate and expected dividends.</w:t>
      </w:r>
    </w:p>
    <w:p>
      <w:pPr>
        <w:spacing w:after="0" w:line="184" w:lineRule="exact"/>
        <w:rPr>
          <w:sz w:val="20"/>
          <w:szCs w:val="20"/>
          <w:color w:val="auto"/>
        </w:rPr>
      </w:pPr>
    </w:p>
    <w:p>
      <w:pPr>
        <w:jc w:val="both"/>
        <w:ind w:right="220" w:firstLine="449"/>
        <w:spacing w:after="0" w:line="277" w:lineRule="auto"/>
        <w:rPr>
          <w:sz w:val="20"/>
          <w:szCs w:val="20"/>
          <w:color w:val="auto"/>
        </w:rPr>
      </w:pPr>
      <w:r>
        <w:rPr>
          <w:rFonts w:ascii="Arial" w:cs="Arial" w:eastAsia="Arial" w:hAnsi="Arial"/>
          <w:sz w:val="18"/>
          <w:szCs w:val="18"/>
          <w:color w:val="auto"/>
        </w:rPr>
        <w:t>We consider numerous objective and subjective factors to determine the best estimate of the fair value of the ordinary shares as of each grant date, including:</w:t>
      </w:r>
    </w:p>
    <w:p>
      <w:pPr>
        <w:spacing w:after="0" w:line="76" w:lineRule="exact"/>
        <w:rPr>
          <w:sz w:val="20"/>
          <w:szCs w:val="20"/>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of the research and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contemporaneous third-party valuations of the ordinary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and preferences of the preferred shares and the preferred shares relative to the ordinary shares;</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of achieving a discrete liquidity event, such as a sale of the company or an initial public offering given prevailing market conditions;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external market and economic conditions impacting the industry sector.</w:t>
      </w:r>
    </w:p>
    <w:p>
      <w:pPr>
        <w:spacing w:after="0" w:line="225"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fair value of an option or an RSU was measured based on the estimated fair value of an ordinary shares at grant date. An external valuation expert has estimated the fair value of the Company’s ordinary shares as of the grant dates based on the pricing of the most recent financing round of the Company at the time. As we are a private company and the equity instruments are not marketable, an Option Pricing Model with estimated probabilities of two different exit scenarios (IPO and trade sale) was applied to back-solve the Company’s total equity value such that the value per Series A preferred share, Series B preferred share and Series C preferred share is equal to the investment price per share paid in the investment round.</w:t>
      </w:r>
    </w:p>
    <w:p>
      <w:pPr>
        <w:spacing w:after="0" w:line="16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This estimated total equity value has been used as input to the Option Pricing Model when determining the fair value of the Company’s ordinary shares at the measurement dates of March 31, 2016, December 13, 2018, January 1, 2020, February 3, 2020, July 13, 2020 and September 30, 2020. The Option Pricing Model uses the Black-Scholes Option-Pricing Model to determine the fair value of the Company’s different share classes based upon the Company’s total equity value.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459" w:right="3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inputs used in the measurement of the fair value per ordinary share at each grant/measurement date based upon the total equity value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July 13, 2020</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February 3, 2020</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January 1, 2020</w:t>
            </w:r>
          </w:p>
        </w:tc>
        <w:tc>
          <w:tcPr>
            <w:tcW w:w="2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13, 2018</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r>
      <w:tr>
        <w:trPr>
          <w:trHeight w:val="209"/>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options</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25,295</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392,850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Fair value of the options</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the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Exercise price</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2.38</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Expected life (years)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Expected volatility was based on an evaluation of the historical volatilities of comparable listed biotech-companies over the most recent historical period that is commensurate with the expected option life. The expected life is based on Management’s best estimate of when the options will be exercised. The risk-free interest rate is based on the yield on German government Strip bonds, with tenure equal to the expected life. The expected dividend yield is zero considering the stage of the Group.</w:t>
      </w:r>
    </w:p>
    <w:p>
      <w:pPr>
        <w:spacing w:after="0" w:line="187"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On March 31, 2016, we granted 392,850 stock options to a consultant, with an exercise price of €0.01. The estimated fair value of the stock options at grant date was €1.24. On December 13, 2018, a total of 25,295 restricted stock units were granted to a consultant. The purchase price, as required under Dutch law, was €0.01 and the estimated fair value at the grant date was €1.39. On January 1, 2020, we granted a total of 600,000 stock options to certain members of our Senior Management, with an exercise price of €2.38. On February 3, 2020, we granted 440,000 stock options to a member of our Senior Management, with an exercise price of €2.38. 132,000 of the options in this grant have, in addition to the service condition, a performance condition. On July 13, 2020, the performance goals for 2020 were determined and the fair value of the related options was reassessed for the options subject to the performance goals for 2020. The fair value of the options related to the performance periods 2021 and 2022 was reassessed on September 30,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121"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Research and development expenses are currently not capitalized but are expensed because the criteria for capitalization are not met, see Note 2.15 and Note 4 to our consolidated financial statements included elsewhere in this prospectus.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regarding the reliability of financial reporting and the preparation of financial statements in accordance with IFRS. As a result of becoming a public company, we will be required, pursuant to Section 404 of the Sarbanes-Oxley Act to furnish a report by our management on, among other things, the effectiveness of our internal control over financial reporting in our second annual report after the effectiveness of the registration statement of which this prospectus forms a part. This assessment will need to include disclosures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195"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In connection with the preparation of our financial statements as of and for the years ended December 31, 2018 and 2019, and as of and for the nine months ended September 30, 2020, we identified material weaknesses in the design of our internal control over financial reporting across the principles for each component of the COSO framework at the entity level (</w:t>
      </w:r>
      <w:r>
        <w:rPr>
          <w:rFonts w:ascii="Arial" w:cs="Arial" w:eastAsia="Arial" w:hAnsi="Arial"/>
          <w:sz w:val="17"/>
          <w:szCs w:val="17"/>
          <w:i w:val="1"/>
          <w:iCs w:val="1"/>
          <w:color w:val="auto"/>
        </w:rPr>
        <w:t>i</w:t>
      </w:r>
      <w:r>
        <w:rPr>
          <w:rFonts w:ascii="Arial" w:cs="Arial" w:eastAsia="Arial" w:hAnsi="Arial"/>
          <w:sz w:val="17"/>
          <w:szCs w:val="17"/>
          <w:color w:val="auto"/>
        </w:rPr>
        <w:t>.</w:t>
      </w:r>
      <w:r>
        <w:rPr>
          <w:rFonts w:ascii="Arial" w:cs="Arial" w:eastAsia="Arial" w:hAnsi="Arial"/>
          <w:sz w:val="17"/>
          <w:szCs w:val="17"/>
          <w:i w:val="1"/>
          <w:iCs w:val="1"/>
          <w:color w:val="auto"/>
        </w:rPr>
        <w:t>e</w:t>
      </w:r>
      <w:r>
        <w:rPr>
          <w:rFonts w:ascii="Arial" w:cs="Arial" w:eastAsia="Arial" w:hAnsi="Arial"/>
          <w:sz w:val="17"/>
          <w:szCs w:val="17"/>
          <w:color w:val="auto"/>
        </w:rPr>
        <w:t>. control environment, risk assessment, monitoring, information &amp; communication and control activities) and accordingly, across our business and IT processes. The material weaknesses that we identified related to:</w:t>
      </w:r>
    </w:p>
    <w:p>
      <w:pPr>
        <w:spacing w:after="0" w:line="77" w:lineRule="exact"/>
        <w:rPr>
          <w:sz w:val="20"/>
          <w:szCs w:val="20"/>
          <w:color w:val="auto"/>
        </w:rPr>
      </w:pPr>
    </w:p>
    <w:p>
      <w:pPr>
        <w:jc w:val="both"/>
        <w:ind w:left="1000" w:right="300" w:hanging="547"/>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89" w:lineRule="exact"/>
        <w:rPr>
          <w:rFonts w:ascii="Arial" w:cs="Arial" w:eastAsia="Arial" w:hAnsi="Arial"/>
          <w:sz w:val="18"/>
          <w:szCs w:val="18"/>
          <w:color w:val="auto"/>
        </w:rPr>
      </w:pPr>
    </w:p>
    <w:p>
      <w:pPr>
        <w:ind w:left="1000" w:hanging="547"/>
        <w:spacing w:after="0" w:line="275"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failure to maintain a sufficient complement of personnel commensurate with our accounting and reporting requirements as we continue to grow as a company, and ability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76"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Although several oversight and control activities are performed, not all activities are formalized and documented properly. In addition, where control activities are dependent on information used in a control, we do not perform or document controls to determine the completeness and accuracy of such information</w:t>
      </w:r>
      <w:r>
        <w:rPr>
          <w:rFonts w:ascii="Arial" w:cs="Arial" w:eastAsia="Arial" w:hAnsi="Arial"/>
          <w:sz w:val="17"/>
          <w:szCs w:val="17"/>
          <w:i w:val="1"/>
          <w:iCs w:val="1"/>
          <w:color w:val="auto"/>
        </w:rPr>
        <w:t>.</w:t>
      </w:r>
      <w:r>
        <w:rPr>
          <w:rFonts w:ascii="Arial" w:cs="Arial" w:eastAsia="Arial" w:hAnsi="Arial"/>
          <w:sz w:val="17"/>
          <w:szCs w:val="17"/>
          <w:color w:val="auto"/>
        </w:rPr>
        <w:t xml:space="preserve"> We also did not have controls in place to monitor control activities and identify control deficiencies.</w:t>
      </w:r>
    </w:p>
    <w:p>
      <w:pPr>
        <w:spacing w:after="0" w:line="165"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To address these material weaknesses, we will need to add personnel and continue to develop and implement new financial processes. We intend to take steps to remediate the material weaknesses described above through hiring additional qualified accounting and financial reporting personnel, and further evolving our accounting processes and policies.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 will not be discovered in the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In April 2012, the U.S. Jumpstart Our Business Startups Act of 2012, or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intend to rely on other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would cease to be an emerging growth company upon the earliest to occur of (i) the last day of the fiscal year in which we have more than $1.07 billion in annual gross revenues; (ii) the date we qualify as a “large accelerated filer,” with at least $700.0 million of equity securities held by non-affiliates; (iii) the issuance, in any three-year period, by our Company of more than $1.0 billion in nonconvertible debt securities held by non-affiliates; and (iv) the last day of the fiscal year ending after the fifth anniversary of the global offering. We have taken advantage of reduced reporting requirements in this prospectus. Accordingly, the information contained herein may be different than the information you receive from other public companies in which you hold equity securities.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9"/>
        <w:spacing w:after="0" w:line="282"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Phase 1 completed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anticipate commencing our RAPIDe-1 Phase 2 clinical trial of PHVS416 in 2021 and have Phase 2 data for the acute treatment of patients with HAE attacks in 2022. We are also planning to commence a Phase 2 clinical trial for prophylaxis in</w:t>
      </w:r>
    </w:p>
    <w:p>
      <w:pPr>
        <w:spacing w:after="0" w:line="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2021 using twice-daily dosing of the PHVS416 soft capsules. Our primary objective with this trial is to assess the safety profile of PHVS416 dose regimens for prophylactic treatments in HAE patients. We also expect to conduct a bridging study between our formulation of PHVS719 and PHVS416 in a Phase 1 clinical trial starting in 2021.</w:t>
      </w:r>
    </w:p>
    <w:p>
      <w:pPr>
        <w:spacing w:after="0" w:line="1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PHA121 is a novel, highly potent inhibitor and selective small molecule bradykinin B2-receptor antagonist and, to our knowledge, the only orally available bradykinin B2-receptor antagonist currently in development. PHA121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 Potency as used in this prospectus refers to the amount of drug required to produce a pharmacological effect of given intensity and is not a measure of therapeutic efficacy. We do not yet have data from the PHA121 Phase 2 clinical trial to evaluate the potential therapeutic efficacy of PHA121 in HAE patients. PHA121 demonstrated 5000-fold selectivity for the bradykinin B2 receptor when compared to approximately 170 other molecular targets, including the bradykinin B1 receptor. We designed PHA121 as a new chemotype with properties compatible with oral delivery. We are developing PHA121 for the on-demand setting as PHVS416, which is delivered in a soft capsule designed to rapidly treat symptoms with a single dose. We are also developing PHA121 for the prophylactic setting as PHVS719, which is a small daily dose tablet with an extended release formulation designed for the patient to achieve a steady-state plasma concentration within 72 hours.</w:t>
      </w:r>
    </w:p>
    <w:p>
      <w:pPr>
        <w:spacing w:after="0" w:line="168"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 xml:space="preserve">In our Phase 1 clinical trials to-date, we have observed rapid exposure and predictable linear pharmacokinetics, or PK, with and without food. In addition, we observed PHA121 to be a potent antagonist of the bradykinin B2 receptor,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healthy volunteers. In our models based on PK data from our Phase 1 clinical trial of PHA121 and published data for icatibant, both in the BK challenge assessment, PHA121 was shown to be consistently 25-fold more potent at inhibiting the effects of administered bradykinin than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icatibant on a molar basis.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prospectus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64"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Global sales of treatments for HAE achieved approximately $2 billion in 2018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C1-INH activity or inhibiting plasma kallikrein. Currently all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are in need of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81"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Based on results observed from our three completed and one ongoing clinical trials to-date, we believe our product candidates that contain PHA121 will demonstrate advantages and differentiation relative to currently approved HAE therapies and other oral therapies in clinical development. Namely, PHA121’s bradykinin- B2-receptor-inhibition mechanism has a well-established clinical therapeutic profile in a currently approved product in the rapid treatment of acute HAE attacks. We have observed greater potency for PHA121 compared to icatibant in our early clinical trials, potentially resulting in both a smaller therapeutic dose and a longer duration of effect. We evaluated the PD and PK of PHA121 in a bradykinin-challenge model in healthy subjects.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PHA121 on cardiovascular parameters affected by bradykinin such as blood pressure, heart rate and cardiac output in healthy volunteers. We observed that PHA121 was more potent in blocking the effects of BK in humans than icatibant, when comparing the PHA121 results of the trial to published data on icatibant. The data from this trial allowed us to generate a PK/PD correlation model. Based on this model and published data on icatibant, we predict the duration of effect for a single oral dose of 12 mg PHA121 will exceed that of 30 mg of icatibant and a single oral dose of 22 mg PHA121 will cover the same duration of effect as two icatibant injections of 30 mg administered six hours apart. Furthermore, analysis based on the results from this trial suggest that therapeutic doses of PHA121 may be at least 20 times smaller than the doses required for oral kallikrein inhibitors in development. In addition, we believe that the observed PK profile of our compound demonstrates the potential of PHVS719 as 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prophylactic treatment of HAE by achieving steady-state plasma concentrations within 72 hours. The BK-challenge data was generated in a Phase 1 clinical trial, and we do not yet have data from the PHA121 Phase 2 clinical trial to evaluate the potential efficacy of PHA121 in HAE patients. We have not conducted a head-to-head comparison of icatibant to PHA121 in a clinical trial but have compared the published data for icatibant to data from our Phase 1 clinical trial of PHA121. Potency as used in this prospectus refers to the amount of drug required to produce a pharmacological effect of given intensity and is not a measure of therapeutic efficacy.</w:t>
      </w:r>
    </w:p>
    <w:p>
      <w:pPr>
        <w:spacing w:after="0" w:line="188"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are planning a Phase 2 clinical trial, RAPIDe-1, that will evaluate angioedema symptom relief within four hours of different doses of PHVS416 or placebo while treating acute attacks of patients. We anticipate having Phase 2 data from RAPIDe-1 in 2022. Additional trials may be required by the FDA, EMA or other regulators even if we receive positive data from RAPIDe-1. We are also planning to subsequently conduct a pivotal trial in the on-demand setting.</w:t>
      </w:r>
    </w:p>
    <w:p>
      <w:pPr>
        <w:spacing w:after="0" w:line="187"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We are similarly planning two clinical trials in the prophylactic setting. In the first, subjects will be randomized to receive PHVS416 or placebo for three months. The primary objective is to assess the safety profile in HAE patients. For the second, we are planning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Differentiation of PHA121</w:t>
      </w:r>
    </w:p>
    <w:p>
      <w:pPr>
        <w:spacing w:after="0" w:line="121"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We believe that PHA121, as the molecule underlying both PHVS416 and PHVS719, has the potential to be highly differentiated for both the on-demand and prophylactic settings with the key benefits below:</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PHVS416</w:t>
      </w:r>
      <w:r>
        <w:rPr>
          <w:rFonts w:ascii="Arial" w:cs="Arial" w:eastAsia="Arial" w:hAnsi="Arial"/>
          <w:sz w:val="18"/>
          <w:szCs w:val="18"/>
          <w:color w:val="auto"/>
        </w:rPr>
        <w:t>. We believe that PHVS416, an on-demand, rapid exposure soft capsule, has potential to be highly differentiated for patients suffering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acute HAE attacks with the following benefits: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70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Clinically validated mechanism of bradykinin-B2-receptor antagonism</w:t>
            </w:r>
          </w:p>
        </w:tc>
        <w:tc>
          <w:tcPr>
            <w:tcW w:w="0" w:type="dxa"/>
            <w:vAlign w:val="bottom"/>
          </w:tcPr>
          <w:p>
            <w:pPr>
              <w:spacing w:after="0"/>
              <w:rPr>
                <w:sz w:val="1"/>
                <w:szCs w:val="1"/>
                <w:color w:val="auto"/>
              </w:rPr>
            </w:pPr>
          </w:p>
        </w:tc>
      </w:tr>
      <w:tr>
        <w:trPr>
          <w:trHeight w:val="323"/>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Complete Symptom Resolution</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7080" w:type="dxa"/>
            <w:vAlign w:val="bottom"/>
          </w:tcPr>
          <w:p>
            <w:pPr>
              <w:ind w:left="140"/>
              <w:spacing w:after="0"/>
              <w:rPr>
                <w:sz w:val="20"/>
                <w:szCs w:val="20"/>
                <w:color w:val="auto"/>
              </w:rPr>
            </w:pPr>
            <w:r>
              <w:rPr>
                <w:rFonts w:ascii="Arial" w:cs="Arial" w:eastAsia="Arial" w:hAnsi="Arial"/>
                <w:sz w:val="18"/>
                <w:szCs w:val="18"/>
                <w:color w:val="auto"/>
                <w:w w:val="89"/>
              </w:rPr>
              <w:t>Utilizing same surrogate assessment for dose selection as the development program for icatibant</w:t>
            </w:r>
          </w:p>
        </w:tc>
        <w:tc>
          <w:tcPr>
            <w:tcW w:w="0" w:type="dxa"/>
            <w:vAlign w:val="bottom"/>
          </w:tcPr>
          <w:p>
            <w:pPr>
              <w:spacing w:after="0"/>
              <w:rPr>
                <w:sz w:val="1"/>
                <w:szCs w:val="1"/>
                <w:color w:val="auto"/>
              </w:rPr>
            </w:pPr>
          </w:p>
        </w:tc>
      </w:tr>
      <w:tr>
        <w:trPr>
          <w:trHeight w:val="135"/>
        </w:trPr>
        <w:tc>
          <w:tcPr>
            <w:tcW w:w="3180" w:type="dxa"/>
            <w:vAlign w:val="bottom"/>
            <w:vMerge w:val="continue"/>
          </w:tcPr>
          <w:p>
            <w:pPr>
              <w:spacing w:after="0"/>
              <w:rPr>
                <w:sz w:val="11"/>
                <w:szCs w:val="11"/>
                <w:color w:val="auto"/>
              </w:rPr>
            </w:pPr>
          </w:p>
        </w:tc>
        <w:tc>
          <w:tcPr>
            <w:tcW w:w="980" w:type="dxa"/>
            <w:vAlign w:val="bottom"/>
            <w:vMerge w:val="restart"/>
          </w:tcPr>
          <w:p>
            <w:pPr>
              <w:ind w:left="780"/>
              <w:spacing w:after="0"/>
              <w:rPr>
                <w:sz w:val="20"/>
                <w:szCs w:val="20"/>
                <w:color w:val="auto"/>
              </w:rPr>
            </w:pPr>
            <w:r>
              <w:rPr>
                <w:rFonts w:ascii="Arial" w:cs="Arial" w:eastAsia="Arial" w:hAnsi="Arial"/>
                <w:sz w:val="18"/>
                <w:szCs w:val="18"/>
                <w:color w:val="auto"/>
              </w:rPr>
              <w:t>•</w:t>
            </w:r>
          </w:p>
        </w:tc>
        <w:tc>
          <w:tcPr>
            <w:tcW w:w="7080" w:type="dxa"/>
            <w:vAlign w:val="bottom"/>
            <w:vMerge w:val="restart"/>
          </w:tcPr>
          <w:p>
            <w:pPr>
              <w:ind w:left="140"/>
              <w:spacing w:after="0"/>
              <w:rPr>
                <w:sz w:val="20"/>
                <w:szCs w:val="20"/>
                <w:color w:val="auto"/>
              </w:rPr>
            </w:pPr>
            <w:r>
              <w:rPr>
                <w:rFonts w:ascii="Arial" w:cs="Arial" w:eastAsia="Arial" w:hAnsi="Arial"/>
                <w:sz w:val="18"/>
                <w:szCs w:val="18"/>
                <w:color w:val="auto"/>
              </w:rPr>
              <w:t>More potent inhibitor than icatibant</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7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7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Longer half-life than icatibant</w:t>
            </w:r>
          </w:p>
        </w:tc>
        <w:tc>
          <w:tcPr>
            <w:tcW w:w="0" w:type="dxa"/>
            <w:vAlign w:val="bottom"/>
          </w:tcPr>
          <w:p>
            <w:pPr>
              <w:spacing w:after="0"/>
              <w:rPr>
                <w:sz w:val="1"/>
                <w:szCs w:val="1"/>
                <w:color w:val="auto"/>
              </w:rPr>
            </w:pPr>
          </w:p>
        </w:tc>
      </w:tr>
      <w:tr>
        <w:trPr>
          <w:trHeight w:val="296"/>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Rapid Onset of Activity</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7080" w:type="dxa"/>
            <w:vAlign w:val="bottom"/>
          </w:tcPr>
          <w:p>
            <w:pPr>
              <w:ind w:left="140"/>
              <w:spacing w:after="0"/>
              <w:rPr>
                <w:sz w:val="20"/>
                <w:szCs w:val="20"/>
                <w:color w:val="auto"/>
              </w:rPr>
            </w:pPr>
            <w:r>
              <w:rPr>
                <w:rFonts w:ascii="Arial" w:cs="Arial" w:eastAsia="Arial" w:hAnsi="Arial"/>
                <w:sz w:val="18"/>
                <w:szCs w:val="18"/>
                <w:color w:val="auto"/>
                <w:w w:val="90"/>
              </w:rPr>
              <w:t>Exposure exceeds the anticipated threshold therapeutic plasma level (EC</w:t>
            </w:r>
            <w:r>
              <w:rPr>
                <w:rFonts w:ascii="Arial" w:cs="Arial" w:eastAsia="Arial" w:hAnsi="Arial"/>
                <w:sz w:val="15"/>
                <w:szCs w:val="15"/>
                <w:color w:val="auto"/>
                <w:w w:val="90"/>
              </w:rPr>
              <w:t>85</w:t>
            </w:r>
            <w:r>
              <w:rPr>
                <w:rFonts w:ascii="Arial" w:cs="Arial" w:eastAsia="Arial" w:hAnsi="Arial"/>
                <w:sz w:val="18"/>
                <w:szCs w:val="18"/>
                <w:color w:val="auto"/>
                <w:w w:val="90"/>
              </w:rPr>
              <w:t>) in 15 minutes, with</w:t>
            </w:r>
          </w:p>
        </w:tc>
        <w:tc>
          <w:tcPr>
            <w:tcW w:w="0" w:type="dxa"/>
            <w:vAlign w:val="bottom"/>
          </w:tcPr>
          <w:p>
            <w:pPr>
              <w:spacing w:after="0"/>
              <w:rPr>
                <w:sz w:val="1"/>
                <w:szCs w:val="1"/>
                <w:color w:val="auto"/>
              </w:rPr>
            </w:pPr>
          </w:p>
        </w:tc>
      </w:tr>
      <w:tr>
        <w:trPr>
          <w:trHeight w:val="122"/>
        </w:trPr>
        <w:tc>
          <w:tcPr>
            <w:tcW w:w="31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7080" w:type="dxa"/>
            <w:vAlign w:val="bottom"/>
            <w:vMerge w:val="restart"/>
          </w:tcPr>
          <w:p>
            <w:pPr>
              <w:ind w:left="140"/>
              <w:spacing w:after="0"/>
              <w:rPr>
                <w:sz w:val="20"/>
                <w:szCs w:val="20"/>
                <w:color w:val="auto"/>
              </w:rPr>
            </w:pPr>
            <w:r>
              <w:rPr>
                <w:rFonts w:ascii="Arial" w:cs="Arial" w:eastAsia="Arial" w:hAnsi="Arial"/>
                <w:sz w:val="18"/>
                <w:szCs w:val="18"/>
                <w:color w:val="auto"/>
              </w:rPr>
              <w:t>or without food</w:t>
            </w:r>
          </w:p>
        </w:tc>
        <w:tc>
          <w:tcPr>
            <w:tcW w:w="0" w:type="dxa"/>
            <w:vAlign w:val="bottom"/>
          </w:tcPr>
          <w:p>
            <w:pPr>
              <w:spacing w:after="0"/>
              <w:rPr>
                <w:sz w:val="1"/>
                <w:szCs w:val="1"/>
                <w:color w:val="auto"/>
              </w:rPr>
            </w:pPr>
          </w:p>
        </w:tc>
      </w:tr>
      <w:tr>
        <w:trPr>
          <w:trHeight w:val="108"/>
        </w:trPr>
        <w:tc>
          <w:tcPr>
            <w:tcW w:w="3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180" w:type="dxa"/>
            <w:vAlign w:val="bottom"/>
          </w:tcPr>
          <w:p>
            <w:pPr>
              <w:spacing w:after="0"/>
              <w:rPr>
                <w:sz w:val="24"/>
                <w:szCs w:val="24"/>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7080" w:type="dxa"/>
            <w:vAlign w:val="bottom"/>
          </w:tcPr>
          <w:p>
            <w:pPr>
              <w:ind w:left="140"/>
              <w:spacing w:after="0"/>
              <w:rPr>
                <w:sz w:val="20"/>
                <w:szCs w:val="20"/>
                <w:color w:val="auto"/>
              </w:rPr>
            </w:pPr>
            <w:r>
              <w:rPr>
                <w:rFonts w:ascii="Arial" w:cs="Arial" w:eastAsia="Arial" w:hAnsi="Arial"/>
                <w:sz w:val="18"/>
                <w:szCs w:val="18"/>
                <w:color w:val="auto"/>
              </w:rPr>
              <w:t>No injection needed</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b w:val="1"/>
                <w:bCs w:val="1"/>
                <w:color w:val="auto"/>
              </w:rPr>
              <w:t>Potential Reduced Treatment</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7080" w:type="dxa"/>
            <w:vAlign w:val="bottom"/>
          </w:tcPr>
          <w:p>
            <w:pPr>
              <w:ind w:left="140"/>
              <w:spacing w:after="0"/>
              <w:rPr>
                <w:sz w:val="20"/>
                <w:szCs w:val="20"/>
                <w:color w:val="auto"/>
              </w:rPr>
            </w:pPr>
            <w:r>
              <w:rPr>
                <w:rFonts w:ascii="Arial" w:cs="Arial" w:eastAsia="Arial" w:hAnsi="Arial"/>
                <w:sz w:val="18"/>
                <w:szCs w:val="18"/>
                <w:color w:val="auto"/>
              </w:rPr>
              <w:t>Convenient oral formulation enables early treatment of acute HAE attacks</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Arial" w:cs="Arial" w:eastAsia="Arial" w:hAnsi="Arial"/>
                <w:sz w:val="18"/>
                <w:szCs w:val="18"/>
                <w:b w:val="1"/>
                <w:bCs w:val="1"/>
                <w:color w:val="auto"/>
              </w:rPr>
              <w:t>Burden / Enhanced Patient</w:t>
            </w:r>
          </w:p>
        </w:tc>
        <w:tc>
          <w:tcPr>
            <w:tcW w:w="980" w:type="dxa"/>
            <w:vAlign w:val="bottom"/>
            <w:vMerge w:val="restart"/>
          </w:tcPr>
          <w:p>
            <w:pPr>
              <w:ind w:left="780"/>
              <w:spacing w:after="0"/>
              <w:rPr>
                <w:sz w:val="20"/>
                <w:szCs w:val="20"/>
                <w:color w:val="auto"/>
              </w:rPr>
            </w:pPr>
            <w:r>
              <w:rPr>
                <w:rFonts w:ascii="Arial" w:cs="Arial" w:eastAsia="Arial" w:hAnsi="Arial"/>
                <w:sz w:val="18"/>
                <w:szCs w:val="18"/>
                <w:color w:val="auto"/>
              </w:rPr>
              <w:t>•</w:t>
            </w:r>
          </w:p>
        </w:tc>
        <w:tc>
          <w:tcPr>
            <w:tcW w:w="7080" w:type="dxa"/>
            <w:vAlign w:val="bottom"/>
            <w:vMerge w:val="restart"/>
          </w:tcPr>
          <w:p>
            <w:pPr>
              <w:ind w:left="140"/>
              <w:spacing w:after="0"/>
              <w:rPr>
                <w:sz w:val="20"/>
                <w:szCs w:val="20"/>
                <w:color w:val="auto"/>
              </w:rPr>
            </w:pPr>
            <w:r>
              <w:rPr>
                <w:rFonts w:ascii="Arial" w:cs="Arial" w:eastAsia="Arial" w:hAnsi="Arial"/>
                <w:sz w:val="18"/>
                <w:szCs w:val="18"/>
                <w:color w:val="auto"/>
              </w:rPr>
              <w:t>Capsule reduces treatment burden</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Convenience</w:t>
            </w:r>
          </w:p>
        </w:tc>
        <w:tc>
          <w:tcPr>
            <w:tcW w:w="980" w:type="dxa"/>
            <w:vAlign w:val="bottom"/>
            <w:vMerge w:val="continue"/>
          </w:tcPr>
          <w:p>
            <w:pPr>
              <w:spacing w:after="0"/>
              <w:rPr>
                <w:sz w:val="20"/>
                <w:szCs w:val="20"/>
                <w:color w:val="auto"/>
              </w:rPr>
            </w:pPr>
          </w:p>
        </w:tc>
        <w:tc>
          <w:tcPr>
            <w:tcW w:w="7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7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Potential lowest dosage of any oral HAE on-demand treatment</w:t>
            </w:r>
          </w:p>
        </w:tc>
        <w:tc>
          <w:tcPr>
            <w:tcW w:w="0" w:type="dxa"/>
            <w:vAlign w:val="bottom"/>
          </w:tcPr>
          <w:p>
            <w:pPr>
              <w:spacing w:after="0"/>
              <w:rPr>
                <w:sz w:val="1"/>
                <w:szCs w:val="1"/>
                <w:color w:val="auto"/>
              </w:rPr>
            </w:pPr>
          </w:p>
        </w:tc>
      </w:tr>
      <w:tr>
        <w:trPr>
          <w:trHeight w:val="365"/>
        </w:trPr>
        <w:tc>
          <w:tcPr>
            <w:tcW w:w="3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80" w:type="dxa"/>
            <w:vAlign w:val="bottom"/>
          </w:tcPr>
          <w:p>
            <w:pPr>
              <w:ind w:left="13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i w:val="1"/>
          <w:iCs w:val="1"/>
          <w:color w:val="auto"/>
        </w:rPr>
        <w:t>PHVS719</w:t>
      </w:r>
      <w:r>
        <w:rPr>
          <w:rFonts w:ascii="Arial" w:cs="Arial" w:eastAsia="Arial" w:hAnsi="Arial"/>
          <w:sz w:val="18"/>
          <w:szCs w:val="18"/>
          <w:color w:val="auto"/>
        </w:rPr>
        <w:t>. We believe that PHVS719, a prophylactic extended-release tablet designed to be taken in small, daily doses, has potential to be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for HAE patients with the following benefits: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Protection From Attacks</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Validated, proven mechanism to address all bradykinin, regardless of pathway</w:t>
            </w:r>
          </w:p>
        </w:tc>
        <w:tc>
          <w:tcPr>
            <w:tcW w:w="0" w:type="dxa"/>
            <w:vAlign w:val="bottom"/>
          </w:tcPr>
          <w:p>
            <w:pPr>
              <w:spacing w:after="0"/>
              <w:rPr>
                <w:sz w:val="1"/>
                <w:szCs w:val="1"/>
                <w:color w:val="auto"/>
              </w:rPr>
            </w:pPr>
          </w:p>
        </w:tc>
      </w:tr>
      <w:tr>
        <w:trPr>
          <w:trHeight w:val="304"/>
        </w:trPr>
        <w:tc>
          <w:tcPr>
            <w:tcW w:w="3580" w:type="dxa"/>
            <w:vAlign w:val="bottom"/>
          </w:tcPr>
          <w:p>
            <w:pPr>
              <w:spacing w:after="0"/>
              <w:rPr>
                <w:sz w:val="20"/>
                <w:szCs w:val="20"/>
                <w:color w:val="auto"/>
              </w:rPr>
            </w:pPr>
            <w:r>
              <w:rPr>
                <w:rFonts w:ascii="Arial" w:cs="Arial" w:eastAsia="Arial" w:hAnsi="Arial"/>
                <w:sz w:val="18"/>
                <w:szCs w:val="18"/>
                <w:b w:val="1"/>
                <w:bCs w:val="1"/>
                <w:color w:val="auto"/>
              </w:rPr>
              <w:t>Ideal Release Profile for Prophylactic Use</w:t>
            </w:r>
          </w:p>
        </w:tc>
        <w:tc>
          <w:tcPr>
            <w:tcW w:w="56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7100" w:type="dxa"/>
            <w:vAlign w:val="bottom"/>
            <w:vMerge w:val="restart"/>
          </w:tcPr>
          <w:p>
            <w:pPr>
              <w:ind w:left="160"/>
              <w:spacing w:after="0"/>
              <w:rPr>
                <w:sz w:val="20"/>
                <w:szCs w:val="20"/>
                <w:color w:val="auto"/>
              </w:rPr>
            </w:pPr>
            <w:r>
              <w:rPr>
                <w:rFonts w:ascii="Arial" w:cs="Arial" w:eastAsia="Arial" w:hAnsi="Arial"/>
                <w:sz w:val="18"/>
                <w:szCs w:val="18"/>
                <w:color w:val="auto"/>
              </w:rPr>
              <w:t>Reaches and maintains steady-state concentration within 72 hours</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Appropriate pharmacokinetic profile with standard meals</w:t>
            </w:r>
          </w:p>
        </w:tc>
        <w:tc>
          <w:tcPr>
            <w:tcW w:w="0" w:type="dxa"/>
            <w:vAlign w:val="bottom"/>
          </w:tcPr>
          <w:p>
            <w:pPr>
              <w:spacing w:after="0"/>
              <w:rPr>
                <w:sz w:val="1"/>
                <w:szCs w:val="1"/>
                <w:color w:val="auto"/>
              </w:rPr>
            </w:pPr>
          </w:p>
        </w:tc>
      </w:tr>
      <w:tr>
        <w:trPr>
          <w:trHeight w:val="837"/>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Potential Reduced Treatment</w:t>
            </w: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7100" w:type="dxa"/>
            <w:vAlign w:val="bottom"/>
          </w:tcPr>
          <w:p>
            <w:pPr>
              <w:ind w:left="160"/>
              <w:spacing w:after="0"/>
              <w:rPr>
                <w:sz w:val="20"/>
                <w:szCs w:val="20"/>
                <w:color w:val="auto"/>
              </w:rPr>
            </w:pPr>
            <w:r>
              <w:rPr>
                <w:rFonts w:ascii="Arial" w:cs="Arial" w:eastAsia="Arial" w:hAnsi="Arial"/>
                <w:sz w:val="18"/>
                <w:szCs w:val="18"/>
                <w:color w:val="auto"/>
              </w:rPr>
              <w:t>Convenient oral daily dosing with extended-release tablet</w:t>
            </w:r>
          </w:p>
        </w:tc>
        <w:tc>
          <w:tcPr>
            <w:tcW w:w="0" w:type="dxa"/>
            <w:vAlign w:val="bottom"/>
          </w:tcPr>
          <w:p>
            <w:pPr>
              <w:spacing w:after="0"/>
              <w:rPr>
                <w:sz w:val="1"/>
                <w:szCs w:val="1"/>
                <w:color w:val="auto"/>
              </w:rPr>
            </w:pPr>
          </w:p>
        </w:tc>
      </w:tr>
      <w:tr>
        <w:trPr>
          <w:trHeight w:val="63"/>
        </w:trPr>
        <w:tc>
          <w:tcPr>
            <w:tcW w:w="3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8"/>
                <w:szCs w:val="18"/>
                <w:b w:val="1"/>
                <w:bCs w:val="1"/>
                <w:color w:val="auto"/>
              </w:rPr>
              <w:t>Burden / Enhanced Patient</w:t>
            </w: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7100" w:type="dxa"/>
            <w:vAlign w:val="bottom"/>
          </w:tcPr>
          <w:p>
            <w:pPr>
              <w:ind w:left="160"/>
              <w:spacing w:after="0"/>
              <w:rPr>
                <w:sz w:val="20"/>
                <w:szCs w:val="20"/>
                <w:color w:val="auto"/>
              </w:rPr>
            </w:pPr>
            <w:r>
              <w:rPr>
                <w:rFonts w:ascii="Arial" w:cs="Arial" w:eastAsia="Arial" w:hAnsi="Arial"/>
                <w:sz w:val="18"/>
                <w:szCs w:val="18"/>
                <w:color w:val="auto"/>
              </w:rPr>
              <w:t>Twice-daily dosing with the potential for once a day</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Convenience</w:t>
            </w:r>
          </w:p>
        </w:tc>
        <w:tc>
          <w:tcPr>
            <w:tcW w:w="56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7100" w:type="dxa"/>
            <w:vAlign w:val="bottom"/>
            <w:vMerge w:val="restart"/>
          </w:tcPr>
          <w:p>
            <w:pPr>
              <w:ind w:left="160"/>
              <w:spacing w:after="0"/>
              <w:rPr>
                <w:sz w:val="20"/>
                <w:szCs w:val="20"/>
                <w:color w:val="auto"/>
              </w:rPr>
            </w:pPr>
            <w:r>
              <w:rPr>
                <w:rFonts w:ascii="Arial" w:cs="Arial" w:eastAsia="Arial" w:hAnsi="Arial"/>
                <w:sz w:val="18"/>
                <w:szCs w:val="18"/>
                <w:color w:val="auto"/>
              </w:rPr>
              <w:t>Potential lowest dosage of any oral HAE treatment; ease of administration</w:t>
            </w: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4"/>
                <w:szCs w:val="24"/>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7100" w:type="dxa"/>
            <w:vAlign w:val="bottom"/>
          </w:tcPr>
          <w:p>
            <w:pPr>
              <w:ind w:left="160"/>
              <w:spacing w:after="0"/>
              <w:rPr>
                <w:sz w:val="20"/>
                <w:szCs w:val="20"/>
                <w:color w:val="auto"/>
              </w:rPr>
            </w:pPr>
            <w:r>
              <w:rPr>
                <w:rFonts w:ascii="Arial" w:cs="Arial" w:eastAsia="Arial" w:hAnsi="Arial"/>
                <w:sz w:val="18"/>
                <w:szCs w:val="18"/>
                <w:color w:val="auto"/>
                <w:w w:val="92"/>
              </w:rPr>
              <w:t>Well tolerated throughout therapeutic ranges as demonstrated by multiple clinical trials to-date</w:t>
            </w:r>
          </w:p>
        </w:tc>
        <w:tc>
          <w:tcPr>
            <w:tcW w:w="0" w:type="dxa"/>
            <w:vAlign w:val="bottom"/>
          </w:tcPr>
          <w:p>
            <w:pPr>
              <w:spacing w:after="0"/>
              <w:rPr>
                <w:sz w:val="1"/>
                <w:szCs w:val="1"/>
                <w:color w:val="auto"/>
              </w:rPr>
            </w:pPr>
          </w:p>
        </w:tc>
      </w:tr>
      <w:tr>
        <w:trPr>
          <w:trHeight w:val="344"/>
        </w:trPr>
        <w:tc>
          <w:tcPr>
            <w:tcW w:w="3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 injection needed</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8"/>
                <w:szCs w:val="18"/>
                <w:b w:val="1"/>
                <w:bCs w:val="1"/>
                <w:color w:val="auto"/>
              </w:rPr>
              <w:t>Our Pipeline</w:t>
            </w:r>
          </w:p>
        </w:tc>
        <w:tc>
          <w:tcPr>
            <w:tcW w:w="5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154305</wp:posOffset>
            </wp:positionV>
            <wp:extent cx="4483100" cy="1619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48310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plan to develop separate products for on-demand and prophylactic use, PHVS416 and PHVS719 respectively, with both products utilizing the same active ingredient, PHA121. PHVS416 will be a soft-gel capsule, and PHVS719 will be an extended release tablet. We expect to commence our RAPIDe-1 Phase 2 clinical trial of PHVS416 for on-demand use in 2021. We are also planning to commence a Phase 2 clinical trial for prophylaxis in 2021. In this trial, we plan to assess twice-daily dosing of PHVS416 soft gel capsules for prophylactic use while we continue to advance the development of our extended-release formulation, PHVS719. A bridging study between our formulation of PHVS719 and PHVS416 in a Phase 1 clinical trial is planned in 2021 before conducting the trial of PHVS719 in the prophylactic setting.</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Expansion of the Portfolio</w:t>
      </w:r>
    </w:p>
    <w:p>
      <w:pPr>
        <w:spacing w:after="0" w:line="117"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Our ultimate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such as cardiovascular, allergy and immunology, neurological disease and others.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21"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We are led by a strong management team with extensive experience in the biopharmaceutical industry and rare disease drug development, most notably the development of drugs for the treatment of HAE. Our Chief Executive Officer, Berndt Modig, has extensive experience in the pharmaceutical industry, most recently as Chief Financial Officer of Prosensa Holding N.V. and Chief Financial Officer of Jerini AG, which developed and launched icatibant. Our Chief Scientific Officer and Chief Operating Officer, Jochen Knolle, Ph.D. has extensive experience in every aspect of drug discovery as the former Chief Science Officer and Head of R&amp;D at Jerini AG, former Vice President for Medicinal Chemistry and Structural Biology at Axys Pharmaceuticals Inc., and Hoechst AG and Hoechst-Marion-Roussel where he co-invented icatibant. Our Chief Medical Officer, Peng Lu, M.D., Ph.D. previously served as Vice President, Global Program Lead for Rare Diseases at Shire PLC, now Takeda Pharmaceutical Company Limited, where she led the development and successful approval of TAKHZYRO for the prevention of HAE attacks in the U.S., the EU and the rest of the world. Our Chief Early Development Officer, Anne Lesage, Ph.D. brings in deep expertise in drug discovery and GPCR pharmacology, has held various leadership positions at Janssen Pharmaceutica and is inventor on nine patents and author on 45 publications. Our Chief Business Officer, Morgan Conn, Ph.D. has extensive experience in the biopharmaceutical industry including as the Head of Business Development at PTC Therapeutics, Inc. where he was instrumental to a variety of financing events and corporate transactions with leading pharma, biotech, and academic organizations. In addition, we are backed by a group of renowned institutional investors and have raised over $163 million of capital since our inception, including our recent financing that closed on November 5, 2020. Our investors include LSP, Kurma Partners, Idinvest Partners, Foresite Capital, Bain Capital Life Sciences, venBio Partners, Venrock Partners, Viking Global Investors, General Atlantic, and Cormorant Asset Management.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company is built upon the following strengths:</w:t>
      </w:r>
    </w:p>
    <w:p>
      <w:pPr>
        <w:spacing w:after="0" w:line="131" w:lineRule="exact"/>
        <w:rPr>
          <w:sz w:val="20"/>
          <w:szCs w:val="20"/>
          <w:color w:val="auto"/>
        </w:rPr>
      </w:pPr>
    </w:p>
    <w:p>
      <w:pPr>
        <w:ind w:left="1000" w:right="140" w:hanging="547"/>
        <w:spacing w:after="0" w:line="342"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Broad strength and expertise in the bradykinin-B2-receptor pathway. Members of the management team include an inventor of icatibant, the leadership team that developed icatibant through European approval, and a key member from the TAKHZYRO development team;</w:t>
      </w:r>
    </w:p>
    <w:p>
      <w:pPr>
        <w:spacing w:after="0" w:line="29" w:lineRule="exact"/>
        <w:rPr>
          <w:rFonts w:ascii="Arial" w:cs="Arial" w:eastAsia="Arial" w:hAnsi="Arial"/>
          <w:sz w:val="16"/>
          <w:szCs w:val="16"/>
          <w:color w:val="auto"/>
        </w:rPr>
      </w:pPr>
    </w:p>
    <w:p>
      <w:pPr>
        <w:ind w:left="100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PHA121 is an orally available product candidate with a clinically validated mechanism of action that addresses serious unmet medical need in HAE;</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PHA121 has demonstrated physicochemical properties suitable to formulations as both an on-demand product candidate, PHVS416, and a distinct prophylactic product candidate, PHVS719;</w:t>
      </w:r>
    </w:p>
    <w:p>
      <w:pPr>
        <w:spacing w:after="0" w:line="75" w:lineRule="exact"/>
        <w:rPr>
          <w:rFonts w:ascii="Arial" w:cs="Arial" w:eastAsia="Arial" w:hAnsi="Arial"/>
          <w:sz w:val="18"/>
          <w:szCs w:val="18"/>
          <w:color w:val="auto"/>
        </w:rPr>
      </w:pPr>
    </w:p>
    <w:p>
      <w:pPr>
        <w:jc w:val="both"/>
        <w:ind w:left="1000" w:right="560" w:hanging="547"/>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PHA121, compared to icatibant, the currently approved bradykinin B2-receptor inhibitor, demonstrated superior preclinical potency in blocking bradykinin signaling at the bradykinin B2-receptor, and good oral bioavailability and a longer half-life in humans, which has resulted in longer duration of the BK-blocking pharmacodynamic effect in humans;</w:t>
      </w:r>
    </w:p>
    <w:p>
      <w:pPr>
        <w:spacing w:after="0" w:line="89"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wholly own intellectual property – including allowed and in-process patent applications – covering PHA121 and additional molecules; and</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scientific experience allows us to leverage deep insight and experience in the bradykinin- B2-receptor pathway to expand our portfolio into other BK-mediated angioedema and BK-mediated diseases beyond angioedema.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0" w:firstLine="449"/>
        <w:spacing w:after="0" w:line="273" w:lineRule="auto"/>
        <w:rPr>
          <w:sz w:val="20"/>
          <w:szCs w:val="20"/>
          <w:color w:val="auto"/>
        </w:rPr>
      </w:pPr>
      <w:r>
        <w:rPr>
          <w:rFonts w:ascii="Arial" w:cs="Arial" w:eastAsia="Arial" w:hAnsi="Arial"/>
          <w:sz w:val="17"/>
          <w:szCs w:val="17"/>
          <w:color w:val="auto"/>
        </w:rPr>
        <w:t>Our strategy is to develop and commercialize therapies that are superior to currently available treatment options and improve patient quality of life and convenience. Our initial approach for HAE and potential expansions into non-hereditary angioedema and other BK-mediated diseases is based upon extensive patient, physician and payer research to identify the key needs in the market. According to our analysis, oral therapy remains the highest unmet need for both on-demand and prophylactic use in HAE. More importantly, our research shows that patients are not willing to accept significantly reduced efficacy or safety with a switch to oral therapy, and so we place a high degree of emphasis on advancing product candidates that we believe can be comparable to or improve upon existing approved therapies in both safety and efficacy.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elements of our strategy include:</w:t>
      </w:r>
    </w:p>
    <w:p>
      <w:pPr>
        <w:spacing w:after="0" w:line="131" w:lineRule="exact"/>
        <w:rPr>
          <w:sz w:val="20"/>
          <w:szCs w:val="20"/>
          <w:color w:val="auto"/>
        </w:rPr>
      </w:pPr>
    </w:p>
    <w:p>
      <w:pPr>
        <w:ind w:left="1000" w:right="220" w:hanging="547"/>
        <w:spacing w:after="0" w:line="259"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Continue to advance PHA121 through clinical development for on-demand treatment of HAE utilizing a fast-onset formulation, known as PHVS416</w:t>
      </w:r>
      <w:r>
        <w:rPr>
          <w:rFonts w:ascii="Arial" w:cs="Arial" w:eastAsia="Arial" w:hAnsi="Arial"/>
          <w:sz w:val="18"/>
          <w:szCs w:val="18"/>
          <w:color w:val="auto"/>
        </w:rPr>
        <w:t>. We intend to develop and commercialize PHVS416 as a fast-acting, orally available, potent inhibitor and selective treatment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acute HAE. If considered appropriate by the FDA, we plan to pursue an expedited regulatory pathway that could allow us to more quickly provide patients with a potentially more effective oral therapy that is also more convenient.</w:t>
      </w:r>
    </w:p>
    <w:p>
      <w:pPr>
        <w:spacing w:after="0" w:line="92" w:lineRule="exact"/>
        <w:rPr>
          <w:rFonts w:ascii="Arial" w:cs="Arial" w:eastAsia="Arial" w:hAnsi="Arial"/>
          <w:sz w:val="18"/>
          <w:szCs w:val="18"/>
          <w:color w:val="auto"/>
        </w:rPr>
      </w:pPr>
    </w:p>
    <w:p>
      <w:pPr>
        <w:ind w:left="1000" w:right="180" w:hanging="547"/>
        <w:spacing w:after="0" w:line="25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Advance the development of PHA121 for prophylactic treatment of HAE utilizing an extended-release formulation, known as PHVS719</w:t>
      </w:r>
      <w:r>
        <w:rPr>
          <w:rFonts w:ascii="Arial" w:cs="Arial" w:eastAsia="Arial" w:hAnsi="Arial"/>
          <w:sz w:val="18"/>
          <w:szCs w:val="18"/>
          <w:color w:val="auto"/>
        </w:rPr>
        <w:t>. 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PK data from our Phase 2 trial RAPIDe-1 of PHVS416 to help select and refine our prophylactic dose for the PHVS719 clinical trials.</w:t>
      </w:r>
    </w:p>
    <w:p>
      <w:pPr>
        <w:spacing w:after="0" w:line="93" w:lineRule="exact"/>
        <w:rPr>
          <w:rFonts w:ascii="Arial" w:cs="Arial" w:eastAsia="Arial" w:hAnsi="Arial"/>
          <w:sz w:val="18"/>
          <w:szCs w:val="18"/>
          <w:color w:val="auto"/>
        </w:rPr>
      </w:pPr>
    </w:p>
    <w:p>
      <w:pPr>
        <w:ind w:left="1000" w:right="20" w:hanging="547"/>
        <w:spacing w:after="0" w:line="254"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Expand the range of bradykinin-mediated angioedema indications to which PHVS416 and PHVS719 can be applied. </w:t>
      </w:r>
      <w:r>
        <w:rPr>
          <w:rFonts w:ascii="Arial" w:cs="Arial" w:eastAsia="Arial" w:hAnsi="Arial"/>
          <w:sz w:val="18"/>
          <w:szCs w:val="18"/>
          <w:color w:val="auto"/>
        </w:rPr>
        <w:t>In addition to Type 1 or</w:t>
      </w:r>
      <w:r>
        <w:rPr>
          <w:rFonts w:ascii="Arial" w:cs="Arial" w:eastAsia="Arial" w:hAnsi="Arial"/>
          <w:sz w:val="18"/>
          <w:szCs w:val="18"/>
          <w:i w:val="1"/>
          <w:iCs w:val="1"/>
          <w:color w:val="auto"/>
        </w:rPr>
        <w:t xml:space="preserve"> </w:t>
      </w:r>
      <w:r>
        <w:rPr>
          <w:rFonts w:ascii="Arial" w:cs="Arial" w:eastAsia="Arial" w:hAnsi="Arial"/>
          <w:sz w:val="18"/>
          <w:szCs w:val="18"/>
          <w:color w:val="auto"/>
        </w:rPr>
        <w:t>Type 2 HAE, bradykinin is also an important mediator for other types of non-histaminergic angioedema, such as: non-histaminergic angioedema with normal C1-INH and acquired angioedema (AAE) due to C1-INH deficiency. Currently there are still no approved treatments for these angioedema patients who are unresponsive to conventional antihistamine/glucocorticoid treatment and have a high unmet medical need for effective therapies. Several clinical reports indicate that off-label use of icatibant has successfully treated acute attacks of non-histaminergic angioedema patients, which provides a strong rationale to expand the development PHVS416 and PHVS719 to address such a high unmet medical need.</w:t>
      </w:r>
    </w:p>
    <w:p>
      <w:pPr>
        <w:spacing w:after="0" w:line="100" w:lineRule="exact"/>
        <w:rPr>
          <w:rFonts w:ascii="Arial" w:cs="Arial" w:eastAsia="Arial" w:hAnsi="Arial"/>
          <w:sz w:val="18"/>
          <w:szCs w:val="18"/>
          <w:color w:val="auto"/>
        </w:rPr>
      </w:pPr>
    </w:p>
    <w:p>
      <w:pPr>
        <w:ind w:left="1000" w:right="20" w:hanging="547"/>
        <w:spacing w:after="0" w:line="25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Expand upon our expertise in the bradykinin-B2-receptor pathway</w:t>
      </w:r>
      <w:r>
        <w:rPr>
          <w:rFonts w:ascii="Arial" w:cs="Arial" w:eastAsia="Arial" w:hAnsi="Arial"/>
          <w:sz w:val="18"/>
          <w:szCs w:val="18"/>
          <w:color w:val="auto"/>
        </w:rPr>
        <w:t>. We intend to leverage the strategic strengths, insight, and deep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team in the bradykinin-B2-receptor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BK-mediated diseases beyond angioedema, such as cardiovascular, allergy and immunology, neurological disease or others.</w:t>
      </w:r>
    </w:p>
    <w:p>
      <w:pPr>
        <w:spacing w:after="0" w:line="93"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Commercialize our product candidates. </w:t>
      </w:r>
      <w:r>
        <w:rPr>
          <w:rFonts w:ascii="Arial" w:cs="Arial" w:eastAsia="Arial" w:hAnsi="Arial"/>
          <w:sz w:val="18"/>
          <w:szCs w:val="18"/>
          <w:color w:val="auto"/>
        </w:rPr>
        <w:t>We intend to retain economic and commercial ownership of our current product candidates. If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Hereditary Angioedema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gene, which codes for the C1-esterase inhibitor protein C1-INH. Deficiency or malfunction of C1-INH leads to uncontrolled synthesis and activity of plasma kallikrein and unconstrained BK production. Excessive BK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acute attacks of angioedema can occur idiopathically in individuals for which a hereditary cause has not yet been identified. Excessive amounts of BK can also be caused by increased circulation of estrogens, reduced C1-INH levels due to underlying diseases, reduced elimination of BK, or through use of medications such as angiotensin-converting enzyme, or ACE, inhibitors and tissue plasminogen activator, or tPA.</w:t>
      </w:r>
    </w:p>
    <w:p>
      <w:pPr>
        <w:spacing w:after="0" w:line="181"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Excessive BK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present in young children and may take 5-10 years or until early adolescence or young adulthood to be diagnosed. HAE affects 1:50,000 to 1:10,000 individuals globally, or at least 6,600 patients in the U.S. and at least 8,900 patients in the EU.</w:t>
      </w:r>
    </w:p>
    <w:p>
      <w:pPr>
        <w:spacing w:after="0" w:line="185" w:lineRule="exact"/>
        <w:rPr>
          <w:sz w:val="20"/>
          <w:szCs w:val="20"/>
          <w:color w:val="auto"/>
        </w:rPr>
      </w:pPr>
    </w:p>
    <w:p>
      <w:pPr>
        <w:jc w:val="both"/>
        <w:ind w:right="60" w:firstLine="449"/>
        <w:spacing w:after="0" w:line="279" w:lineRule="auto"/>
        <w:rPr>
          <w:sz w:val="20"/>
          <w:szCs w:val="20"/>
          <w:color w:val="auto"/>
        </w:rPr>
      </w:pPr>
      <w:r>
        <w:rPr>
          <w:rFonts w:ascii="Arial" w:cs="Arial" w:eastAsia="Arial" w:hAnsi="Arial"/>
          <w:sz w:val="17"/>
          <w:szCs w:val="17"/>
          <w:color w:val="auto"/>
        </w:rPr>
        <w:t>As a result of the lifelong nature of HAE and the challenges related to the use of many of the injected therapies, patient surveys consistently indicate an overwhelming desire for an oral therapy. We believe that a safe and effective oral agent has the potential to transform treatment for this disease.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Treatments and Their Limitations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There are currently two treatment approaches to the management of HAE: acute (on-demand) treatment of attacks and prevention of attacks with short- or long-term prophylactic therapy.</w:t>
      </w:r>
    </w:p>
    <w:p>
      <w:pPr>
        <w:spacing w:after="0" w:line="76" w:lineRule="exact"/>
        <w:rPr>
          <w:sz w:val="20"/>
          <w:szCs w:val="20"/>
          <w:color w:val="auto"/>
        </w:rPr>
      </w:pPr>
    </w:p>
    <w:p>
      <w:pPr>
        <w:ind w:left="1000" w:right="60" w:hanging="547"/>
        <w:spacing w:after="0" w:line="253"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On-Demand Treatment</w:t>
      </w:r>
      <w:r>
        <w:rPr>
          <w:rFonts w:ascii="Arial" w:cs="Arial" w:eastAsia="Arial" w:hAnsi="Arial"/>
          <w:sz w:val="18"/>
          <w:szCs w:val="18"/>
          <w:color w:val="auto"/>
        </w:rPr>
        <w:t>: The currently approved products for treatment of acute HAE attacks are all injectable products and include C1-INH</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products such as human plasma-derived C1-INH concentrates (BERINERT, CINRYZE, and CETOR) or recombinant human C1-INH (RUCONEST), the bradykinin-B2-receptor antagonist icatibant (FIRAZYR), and the plasma kallikrein inhibitor ecallantide (KALBITOR), which has been known to cause allergic reactions including anaphylaxis and must be administered by a doctor or nurse in a healthcare setting. The C1-INH concentrate products are isolated from donated human plasma and historically have been impacted by supply shortages. Subcutaneous, or s.c., icatibant is the only available bradykinin B2-receptor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90"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HAEGARDA/BERINERT 2000/3000 (both of which require twice-weekly injections), and the monoclonal antibody and plasma kallikrein inhibitor lanadelumab-flyo (TAKHZYRO).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 AEs, and overall suboptimal control of HAE in many patients. The use of attenuated androgens is limited by numerous safety issues, including seborrhea, altered libido, depression, fatigue, menstrual abnormalities, and masculinization.</w:t>
      </w:r>
    </w:p>
    <w:p>
      <w:pPr>
        <w:spacing w:after="0" w:line="165"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To our knowledge, three other angioedema-specific oral medications for acute, as well as prophylactic, use are in clinical development, and one, ORLADEYO (also known as berotralstat or BCX7353), was approved in the U.S. in the fourth quarter of 2020. All of these are kallikrein inhibitors. The angioedema-specific oral medications which, to our knowledge, are currently in clinical development, include: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0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Company</w:t>
            </w:r>
          </w:p>
        </w:tc>
        <w:tc>
          <w:tcPr>
            <w:tcW w:w="170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Asset</w:t>
            </w:r>
          </w:p>
        </w:tc>
        <w:tc>
          <w:tcPr>
            <w:tcW w:w="48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Mechanism of Action</w:t>
            </w:r>
          </w:p>
        </w:tc>
        <w:tc>
          <w:tcPr>
            <w:tcW w:w="1260" w:type="dxa"/>
            <w:vAlign w:val="bottom"/>
            <w:tcBorders>
              <w:top w:val="single" w:sz="8" w:color="auto"/>
              <w:right w:val="single" w:sz="8" w:color="auto"/>
            </w:tcBorders>
          </w:tcPr>
          <w:p>
            <w:pPr>
              <w:jc w:val="right"/>
              <w:ind w:right="363"/>
              <w:spacing w:after="0" w:line="149" w:lineRule="exact"/>
              <w:rPr>
                <w:sz w:val="20"/>
                <w:szCs w:val="20"/>
                <w:color w:val="auto"/>
              </w:rPr>
            </w:pPr>
            <w:r>
              <w:rPr>
                <w:rFonts w:ascii="Arial" w:cs="Arial" w:eastAsia="Arial" w:hAnsi="Arial"/>
                <w:sz w:val="14"/>
                <w:szCs w:val="14"/>
                <w:b w:val="1"/>
                <w:bCs w:val="1"/>
                <w:color w:val="auto"/>
              </w:rPr>
              <w:t>Route of</w:t>
            </w:r>
          </w:p>
        </w:tc>
        <w:tc>
          <w:tcPr>
            <w:tcW w:w="580" w:type="dxa"/>
            <w:vAlign w:val="bottom"/>
            <w:tcBorders>
              <w:top w:val="single" w:sz="8" w:color="auto"/>
              <w:right w:val="single" w:sz="8" w:color="auto"/>
            </w:tcBorders>
          </w:tcPr>
          <w:p>
            <w:pPr>
              <w:jc w:val="center"/>
              <w:ind w:left="123"/>
              <w:spacing w:after="0" w:line="149" w:lineRule="exact"/>
              <w:rPr>
                <w:sz w:val="20"/>
                <w:szCs w:val="20"/>
                <w:color w:val="auto"/>
              </w:rPr>
            </w:pPr>
            <w:r>
              <w:rPr>
                <w:rFonts w:ascii="Arial" w:cs="Arial" w:eastAsia="Arial" w:hAnsi="Arial"/>
                <w:sz w:val="14"/>
                <w:szCs w:val="14"/>
                <w:b w:val="1"/>
                <w:bCs w:val="1"/>
                <w:color w:val="auto"/>
              </w:rPr>
              <w:t>Trial</w:t>
            </w:r>
          </w:p>
        </w:tc>
        <w:tc>
          <w:tcPr>
            <w:tcW w:w="1880" w:type="dxa"/>
            <w:vAlign w:val="bottom"/>
            <w:tcBorders>
              <w:top w:val="single" w:sz="8" w:color="auto"/>
              <w:right w:val="single" w:sz="8" w:color="auto"/>
            </w:tcBorders>
          </w:tcPr>
          <w:p>
            <w:pPr>
              <w:jc w:val="center"/>
              <w:ind w:left="283"/>
              <w:spacing w:after="0" w:line="149" w:lineRule="exact"/>
              <w:rPr>
                <w:sz w:val="20"/>
                <w:szCs w:val="20"/>
                <w:color w:val="auto"/>
              </w:rPr>
            </w:pPr>
            <w:r>
              <w:rPr>
                <w:rFonts w:ascii="Arial" w:cs="Arial" w:eastAsia="Arial" w:hAnsi="Arial"/>
                <w:sz w:val="14"/>
                <w:szCs w:val="14"/>
                <w:b w:val="1"/>
                <w:bCs w:val="1"/>
                <w:color w:val="auto"/>
                <w:w w:val="94"/>
              </w:rPr>
              <w:t>Role in</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700" w:type="dxa"/>
            <w:vAlign w:val="bottom"/>
            <w:tcBorders>
              <w:bottom w:val="single" w:sz="8" w:color="auto"/>
              <w:right w:val="single" w:sz="8" w:color="auto"/>
            </w:tcBorders>
            <w:vMerge w:val="continue"/>
          </w:tcPr>
          <w:p>
            <w:pPr>
              <w:spacing w:after="0"/>
              <w:rPr>
                <w:sz w:val="15"/>
                <w:szCs w:val="15"/>
                <w:color w:val="auto"/>
              </w:rPr>
            </w:pPr>
          </w:p>
        </w:tc>
        <w:tc>
          <w:tcPr>
            <w:tcW w:w="4840" w:type="dxa"/>
            <w:vAlign w:val="bottom"/>
            <w:tcBorders>
              <w:bottom w:val="single" w:sz="8" w:color="auto"/>
              <w:right w:val="single" w:sz="8" w:color="auto"/>
            </w:tcBorders>
            <w:vMerge w:val="continue"/>
          </w:tcPr>
          <w:p>
            <w:pPr>
              <w:spacing w:after="0"/>
              <w:rPr>
                <w:sz w:val="15"/>
                <w:szCs w:val="15"/>
                <w:color w:val="auto"/>
              </w:rPr>
            </w:pPr>
          </w:p>
        </w:tc>
        <w:tc>
          <w:tcPr>
            <w:tcW w:w="1260" w:type="dxa"/>
            <w:vAlign w:val="bottom"/>
            <w:tcBorders>
              <w:bottom w:val="single" w:sz="8" w:color="auto"/>
              <w:right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Administration</w:t>
            </w:r>
          </w:p>
        </w:tc>
        <w:tc>
          <w:tcPr>
            <w:tcW w:w="580" w:type="dxa"/>
            <w:vAlign w:val="bottom"/>
            <w:tcBorders>
              <w:bottom w:val="single" w:sz="8" w:color="auto"/>
              <w:right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87"/>
              </w:rPr>
              <w:t>Phase</w:t>
            </w:r>
          </w:p>
        </w:tc>
        <w:tc>
          <w:tcPr>
            <w:tcW w:w="1880" w:type="dxa"/>
            <w:vAlign w:val="bottom"/>
            <w:tcBorders>
              <w:bottom w:val="single" w:sz="8" w:color="auto"/>
              <w:right w:val="single" w:sz="8" w:color="auto"/>
            </w:tcBorders>
          </w:tcPr>
          <w:p>
            <w:pPr>
              <w:jc w:val="center"/>
              <w:ind w:left="283"/>
              <w:spacing w:after="0"/>
              <w:rPr>
                <w:sz w:val="20"/>
                <w:szCs w:val="20"/>
                <w:color w:val="auto"/>
              </w:rPr>
            </w:pPr>
            <w:r>
              <w:rPr>
                <w:rFonts w:ascii="Arial" w:cs="Arial" w:eastAsia="Arial" w:hAnsi="Arial"/>
                <w:sz w:val="14"/>
                <w:szCs w:val="14"/>
                <w:b w:val="1"/>
                <w:bCs w:val="1"/>
                <w:color w:val="auto"/>
                <w:w w:val="95"/>
              </w:rPr>
              <w:t>Therapy</w:t>
            </w:r>
          </w:p>
        </w:tc>
        <w:tc>
          <w:tcPr>
            <w:tcW w:w="0" w:type="dxa"/>
            <w:vAlign w:val="bottom"/>
          </w:tcPr>
          <w:p>
            <w:pPr>
              <w:spacing w:after="0"/>
              <w:rPr>
                <w:sz w:val="1"/>
                <w:szCs w:val="1"/>
                <w:color w:val="auto"/>
              </w:rPr>
            </w:pPr>
          </w:p>
        </w:tc>
      </w:tr>
      <w:tr>
        <w:trPr>
          <w:trHeight w:val="196"/>
        </w:trPr>
        <w:tc>
          <w:tcPr>
            <w:tcW w:w="10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KalVista</w:t>
            </w:r>
          </w:p>
        </w:tc>
        <w:tc>
          <w:tcPr>
            <w:tcW w:w="17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KVD900</w:t>
            </w:r>
          </w:p>
        </w:tc>
        <w:tc>
          <w:tcPr>
            <w:tcW w:w="48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Kallikrein inhibitor</w:t>
            </w:r>
          </w:p>
        </w:tc>
        <w:tc>
          <w:tcPr>
            <w:tcW w:w="1260" w:type="dxa"/>
            <w:vAlign w:val="bottom"/>
            <w:tcBorders>
              <w:bottom w:val="single" w:sz="8" w:color="auto"/>
              <w:right w:val="single" w:sz="8" w:color="auto"/>
            </w:tcBorders>
          </w:tcPr>
          <w:p>
            <w:pPr>
              <w:jc w:val="right"/>
              <w:ind w:right="163"/>
              <w:spacing w:after="0"/>
              <w:rPr>
                <w:sz w:val="20"/>
                <w:szCs w:val="20"/>
                <w:color w:val="auto"/>
              </w:rPr>
            </w:pPr>
            <w:r>
              <w:rPr>
                <w:rFonts w:ascii="Arial" w:cs="Arial" w:eastAsia="Arial" w:hAnsi="Arial"/>
                <w:sz w:val="16"/>
                <w:szCs w:val="16"/>
                <w:color w:val="auto"/>
              </w:rPr>
              <w:t>Oral</w:t>
            </w:r>
          </w:p>
        </w:tc>
        <w:tc>
          <w:tcPr>
            <w:tcW w:w="580" w:type="dxa"/>
            <w:vAlign w:val="bottom"/>
            <w:tcBorders>
              <w:bottom w:val="single" w:sz="8" w:color="auto"/>
              <w:right w:val="single" w:sz="8" w:color="auto"/>
            </w:tcBorders>
          </w:tcPr>
          <w:p>
            <w:pPr>
              <w:jc w:val="center"/>
              <w:ind w:left="103"/>
              <w:spacing w:after="0"/>
              <w:rPr>
                <w:sz w:val="20"/>
                <w:szCs w:val="20"/>
                <w:color w:val="auto"/>
              </w:rPr>
            </w:pPr>
            <w:r>
              <w:rPr>
                <w:rFonts w:ascii="Arial" w:cs="Arial" w:eastAsia="Arial" w:hAnsi="Arial"/>
                <w:sz w:val="16"/>
                <w:szCs w:val="16"/>
                <w:color w:val="auto"/>
                <w:w w:val="89"/>
              </w:rPr>
              <w:t>2</w:t>
            </w:r>
          </w:p>
        </w:tc>
        <w:tc>
          <w:tcPr>
            <w:tcW w:w="1880" w:type="dxa"/>
            <w:vAlign w:val="bottom"/>
            <w:tcBorders>
              <w:bottom w:val="single" w:sz="8" w:color="auto"/>
              <w:right w:val="single" w:sz="8" w:color="auto"/>
            </w:tcBorders>
          </w:tcPr>
          <w:p>
            <w:pPr>
              <w:jc w:val="center"/>
              <w:ind w:left="283"/>
              <w:spacing w:after="0"/>
              <w:rPr>
                <w:sz w:val="20"/>
                <w:szCs w:val="20"/>
                <w:color w:val="auto"/>
              </w:rPr>
            </w:pPr>
            <w:r>
              <w:rPr>
                <w:rFonts w:ascii="Arial" w:cs="Arial" w:eastAsia="Arial" w:hAnsi="Arial"/>
                <w:sz w:val="16"/>
                <w:szCs w:val="16"/>
                <w:color w:val="auto"/>
                <w:w w:val="92"/>
              </w:rPr>
              <w:t>Acute treatment</w:t>
            </w:r>
          </w:p>
        </w:tc>
        <w:tc>
          <w:tcPr>
            <w:tcW w:w="0" w:type="dxa"/>
            <w:vAlign w:val="bottom"/>
          </w:tcPr>
          <w:p>
            <w:pPr>
              <w:spacing w:after="0"/>
              <w:rPr>
                <w:sz w:val="1"/>
                <w:szCs w:val="1"/>
                <w:color w:val="auto"/>
              </w:rPr>
            </w:pPr>
          </w:p>
        </w:tc>
      </w:tr>
      <w:tr>
        <w:trPr>
          <w:trHeight w:val="196"/>
        </w:trPr>
        <w:tc>
          <w:tcPr>
            <w:tcW w:w="1000" w:type="dxa"/>
            <w:vAlign w:val="bottom"/>
            <w:tcBorders>
              <w:left w:val="single" w:sz="8" w:color="auto"/>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KVD824</w:t>
            </w:r>
          </w:p>
        </w:tc>
        <w:tc>
          <w:tcPr>
            <w:tcW w:w="48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Kallikrein inhibitor</w:t>
            </w:r>
          </w:p>
        </w:tc>
        <w:tc>
          <w:tcPr>
            <w:tcW w:w="1260" w:type="dxa"/>
            <w:vAlign w:val="bottom"/>
            <w:tcBorders>
              <w:bottom w:val="single" w:sz="8" w:color="auto"/>
              <w:right w:val="single" w:sz="8" w:color="auto"/>
            </w:tcBorders>
          </w:tcPr>
          <w:p>
            <w:pPr>
              <w:jc w:val="right"/>
              <w:ind w:right="163"/>
              <w:spacing w:after="0"/>
              <w:rPr>
                <w:sz w:val="20"/>
                <w:szCs w:val="20"/>
                <w:color w:val="auto"/>
              </w:rPr>
            </w:pPr>
            <w:r>
              <w:rPr>
                <w:rFonts w:ascii="Arial" w:cs="Arial" w:eastAsia="Arial" w:hAnsi="Arial"/>
                <w:sz w:val="16"/>
                <w:szCs w:val="16"/>
                <w:color w:val="auto"/>
              </w:rPr>
              <w:t>Oral</w:t>
            </w:r>
          </w:p>
        </w:tc>
        <w:tc>
          <w:tcPr>
            <w:tcW w:w="580" w:type="dxa"/>
            <w:vAlign w:val="bottom"/>
            <w:tcBorders>
              <w:bottom w:val="single" w:sz="8" w:color="auto"/>
              <w:right w:val="single" w:sz="8" w:color="auto"/>
            </w:tcBorders>
          </w:tcPr>
          <w:p>
            <w:pPr>
              <w:jc w:val="center"/>
              <w:ind w:left="103"/>
              <w:spacing w:after="0"/>
              <w:rPr>
                <w:sz w:val="20"/>
                <w:szCs w:val="20"/>
                <w:color w:val="auto"/>
              </w:rPr>
            </w:pPr>
            <w:r>
              <w:rPr>
                <w:rFonts w:ascii="Arial" w:cs="Arial" w:eastAsia="Arial" w:hAnsi="Arial"/>
                <w:sz w:val="16"/>
                <w:szCs w:val="16"/>
                <w:color w:val="auto"/>
                <w:w w:val="89"/>
              </w:rPr>
              <w:t>1</w:t>
            </w:r>
          </w:p>
        </w:tc>
        <w:tc>
          <w:tcPr>
            <w:tcW w:w="1880" w:type="dxa"/>
            <w:vAlign w:val="bottom"/>
            <w:tcBorders>
              <w:bottom w:val="single" w:sz="8" w:color="auto"/>
              <w:right w:val="single" w:sz="8" w:color="auto"/>
            </w:tcBorders>
          </w:tcPr>
          <w:p>
            <w:pPr>
              <w:jc w:val="center"/>
              <w:ind w:left="283"/>
              <w:spacing w:after="0"/>
              <w:rPr>
                <w:sz w:val="20"/>
                <w:szCs w:val="20"/>
                <w:color w:val="auto"/>
              </w:rPr>
            </w:pPr>
            <w:r>
              <w:rPr>
                <w:rFonts w:ascii="Arial" w:cs="Arial" w:eastAsia="Arial" w:hAnsi="Arial"/>
                <w:sz w:val="16"/>
                <w:szCs w:val="16"/>
                <w:color w:val="auto"/>
                <w:w w:val="91"/>
              </w:rPr>
              <w:t>Prophylaxis</w:t>
            </w:r>
          </w:p>
        </w:tc>
        <w:tc>
          <w:tcPr>
            <w:tcW w:w="0" w:type="dxa"/>
            <w:vAlign w:val="bottom"/>
          </w:tcPr>
          <w:p>
            <w:pPr>
              <w:spacing w:after="0"/>
              <w:rPr>
                <w:sz w:val="1"/>
                <w:szCs w:val="1"/>
                <w:color w:val="auto"/>
              </w:rPr>
            </w:pPr>
          </w:p>
        </w:tc>
      </w:tr>
      <w:tr>
        <w:trPr>
          <w:trHeight w:val="196"/>
        </w:trPr>
        <w:tc>
          <w:tcPr>
            <w:tcW w:w="1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Attune</w:t>
            </w:r>
          </w:p>
        </w:tc>
        <w:tc>
          <w:tcPr>
            <w:tcW w:w="17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ATN-249</w:t>
            </w:r>
          </w:p>
        </w:tc>
        <w:tc>
          <w:tcPr>
            <w:tcW w:w="48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Kallikrein inhibitor</w:t>
            </w:r>
          </w:p>
        </w:tc>
        <w:tc>
          <w:tcPr>
            <w:tcW w:w="1260" w:type="dxa"/>
            <w:vAlign w:val="bottom"/>
            <w:tcBorders>
              <w:bottom w:val="single" w:sz="8" w:color="auto"/>
              <w:right w:val="single" w:sz="8" w:color="auto"/>
            </w:tcBorders>
          </w:tcPr>
          <w:p>
            <w:pPr>
              <w:jc w:val="right"/>
              <w:ind w:right="163"/>
              <w:spacing w:after="0"/>
              <w:rPr>
                <w:sz w:val="20"/>
                <w:szCs w:val="20"/>
                <w:color w:val="auto"/>
              </w:rPr>
            </w:pPr>
            <w:r>
              <w:rPr>
                <w:rFonts w:ascii="Arial" w:cs="Arial" w:eastAsia="Arial" w:hAnsi="Arial"/>
                <w:sz w:val="16"/>
                <w:szCs w:val="16"/>
                <w:color w:val="auto"/>
              </w:rPr>
              <w:t>Oral</w:t>
            </w:r>
          </w:p>
        </w:tc>
        <w:tc>
          <w:tcPr>
            <w:tcW w:w="580" w:type="dxa"/>
            <w:vAlign w:val="bottom"/>
            <w:tcBorders>
              <w:bottom w:val="single" w:sz="8" w:color="auto"/>
              <w:right w:val="single" w:sz="8" w:color="auto"/>
            </w:tcBorders>
          </w:tcPr>
          <w:p>
            <w:pPr>
              <w:jc w:val="center"/>
              <w:ind w:left="103"/>
              <w:spacing w:after="0"/>
              <w:rPr>
                <w:sz w:val="20"/>
                <w:szCs w:val="20"/>
                <w:color w:val="auto"/>
              </w:rPr>
            </w:pPr>
            <w:r>
              <w:rPr>
                <w:rFonts w:ascii="Arial" w:cs="Arial" w:eastAsia="Arial" w:hAnsi="Arial"/>
                <w:sz w:val="16"/>
                <w:szCs w:val="16"/>
                <w:color w:val="auto"/>
                <w:w w:val="89"/>
              </w:rPr>
              <w:t>1</w:t>
            </w:r>
          </w:p>
        </w:tc>
        <w:tc>
          <w:tcPr>
            <w:tcW w:w="1880" w:type="dxa"/>
            <w:vAlign w:val="bottom"/>
            <w:tcBorders>
              <w:bottom w:val="single" w:sz="8" w:color="auto"/>
              <w:right w:val="single" w:sz="8" w:color="auto"/>
            </w:tcBorders>
          </w:tcPr>
          <w:p>
            <w:pPr>
              <w:jc w:val="center"/>
              <w:ind w:left="283"/>
              <w:spacing w:after="0"/>
              <w:rPr>
                <w:sz w:val="20"/>
                <w:szCs w:val="20"/>
                <w:color w:val="auto"/>
              </w:rPr>
            </w:pPr>
            <w:r>
              <w:rPr>
                <w:rFonts w:ascii="Arial" w:cs="Arial" w:eastAsia="Arial" w:hAnsi="Arial"/>
                <w:sz w:val="16"/>
                <w:szCs w:val="16"/>
                <w:color w:val="auto"/>
                <w:w w:val="91"/>
              </w:rPr>
              <w:t>Prophylaxis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believe that the properties and mechanism of PHA121 enable us to develop oral product candidates that will be generally more convenient for patients to take, without sacrificing efficacy for treatment or prevention of angioedema attacks. For example, the known oral kallikrein inhibitors tested in on-demand settings to date have utilized doses that are more than twenty-fold higher than the dose we predict for PHVS416, and have not yet demonstrated efficacy matching the approved injectable products. In the prophylactic setting, oral kallikrein inhibitors have not yet demonstrated efficacy similar to the approved injectable products, and have used or are projected to use doses much higher than we project for PHVS719.</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indications to BK</w:t>
      </w:r>
    </w:p>
    <w:p>
      <w:pPr>
        <w:spacing w:after="0" w:line="11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In addition to Type 1 or Type 2 HAE, bradykinin is also an important mediator for other types of non-histaminergic angioedema, such as: non-histaminergic angioedema with normal C1-INH and acquired angioedema (AAE) due to C1-INH deficiency. Unlike HAE Types 1/2, for the other forms of non-histaminergic angioedema, an unclear pathophysiology and lack of consistent diagnostic criteria have limited the opportunity for the clinical investigation and new treatment development. Consequently, there are still no approved treatments for non-histaminergic angioedema patients with normal C1-INH or AAE due to C1-INH deficiency, who are unresponsive to conventional antihistamine/glucocorticoid treatment and have a high unmet medical need for effective modern therapies. Recently the clinical research for non-histaminergic angioedema has made significant progress. Similar to Type 1 or 2 HAE, the kinin pathway potentially plays a critical role in the underlying pathophysiology of non-histaminergic angioedema, for example, bradykinin has been shown to be elevated in plasma from non-histaminergic angioedema patients during acute attacks and several clinical reports indicate that icatibant has successfully treated acute attacks in either non-histaminergic angioedema patients with normal C1-INH or AAE due to C1-INH deficiency patients. All these provide strong rationales to expand the development PHVS416 and PHVS719 to these types of BK-mediated angioedema and address the high unmet medical need.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PHA121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Since the 1990s, many companies have tried but failed to discover oral bradykinin-B2-receptor antagonists, as the bradykinin B2 receptor has proved to be a difficult target for the development of orally available antagonists. Historically, compounds targeting the bradykinin B2 receptor with adequate potency have had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60"/>
          </w:cols>
          <w:pgMar w:left="32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physicochemical properties inconsistent with oral bioavailability. The bradykinin B2 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 B2 receptor, we designed and synthesized a novel lead series (a set of molecules with the potential to be further optimized). Through our lead optimization program, we synthesized over 600 compounds to select a small molecule that is designed to fit in the bradykinin-binding pocket at the bradykinin B2 receptor, preventing or halting its signaling activity, while also possessing desirable physicochemical properties and other profiling characteristics.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Bradykinin is the principal mediator of the signs and symptoms that represent acute HAE and other bradykinin-mediated angioedema attacks.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Bradykinin is a potent and selective agonist of the bradykinin B2 receptor.</w:t>
      </w:r>
    </w:p>
    <w:p>
      <w:pPr>
        <w:spacing w:after="0" w:line="211" w:lineRule="exact"/>
        <w:rPr>
          <w:sz w:val="20"/>
          <w:szCs w:val="20"/>
          <w:color w:val="auto"/>
        </w:rPr>
      </w:pPr>
    </w:p>
    <w:p>
      <w:pPr>
        <w:ind w:right="660" w:firstLine="449"/>
        <w:spacing w:after="0" w:line="308" w:lineRule="auto"/>
        <w:rPr>
          <w:sz w:val="20"/>
          <w:szCs w:val="20"/>
          <w:color w:val="auto"/>
        </w:rPr>
      </w:pPr>
      <w:r>
        <w:rPr>
          <w:rFonts w:ascii="Arial" w:cs="Arial" w:eastAsia="Arial" w:hAnsi="Arial"/>
          <w:sz w:val="17"/>
          <w:szCs w:val="17"/>
          <w:color w:val="auto"/>
        </w:rPr>
        <w:t>In HAE and other bradykinin-mediated angioedema, contact activation triggers increased activity of plasma kallikrein, resulting in excessive breakdown of high-molecular-weight kininogen (HMWK) and increased production of cleaved HMWK (cHMWK) and bradykinin.</w:t>
      </w:r>
    </w:p>
    <w:p>
      <w:pPr>
        <w:spacing w:after="0" w:line="146" w:lineRule="exact"/>
        <w:rPr>
          <w:sz w:val="20"/>
          <w:szCs w:val="20"/>
          <w:color w:val="auto"/>
        </w:rPr>
      </w:pPr>
    </w:p>
    <w:p>
      <w:pPr>
        <w:ind w:right="920" w:firstLine="449"/>
        <w:spacing w:after="0" w:line="277" w:lineRule="auto"/>
        <w:rPr>
          <w:sz w:val="20"/>
          <w:szCs w:val="20"/>
          <w:color w:val="auto"/>
        </w:rPr>
      </w:pPr>
      <w:r>
        <w:rPr>
          <w:rFonts w:ascii="Arial" w:cs="Arial" w:eastAsia="Arial" w:hAnsi="Arial"/>
          <w:sz w:val="18"/>
          <w:szCs w:val="18"/>
          <w:color w:val="auto"/>
        </w:rPr>
        <w:t>Excessive bradykinin generation, as in HAE, promotes vascular permeability by activating the bradykinin B2 receptor, leading to plasma extravasation and subcutaneous or submucosal tissue swelling typical of an angioedema attack.</w:t>
      </w:r>
    </w:p>
    <w:p>
      <w:pPr>
        <w:spacing w:after="0" w:line="170"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As the figure below illustrates, treatment with PHA121, an orally bioavailable low-molecular weight, potent, competitive and selective antagonist of the human bradykinin B2 receptor, is intended to block and prevent activation of the bradykinin B2 receptor by elevated bradykinin levels and prevent or halt the angioedema process, with reduced or resolved swelling as a consequence. PHA121 therefore has the therapeutic potential for both acute on-demand treatment and long-term prevention of attacks in patients with bradykinin-mediated angioedema.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828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86" w:lineRule="auto"/>
        <w:rPr>
          <w:sz w:val="20"/>
          <w:szCs w:val="20"/>
          <w:color w:val="auto"/>
        </w:rPr>
      </w:pPr>
      <w:r>
        <w:rPr>
          <w:rFonts w:ascii="Arial" w:cs="Arial" w:eastAsia="Arial" w:hAnsi="Arial"/>
          <w:sz w:val="17"/>
          <w:szCs w:val="17"/>
          <w:color w:val="auto"/>
        </w:rPr>
        <w:t>PHA121 combines the preclinical selectivity of bradykinin-B2-receptor antagonism with oral bioavailability and extended exposure upon a single dose. PHA121 is being developed to become the first effective orally administered antagonist of BK activity with therapeutic potential for both acute on-demand treatment and long-term prevention of attacks in patients with HAE and other BK-mediated angioedema.</w:t>
      </w:r>
    </w:p>
    <w:p>
      <w:pPr>
        <w:spacing w:after="0" w:line="165"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PHA121 is an orally bioavailable competitive antagonist of the bradykinin B2 receptor with high affinity and high antagonist potency. PHA121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 PHA121 demonstrated 5000-fold selectivity for the bradykinin B2 receptor when compared to approximately 170 other molecular targets, including the bradykinin B1 receptor. As shown in the graphs below depicting mean arterial blood pressure (MABP) in a bradykinin challenge study in monkeys (back-translated from human), PHA121 showed clear dose-dependent activity. While differences between human and monkey PK prevent direct extrapolation to human dose, PHA121 demonstrated longer duration and faster onset of activity than injected icatibant in the same study.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prospectus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BK-Challenge in Pre-Clinical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171450</wp:posOffset>
            </wp:positionV>
            <wp:extent cx="4389120" cy="25285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8912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320" w:top="459" w:right="3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205740</wp:posOffset>
            </wp:positionV>
            <wp:extent cx="4389120" cy="2228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8912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 published study conducted by the Company, a dose of 0.6mg/kg sc icatibant was used in monkeys, as PK data indicated that this dose would provide an exposure (C</w:t>
      </w:r>
      <w:r>
        <w:rPr>
          <w:rFonts w:ascii="Arial" w:cs="Arial" w:eastAsia="Arial" w:hAnsi="Arial"/>
          <w:sz w:val="15"/>
          <w:szCs w:val="15"/>
          <w:color w:val="auto"/>
        </w:rPr>
        <w:t>max</w:t>
      </w:r>
      <w:r>
        <w:rPr>
          <w:rFonts w:ascii="Arial" w:cs="Arial" w:eastAsia="Arial" w:hAnsi="Arial"/>
          <w:sz w:val="18"/>
          <w:szCs w:val="18"/>
          <w:color w:val="auto"/>
        </w:rPr>
        <w:t xml:space="preserve"> 1,044 ng/ml, AUC 2,155 ng*h/ml, PHA0221-NC041) similar to the exposures seen in humans at a therapeutic dose of 30 mg sc (C</w:t>
      </w:r>
      <w:r>
        <w:rPr>
          <w:rFonts w:ascii="Arial" w:cs="Arial" w:eastAsia="Arial" w:hAnsi="Arial"/>
          <w:sz w:val="15"/>
          <w:szCs w:val="15"/>
          <w:color w:val="auto"/>
        </w:rPr>
        <w:t>max</w:t>
      </w:r>
      <w:r>
        <w:rPr>
          <w:rFonts w:ascii="Arial" w:cs="Arial" w:eastAsia="Arial" w:hAnsi="Arial"/>
          <w:sz w:val="18"/>
          <w:szCs w:val="18"/>
          <w:color w:val="auto"/>
        </w:rPr>
        <w:t xml:space="preserve"> 979 ng/ml, AUC 2,191 ng*h/ml). The dose was found to effectively antagonize the BK challenge in monkeys up to six hours after dosing, similar to its duration of action in humans. The maximal effect of icatibant in this model was reached at the second measure time point, two hours after dosing. The vehicle in the icatibant study was saline.</w:t>
      </w:r>
    </w:p>
    <w:p>
      <w:pPr>
        <w:spacing w:after="0" w:line="188"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color w:val="auto"/>
        </w:rPr>
        <w:t>PHA121 inhibited the BK-induced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BK-induced changes in MABP at two hours after dosing.</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Toxicology</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conducted secondary and safety pharmacology studies for PHA121 which did not reveal any safety concerns at exposure levels achieved or anticipated in conducted or planned clinical trials. In addition, PHA121 did not demonstrate any genotoxic or phototoxic potential. In repeat-dose general toxicity Good Laboratory Practices, or GLP studies in the rat and cynomolgus monkey of up to 3 months duration, and at doses up to the maximum tolerated in each species, no target organs of toxicity considered relevant to humans were observed. Functional assessment of male and female fertility is not yet complete but from repeat-dose GLP toxicity studies in rat and monkey, of up to 3 months duration, there are no organ weight or histopathological changes of concern in the reproductive tract of either gender. Furthermore, PHA121 has not demonstrated any adverse effects on embryo-fetal development in dose-range-finding embryo-fetal development studies in the humanized bradykinin-B2-receptor transgenic rat or in the rabbit.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 Program</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5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Study Number</w:t>
            </w:r>
          </w:p>
        </w:tc>
        <w:tc>
          <w:tcPr>
            <w:tcW w:w="16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Short Description</w:t>
            </w:r>
          </w:p>
        </w:tc>
        <w:tc>
          <w:tcPr>
            <w:tcW w:w="7060" w:type="dxa"/>
            <w:vAlign w:val="bottom"/>
            <w:tcBorders>
              <w:top w:val="single" w:sz="8" w:color="auto"/>
              <w:right w:val="single" w:sz="8" w:color="auto"/>
            </w:tcBorders>
          </w:tcPr>
          <w:p>
            <w:pPr>
              <w:ind w:left="3520"/>
              <w:spacing w:after="0"/>
              <w:rPr>
                <w:sz w:val="20"/>
                <w:szCs w:val="20"/>
                <w:color w:val="auto"/>
              </w:rPr>
            </w:pPr>
            <w:r>
              <w:rPr>
                <w:rFonts w:ascii="Arial" w:cs="Arial" w:eastAsia="Arial" w:hAnsi="Arial"/>
                <w:sz w:val="14"/>
                <w:szCs w:val="14"/>
                <w:b w:val="1"/>
                <w:bCs w:val="1"/>
                <w:color w:val="auto"/>
              </w:rPr>
              <w:t>Design</w:t>
            </w:r>
          </w:p>
        </w:tc>
        <w:tc>
          <w:tcPr>
            <w:tcW w:w="9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Status</w:t>
            </w:r>
          </w:p>
        </w:tc>
      </w:tr>
      <w:tr>
        <w:trPr>
          <w:trHeight w:val="39"/>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70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4"/>
        </w:trPr>
        <w:tc>
          <w:tcPr>
            <w:tcW w:w="1540" w:type="dxa"/>
            <w:vAlign w:val="bottom"/>
            <w:tcBorders>
              <w:left w:val="single" w:sz="8" w:color="auto"/>
            </w:tcBorders>
          </w:tcPr>
          <w:p>
            <w:pPr>
              <w:ind w:left="160"/>
              <w:spacing w:after="0"/>
              <w:rPr>
                <w:sz w:val="20"/>
                <w:szCs w:val="20"/>
                <w:color w:val="auto"/>
              </w:rPr>
            </w:pPr>
            <w:r>
              <w:rPr>
                <w:rFonts w:ascii="Arial" w:cs="Arial" w:eastAsia="Arial" w:hAnsi="Arial"/>
                <w:sz w:val="16"/>
                <w:szCs w:val="16"/>
                <w:b w:val="1"/>
                <w:bCs w:val="1"/>
                <w:color w:val="auto"/>
              </w:rPr>
              <w:t>Phase 1</w:t>
            </w:r>
          </w:p>
        </w:tc>
        <w:tc>
          <w:tcPr>
            <w:tcW w:w="16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87"/>
        </w:trPr>
        <w:tc>
          <w:tcPr>
            <w:tcW w:w="1540" w:type="dxa"/>
            <w:vAlign w:val="bottom"/>
            <w:tcBorders>
              <w:left w:val="single" w:sz="8" w:color="auto"/>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706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r>
      <w:tr>
        <w:trPr>
          <w:trHeight w:val="186"/>
        </w:trPr>
        <w:tc>
          <w:tcPr>
            <w:tcW w:w="1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C001</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89"/>
              </w:rPr>
              <w:t>Single ascending dose</w:t>
            </w: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w w:val="93"/>
              </w:rPr>
              <w:t>Randomized, double-blind, placebo-controlled, single ascending dose to assess safety and proof-of-</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Completed</w:t>
            </w: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(SAD) and BK</w:t>
            </w: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mechanism through BK-challenge</w:t>
            </w:r>
          </w:p>
        </w:tc>
        <w:tc>
          <w:tcPr>
            <w:tcW w:w="980" w:type="dxa"/>
            <w:vAlign w:val="bottom"/>
            <w:tcBorders>
              <w:right w:val="single" w:sz="8" w:color="auto"/>
            </w:tcBorders>
          </w:tcPr>
          <w:p>
            <w:pPr>
              <w:spacing w:after="0"/>
              <w:rPr>
                <w:sz w:val="17"/>
                <w:szCs w:val="17"/>
                <w:color w:val="auto"/>
              </w:rPr>
            </w:pP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challenge /</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SAD-proof of</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6"/>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mechanism (POM)</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101"/>
        </w:trPr>
        <w:tc>
          <w:tcPr>
            <w:tcW w:w="154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200"/>
        </w:trPr>
        <w:tc>
          <w:tcPr>
            <w:tcW w:w="1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C002</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SAD extension</w:t>
            </w: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Randomized, double-blind, placebo-controlled, single ascending dose to assess safety</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Completed</w:t>
            </w:r>
          </w:p>
        </w:tc>
      </w:tr>
      <w:tr>
        <w:trPr>
          <w:trHeight w:val="91"/>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r>
      <w:tr>
        <w:trPr>
          <w:trHeight w:val="186"/>
        </w:trPr>
        <w:tc>
          <w:tcPr>
            <w:tcW w:w="1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C003</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Absorption,</w:t>
            </w:r>
          </w:p>
        </w:tc>
        <w:tc>
          <w:tcPr>
            <w:tcW w:w="7060" w:type="dxa"/>
            <w:vAlign w:val="bottom"/>
            <w:tcBorders>
              <w:right w:val="single" w:sz="8" w:color="auto"/>
            </w:tcBorders>
          </w:tcPr>
          <w:p>
            <w:pPr>
              <w:ind w:left="420"/>
              <w:spacing w:after="0" w:line="187" w:lineRule="exact"/>
              <w:rPr>
                <w:sz w:val="20"/>
                <w:szCs w:val="20"/>
                <w:color w:val="auto"/>
              </w:rPr>
            </w:pPr>
            <w:r>
              <w:rPr>
                <w:rFonts w:ascii="Arial" w:cs="Arial" w:eastAsia="Arial" w:hAnsi="Arial"/>
                <w:sz w:val="13"/>
                <w:szCs w:val="13"/>
                <w:color w:val="auto"/>
              </w:rPr>
              <w:t xml:space="preserve">Open-label, single dose </w:t>
            </w:r>
            <w:r>
              <w:rPr>
                <w:rFonts w:ascii="Arial" w:cs="Arial" w:eastAsia="Arial" w:hAnsi="Arial"/>
                <w:sz w:val="21"/>
                <w:szCs w:val="21"/>
                <w:color w:val="auto"/>
                <w:vertAlign w:val="superscript"/>
              </w:rPr>
              <w:t>14</w:t>
            </w:r>
            <w:r>
              <w:rPr>
                <w:rFonts w:ascii="Arial" w:cs="Arial" w:eastAsia="Arial" w:hAnsi="Arial"/>
                <w:sz w:val="13"/>
                <w:szCs w:val="13"/>
                <w:color w:val="auto"/>
              </w:rPr>
              <w:t>C-PHA121 to characterize the absorption, metabolism and excretion</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Planned</w:t>
            </w: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metabolism and</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(2021)</w:t>
            </w: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excretion (mass</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6"/>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balance)</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100"/>
        </w:trPr>
        <w:tc>
          <w:tcPr>
            <w:tcW w:w="154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186"/>
        </w:trPr>
        <w:tc>
          <w:tcPr>
            <w:tcW w:w="1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C004</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5"/>
              </w:rPr>
              <w:t>Drug-drug interaction</w:t>
            </w: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Open-label, single-sequence, crossover DDI study</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Completed</w:t>
            </w: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(DDI)—CYP3A4</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inhibitor</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(itraconazole)</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6"/>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interaction</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100"/>
        </w:trPr>
        <w:tc>
          <w:tcPr>
            <w:tcW w:w="154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186"/>
        </w:trPr>
        <w:tc>
          <w:tcPr>
            <w:tcW w:w="1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C005</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DDI—CYP</w:t>
            </w: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Open-label, single-sequence, crossover DDI study</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Planned</w:t>
            </w:r>
          </w:p>
        </w:tc>
      </w:tr>
      <w:tr>
        <w:trPr>
          <w:trHeight w:val="206"/>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interaction (cocktail)</w:t>
            </w:r>
          </w:p>
        </w:tc>
        <w:tc>
          <w:tcPr>
            <w:tcW w:w="70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(2021)</w:t>
            </w:r>
          </w:p>
        </w:tc>
      </w:tr>
      <w:tr>
        <w:trPr>
          <w:trHeight w:val="100"/>
        </w:trPr>
        <w:tc>
          <w:tcPr>
            <w:tcW w:w="154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186"/>
        </w:trPr>
        <w:tc>
          <w:tcPr>
            <w:tcW w:w="1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C006</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Multiple ascending</w:t>
            </w: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w w:val="91"/>
              </w:rPr>
              <w:t>Randomized, double-blind, placebo-controlled, multiple ascending dose to assess safety and different</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Completed</w:t>
            </w:r>
          </w:p>
        </w:tc>
      </w:tr>
      <w:tr>
        <w:trPr>
          <w:trHeight w:val="206"/>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dose (MAD)</w:t>
            </w: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doses</w:t>
            </w:r>
          </w:p>
        </w:tc>
        <w:tc>
          <w:tcPr>
            <w:tcW w:w="980" w:type="dxa"/>
            <w:vAlign w:val="bottom"/>
            <w:tcBorders>
              <w:right w:val="single" w:sz="8" w:color="auto"/>
            </w:tcBorders>
          </w:tcPr>
          <w:p>
            <w:pPr>
              <w:spacing w:after="0"/>
              <w:rPr>
                <w:sz w:val="17"/>
                <w:szCs w:val="17"/>
                <w:color w:val="auto"/>
              </w:rPr>
            </w:pPr>
          </w:p>
        </w:tc>
      </w:tr>
      <w:tr>
        <w:trPr>
          <w:trHeight w:val="100"/>
        </w:trPr>
        <w:tc>
          <w:tcPr>
            <w:tcW w:w="154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204"/>
        </w:trPr>
        <w:tc>
          <w:tcPr>
            <w:tcW w:w="1540" w:type="dxa"/>
            <w:vAlign w:val="bottom"/>
            <w:tcBorders>
              <w:left w:val="single" w:sz="8" w:color="auto"/>
            </w:tcBorders>
          </w:tcPr>
          <w:p>
            <w:pPr>
              <w:ind w:left="160"/>
              <w:spacing w:after="0"/>
              <w:rPr>
                <w:sz w:val="20"/>
                <w:szCs w:val="20"/>
                <w:color w:val="auto"/>
              </w:rPr>
            </w:pPr>
            <w:r>
              <w:rPr>
                <w:rFonts w:ascii="Arial" w:cs="Arial" w:eastAsia="Arial" w:hAnsi="Arial"/>
                <w:sz w:val="16"/>
                <w:szCs w:val="16"/>
                <w:b w:val="1"/>
                <w:bCs w:val="1"/>
                <w:color w:val="auto"/>
              </w:rPr>
              <w:t>Phase 2</w:t>
            </w:r>
          </w:p>
        </w:tc>
        <w:tc>
          <w:tcPr>
            <w:tcW w:w="16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87"/>
        </w:trPr>
        <w:tc>
          <w:tcPr>
            <w:tcW w:w="1540" w:type="dxa"/>
            <w:vAlign w:val="bottom"/>
            <w:tcBorders>
              <w:left w:val="single" w:sz="8" w:color="auto"/>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706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r>
      <w:tr>
        <w:trPr>
          <w:trHeight w:val="186"/>
        </w:trPr>
        <w:tc>
          <w:tcPr>
            <w:tcW w:w="1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C201 RAPIDe-1</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2"/>
              </w:rPr>
              <w:t>PHVS416 on-demand</w:t>
            </w: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w w:val="97"/>
              </w:rPr>
              <w:t>Phase 2, randomized, double blind, placebo-controlled, dose ranging study to assess safety and</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Initiating</w:t>
            </w:r>
          </w:p>
        </w:tc>
      </w:tr>
      <w:tr>
        <w:trPr>
          <w:trHeight w:val="206"/>
        </w:trPr>
        <w:tc>
          <w:tcPr>
            <w:tcW w:w="15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0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efficacy</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(2021)</w:t>
            </w:r>
          </w:p>
        </w:tc>
      </w:tr>
      <w:tr>
        <w:trPr>
          <w:trHeight w:val="100"/>
        </w:trPr>
        <w:tc>
          <w:tcPr>
            <w:tcW w:w="154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PHA121-C001 (SAD and BK challenge / SAD-POM)</w:t>
      </w:r>
    </w:p>
    <w:p>
      <w:pPr>
        <w:spacing w:after="0" w:line="11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PHA121-C001 was a randomized, double-blind, placebo-controlled, single ascending dose and proof-of-mechanism study to examine the safety, tolerability, PK and PD of orally administered PHA121 in healthy subjects. A total of 52 subjects received single ascending oral doses of PHA121 up to 22 mg. The 16 remaining subjects received placebo. No adverse event, or AE, was reported as serious, no premature withdrawals due to AEs occurred and no severe AEs were reported. In addition, no clinically relevant fluctuations of blood pressure and no orthostatic hypotension linked to PHA121 groups occurred. The overall incidence of AEs was similar between the placebo and PHA121. Treatment-related AEs were reported for three subjects who received PHA121 (12 or 22 mg), all within the gastrointestinal system and of mild severity: upper abdominal pain, vomiting, and nausea. There were no apparent trends or dose-related changes in hematology, clinical chemistry, vital signs, or ECG.</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Pharmacokinetics Analysis</w:t>
      </w:r>
    </w:p>
    <w:p>
      <w:pPr>
        <w:spacing w:after="0" w:line="117" w:lineRule="exact"/>
        <w:rPr>
          <w:sz w:val="20"/>
          <w:szCs w:val="20"/>
          <w:color w:val="auto"/>
        </w:rPr>
      </w:pPr>
    </w:p>
    <w:p>
      <w:pPr>
        <w:jc w:val="both"/>
        <w:ind w:right="80" w:firstLine="449"/>
        <w:spacing w:after="0" w:line="311" w:lineRule="auto"/>
        <w:rPr>
          <w:sz w:val="20"/>
          <w:szCs w:val="20"/>
          <w:color w:val="auto"/>
        </w:rPr>
      </w:pPr>
      <w:r>
        <w:rPr>
          <w:rFonts w:ascii="Arial" w:cs="Arial" w:eastAsia="Arial" w:hAnsi="Arial"/>
          <w:sz w:val="16"/>
          <w:szCs w:val="16"/>
          <w:color w:val="auto"/>
        </w:rPr>
        <w:t>Dose proportional PK was observed after single oral administration under fasting condition of PHA121 in the dose range of 1 mg to 22 mg for C</w:t>
      </w:r>
      <w:r>
        <w:rPr>
          <w:rFonts w:ascii="Arial" w:cs="Arial" w:eastAsia="Arial" w:hAnsi="Arial"/>
          <w:sz w:val="13"/>
          <w:szCs w:val="13"/>
          <w:color w:val="auto"/>
        </w:rPr>
        <w:t>max</w:t>
      </w:r>
      <w:r>
        <w:rPr>
          <w:rFonts w:ascii="Arial" w:cs="Arial" w:eastAsia="Arial" w:hAnsi="Arial"/>
          <w:sz w:val="16"/>
          <w:szCs w:val="16"/>
          <w:color w:val="auto"/>
        </w:rPr>
        <w:t>, AUC</w:t>
      </w:r>
      <w:r>
        <w:rPr>
          <w:rFonts w:ascii="Arial" w:cs="Arial" w:eastAsia="Arial" w:hAnsi="Arial"/>
          <w:sz w:val="13"/>
          <w:szCs w:val="13"/>
          <w:color w:val="auto"/>
        </w:rPr>
        <w:t>last</w:t>
      </w:r>
      <w:r>
        <w:rPr>
          <w:rFonts w:ascii="Arial" w:cs="Arial" w:eastAsia="Arial" w:hAnsi="Arial"/>
          <w:sz w:val="16"/>
          <w:szCs w:val="16"/>
          <w:color w:val="auto"/>
        </w:rPr>
        <w:t xml:space="preserve"> and AUC</w:t>
      </w:r>
      <w:r>
        <w:rPr>
          <w:rFonts w:ascii="Arial" w:cs="Arial" w:eastAsia="Arial" w:hAnsi="Arial"/>
          <w:sz w:val="13"/>
          <w:szCs w:val="13"/>
          <w:color w:val="auto"/>
        </w:rPr>
        <w:t>inf</w:t>
      </w:r>
      <w:r>
        <w:rPr>
          <w:rFonts w:ascii="Arial" w:cs="Arial" w:eastAsia="Arial" w:hAnsi="Arial"/>
          <w:sz w:val="16"/>
          <w:szCs w:val="16"/>
          <w:color w:val="auto"/>
        </w:rPr>
        <w:t>. Median tmax in the dose range of 1 mg to 22 mg was between 0.50 hour and 1.00 hour, with comparable ranges of individual values (ranging between 0.25 hour and 1.02 hours). Less than 1% of the dose was excreted unchanged in urine within 72 hours after administration.</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60"/>
          </w:cols>
          <w:pgMar w:left="32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Dose (mg)</w:t>
            </w: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2"/>
                <w:szCs w:val="12"/>
                <w:b w:val="1"/>
                <w:bCs w:val="1"/>
                <w:color w:val="auto"/>
              </w:rPr>
              <w:t>max</w:t>
            </w:r>
            <w:r>
              <w:rPr>
                <w:rFonts w:ascii="Arial" w:cs="Arial" w:eastAsia="Arial" w:hAnsi="Arial"/>
                <w:sz w:val="14"/>
                <w:szCs w:val="14"/>
                <w:b w:val="1"/>
                <w:bCs w:val="1"/>
                <w:color w:val="auto"/>
              </w:rPr>
              <w:t xml:space="preserve"> (ng/mL)</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2"/>
                <w:szCs w:val="12"/>
                <w:b w:val="1"/>
                <w:bCs w:val="1"/>
                <w:color w:val="auto"/>
              </w:rPr>
              <w:t>0.25h</w:t>
            </w:r>
            <w:r>
              <w:rPr>
                <w:rFonts w:ascii="Arial" w:cs="Arial" w:eastAsia="Arial" w:hAnsi="Arial"/>
                <w:sz w:val="14"/>
                <w:szCs w:val="14"/>
                <w:b w:val="1"/>
                <w:bCs w:val="1"/>
                <w:color w:val="auto"/>
              </w:rPr>
              <w:t xml:space="preserve"> (ng/mL)</w:t>
            </w: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2"/>
                <w:szCs w:val="12"/>
                <w:b w:val="1"/>
                <w:bCs w:val="1"/>
                <w:color w:val="auto"/>
              </w:rPr>
              <w:t>12h</w:t>
            </w:r>
            <w:r>
              <w:rPr>
                <w:rFonts w:ascii="Arial" w:cs="Arial" w:eastAsia="Arial" w:hAnsi="Arial"/>
                <w:sz w:val="14"/>
                <w:szCs w:val="14"/>
                <w:b w:val="1"/>
                <w:bCs w:val="1"/>
                <w:color w:val="auto"/>
              </w:rPr>
              <w:t xml:space="preserve"> (ng/mL)</w:t>
            </w:r>
          </w:p>
        </w:tc>
        <w:tc>
          <w:tcPr>
            <w:tcW w:w="1880" w:type="dxa"/>
            <w:vAlign w:val="bottom"/>
            <w:gridSpan w:val="2"/>
          </w:tcPr>
          <w:p>
            <w:pPr>
              <w:ind w:left="580"/>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2"/>
                <w:szCs w:val="12"/>
                <w:b w:val="1"/>
                <w:bCs w:val="1"/>
                <w:color w:val="auto"/>
              </w:rPr>
              <w:t>max</w:t>
            </w:r>
            <w:r>
              <w:rPr>
                <w:rFonts w:ascii="Arial" w:cs="Arial" w:eastAsia="Arial" w:hAnsi="Arial"/>
                <w:sz w:val="14"/>
                <w:szCs w:val="14"/>
                <w:b w:val="1"/>
                <w:bCs w:val="1"/>
                <w:color w:val="auto"/>
              </w:rPr>
              <w:t xml:space="preserve"> (h)</w:t>
            </w:r>
          </w:p>
        </w:tc>
        <w:tc>
          <w:tcPr>
            <w:tcW w:w="1020" w:type="dxa"/>
            <w:vAlign w:val="bottom"/>
          </w:tcPr>
          <w:p>
            <w:pPr>
              <w:jc w:val="right"/>
              <w:ind w:right="220"/>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2"/>
                <w:szCs w:val="12"/>
                <w:b w:val="1"/>
                <w:bCs w:val="1"/>
                <w:color w:val="auto"/>
              </w:rPr>
              <w:t>1/2</w:t>
            </w:r>
            <w:r>
              <w:rPr>
                <w:rFonts w:ascii="Arial" w:cs="Arial" w:eastAsia="Arial" w:hAnsi="Arial"/>
                <w:sz w:val="14"/>
                <w:szCs w:val="14"/>
                <w:b w:val="1"/>
                <w:bCs w:val="1"/>
                <w:color w:val="auto"/>
              </w:rPr>
              <w:t xml:space="preserve"> (h)</w:t>
            </w:r>
          </w:p>
        </w:tc>
      </w:tr>
      <w:tr>
        <w:trPr>
          <w:trHeight w:val="196"/>
        </w:trPr>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11</w:t>
            </w: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6</w:t>
            </w: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0.5</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0.5</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3.5</w:t>
            </w:r>
          </w:p>
        </w:tc>
      </w:tr>
      <w:tr>
        <w:trPr>
          <w:trHeight w:val="203"/>
        </w:trPr>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22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7"/>
                <w:szCs w:val="17"/>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0.75</w:t>
            </w:r>
          </w:p>
        </w:tc>
        <w:tc>
          <w:tcPr>
            <w:tcW w:w="200" w:type="dxa"/>
            <w:vAlign w:val="bottom"/>
          </w:tcPr>
          <w:p>
            <w:pPr>
              <w:spacing w:after="0"/>
              <w:rPr>
                <w:sz w:val="17"/>
                <w:szCs w:val="17"/>
                <w:color w:val="auto"/>
              </w:rPr>
            </w:pPr>
          </w:p>
        </w:tc>
        <w:tc>
          <w:tcPr>
            <w:tcW w:w="1020" w:type="dxa"/>
            <w:vAlign w:val="bottom"/>
          </w:tcPr>
          <w:p>
            <w:pPr>
              <w:jc w:val="right"/>
              <w:ind w:right="360"/>
              <w:spacing w:after="0"/>
              <w:rPr>
                <w:sz w:val="20"/>
                <w:szCs w:val="20"/>
                <w:color w:val="auto"/>
              </w:rPr>
            </w:pPr>
            <w:r>
              <w:rPr>
                <w:rFonts w:ascii="Arial" w:cs="Arial" w:eastAsia="Arial" w:hAnsi="Arial"/>
                <w:sz w:val="16"/>
                <w:szCs w:val="16"/>
                <w:color w:val="auto"/>
              </w:rPr>
              <w:t>4.3</w:t>
            </w:r>
          </w:p>
        </w:tc>
      </w:tr>
      <w:tr>
        <w:trPr>
          <w:trHeight w:val="203"/>
        </w:trPr>
        <w:tc>
          <w:tcPr>
            <w:tcW w:w="2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4.5</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4.4</w:t>
            </w:r>
          </w:p>
        </w:tc>
      </w:tr>
      <w:tr>
        <w:trPr>
          <w:trHeight w:val="203"/>
        </w:trPr>
        <w:tc>
          <w:tcPr>
            <w:tcW w:w="238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7"/>
                <w:szCs w:val="17"/>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7"/>
                <w:szCs w:val="17"/>
                <w:color w:val="auto"/>
              </w:rPr>
            </w:pPr>
          </w:p>
        </w:tc>
        <w:tc>
          <w:tcPr>
            <w:tcW w:w="1020" w:type="dxa"/>
            <w:vAlign w:val="bottom"/>
          </w:tcPr>
          <w:p>
            <w:pPr>
              <w:jc w:val="right"/>
              <w:ind w:right="360"/>
              <w:spacing w:after="0"/>
              <w:rPr>
                <w:sz w:val="20"/>
                <w:szCs w:val="20"/>
                <w:color w:val="auto"/>
              </w:rPr>
            </w:pPr>
            <w:r>
              <w:rPr>
                <w:rFonts w:ascii="Arial" w:cs="Arial" w:eastAsia="Arial" w:hAnsi="Arial"/>
                <w:sz w:val="16"/>
                <w:szCs w:val="16"/>
                <w:color w:val="auto"/>
              </w:rPr>
              <w:t>4.3</w:t>
            </w:r>
          </w:p>
        </w:tc>
      </w:tr>
      <w:tr>
        <w:trPr>
          <w:trHeight w:val="203"/>
        </w:trPr>
        <w:tc>
          <w:tcPr>
            <w:tcW w:w="2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22</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213</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143</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0.75</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5.6</w:t>
            </w:r>
          </w:p>
        </w:tc>
      </w:tr>
      <w:tr>
        <w:trPr>
          <w:trHeight w:val="210"/>
        </w:trPr>
        <w:tc>
          <w:tcPr>
            <w:tcW w:w="2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22 (high-fat, high cholesterol)</w:t>
            </w: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145</w:t>
            </w:r>
          </w:p>
        </w:tc>
        <w:tc>
          <w:tcPr>
            <w:tcW w:w="240" w:type="dxa"/>
            <w:vAlign w:val="bottom"/>
          </w:tcPr>
          <w:p>
            <w:pPr>
              <w:spacing w:after="0"/>
              <w:rPr>
                <w:sz w:val="18"/>
                <w:szCs w:val="18"/>
                <w:color w:val="auto"/>
              </w:rPr>
            </w:pP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8"/>
                <w:szCs w:val="18"/>
                <w:color w:val="auto"/>
              </w:rPr>
            </w:pPr>
          </w:p>
        </w:tc>
        <w:tc>
          <w:tcPr>
            <w:tcW w:w="1680" w:type="dxa"/>
            <w:vAlign w:val="bottom"/>
          </w:tcPr>
          <w:p>
            <w:pPr>
              <w:jc w:val="right"/>
              <w:ind w:right="400"/>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8"/>
                <w:szCs w:val="18"/>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1020" w:type="dxa"/>
            <w:vAlign w:val="bottom"/>
          </w:tcPr>
          <w:p>
            <w:pPr>
              <w:jc w:val="right"/>
              <w:ind w:right="360"/>
              <w:spacing w:after="0"/>
              <w:rPr>
                <w:sz w:val="20"/>
                <w:szCs w:val="20"/>
                <w:color w:val="auto"/>
              </w:rPr>
            </w:pPr>
            <w:r>
              <w:rPr>
                <w:rFonts w:ascii="Arial" w:cs="Arial" w:eastAsia="Arial" w:hAnsi="Arial"/>
                <w:sz w:val="16"/>
                <w:szCs w:val="16"/>
                <w:color w:val="auto"/>
              </w:rPr>
              <w:t>5.3</w:t>
            </w:r>
          </w:p>
        </w:tc>
      </w:tr>
    </w:tbl>
    <w:p>
      <w:pPr>
        <w:spacing w:after="0" w:line="194"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this study, a high-calorie, high-fat meal reduced peak exposure and slightly increased overall exposure of PHA121: after a 22 mg dose, the mean C</w:t>
      </w:r>
      <w:r>
        <w:rPr>
          <w:rFonts w:ascii="Arial" w:cs="Arial" w:eastAsia="Arial" w:hAnsi="Arial"/>
          <w:sz w:val="14"/>
          <w:szCs w:val="14"/>
          <w:color w:val="auto"/>
        </w:rPr>
        <w:t>max</w:t>
      </w:r>
      <w:r>
        <w:rPr>
          <w:rFonts w:ascii="Arial" w:cs="Arial" w:eastAsia="Arial" w:hAnsi="Arial"/>
          <w:sz w:val="17"/>
          <w:szCs w:val="17"/>
          <w:color w:val="auto"/>
        </w:rPr>
        <w:t xml:space="preserve"> of PHA121 was lower (~32%) while AUC</w:t>
      </w:r>
      <w:r>
        <w:rPr>
          <w:rFonts w:ascii="Arial" w:cs="Arial" w:eastAsia="Arial" w:hAnsi="Arial"/>
          <w:sz w:val="14"/>
          <w:szCs w:val="14"/>
          <w:color w:val="auto"/>
        </w:rPr>
        <w:t>inf</w:t>
      </w:r>
      <w:r>
        <w:rPr>
          <w:rFonts w:ascii="Arial" w:cs="Arial" w:eastAsia="Arial" w:hAnsi="Arial"/>
          <w:sz w:val="17"/>
          <w:szCs w:val="17"/>
          <w:color w:val="auto"/>
        </w:rPr>
        <w:t xml:space="preserve"> was higher (~ 42%) when PHA121 was administered after a high calorie, high-fat breakfast (fed conditions) compared to administration under fasted conditions. While the median T</w:t>
      </w:r>
      <w:r>
        <w:rPr>
          <w:rFonts w:ascii="Arial" w:cs="Arial" w:eastAsia="Arial" w:hAnsi="Arial"/>
          <w:sz w:val="14"/>
          <w:szCs w:val="14"/>
          <w:color w:val="auto"/>
        </w:rPr>
        <w:t>max</w:t>
      </w:r>
      <w:r>
        <w:rPr>
          <w:rFonts w:ascii="Arial" w:cs="Arial" w:eastAsia="Arial" w:hAnsi="Arial"/>
          <w:sz w:val="17"/>
          <w:szCs w:val="17"/>
          <w:color w:val="auto"/>
        </w:rPr>
        <w:t xml:space="preserve"> of PHA121 was delayed by approximately two hours after administration under fed conditions, the plasma concentration for PHA121 still reached the projected therapeutic levels (EC</w:t>
      </w:r>
      <w:r>
        <w:rPr>
          <w:rFonts w:ascii="Arial" w:cs="Arial" w:eastAsia="Arial" w:hAnsi="Arial"/>
          <w:sz w:val="14"/>
          <w:szCs w:val="14"/>
          <w:color w:val="auto"/>
        </w:rPr>
        <w:t>85</w:t>
      </w:r>
      <w:r>
        <w:rPr>
          <w:rFonts w:ascii="Arial" w:cs="Arial" w:eastAsia="Arial" w:hAnsi="Arial"/>
          <w:sz w:val="17"/>
          <w:szCs w:val="17"/>
          <w:color w:val="auto"/>
        </w:rPr>
        <w:t>, as determined in the bradykinin challenge described below) within 15 minutes. As shown in the table, the concentration of PHA121 twelve hours post-dosing at 12 mg or 22 mg remained above projected therapeutic levels under both fed and fasted conditions.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168910</wp:posOffset>
            </wp:positionV>
            <wp:extent cx="4260215" cy="1183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6021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addition, we also evaluated the PD of PHA121 in a bradykinin challenge model, which was designed to demonstrate PHA121-mediated inhibition of the drop in blood pressure and increase in heart rate resulting from injection of a bradykinin bolus in healthy subjects. The bradykinin challenge is administered at specific intervals after the PHA121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post-approval.</w:t>
      </w:r>
    </w:p>
    <w:p>
      <w:pPr>
        <w:spacing w:after="0" w:line="192" w:lineRule="exact"/>
        <w:rPr>
          <w:sz w:val="20"/>
          <w:szCs w:val="20"/>
          <w:color w:val="auto"/>
        </w:rPr>
      </w:pPr>
    </w:p>
    <w:p>
      <w:pPr>
        <w:ind w:right="480" w:firstLine="449"/>
        <w:spacing w:after="0" w:line="275" w:lineRule="auto"/>
        <w:rPr>
          <w:sz w:val="20"/>
          <w:szCs w:val="20"/>
          <w:color w:val="auto"/>
        </w:rPr>
      </w:pPr>
      <w:r>
        <w:rPr>
          <w:rFonts w:ascii="Arial" w:cs="Arial" w:eastAsia="Arial" w:hAnsi="Arial"/>
          <w:sz w:val="17"/>
          <w:szCs w:val="17"/>
          <w:color w:val="auto"/>
        </w:rPr>
        <w:t>In the bradykinin challenge, we assessed the inhibition of bradykinin effects at single doses of 12 and 22 mg PHA121. Bradykinin was injected intravenously before PHA121 to calibrate each subject’s response, and then at 1, 4, 8, 12 and 24 hours after dosing with PHA121. We monitored cardiovascular responses at each time point (see figure above). At the same time, blood samples were drawn for PK assessment. Bradykinin injection induced a short-term change in mean arterial blood pressure, or MABP, heart rate, or HR, and cardiac output. In the presence of PHA121, this cardiovascular response was dampened to an extent depending on the concentration of PHA121.</w:t>
      </w:r>
    </w:p>
    <w:p>
      <w:pPr>
        <w:spacing w:after="0" w:line="176"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We conducted a PK/PD analysis using the same approach as used by FDA in their evaluation of icatibant. The composite EC</w:t>
      </w:r>
      <w:r>
        <w:rPr>
          <w:rFonts w:ascii="Arial" w:cs="Arial" w:eastAsia="Arial" w:hAnsi="Arial"/>
          <w:sz w:val="14"/>
          <w:szCs w:val="14"/>
          <w:color w:val="auto"/>
        </w:rPr>
        <w:t>50</w:t>
      </w:r>
      <w:r>
        <w:rPr>
          <w:rFonts w:ascii="Arial" w:cs="Arial" w:eastAsia="Arial" w:hAnsi="Arial"/>
          <w:sz w:val="17"/>
          <w:szCs w:val="17"/>
          <w:color w:val="auto"/>
        </w:rPr>
        <w:t xml:space="preserve"> and EC</w:t>
      </w:r>
      <w:r>
        <w:rPr>
          <w:rFonts w:ascii="Arial" w:cs="Arial" w:eastAsia="Arial" w:hAnsi="Arial"/>
          <w:sz w:val="14"/>
          <w:szCs w:val="14"/>
          <w:color w:val="auto"/>
        </w:rPr>
        <w:t>85</w:t>
      </w:r>
      <w:r>
        <w:rPr>
          <w:rFonts w:ascii="Arial" w:cs="Arial" w:eastAsia="Arial" w:hAnsi="Arial"/>
          <w:sz w:val="17"/>
          <w:szCs w:val="17"/>
          <w:color w:val="auto"/>
        </w:rPr>
        <w:t xml:space="preserve"> values estimated from the combination of each PD response associated with the BK challenge are provided in the table below. PHA121 demonstrated higher PD potency based on plasma concentrations (roughly four-fold) than icatibant relative to published data for icatibant. Adjusting for the differences between molecular weight and plasma protein binding, we found that PHA121 is 24-fold more potent (170 pM) in the bradykinin challenge than icatibant (4.1 nM) on a molecule-by-molecule basis, consistent with our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measurements.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460" w:type="dxa"/>
            <w:vAlign w:val="bottom"/>
          </w:tcPr>
          <w:p>
            <w:pPr>
              <w:spacing w:after="0"/>
              <w:rPr>
                <w:sz w:val="24"/>
                <w:szCs w:val="24"/>
                <w:color w:val="auto"/>
              </w:rPr>
            </w:pPr>
          </w:p>
        </w:tc>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Composite</w:t>
            </w: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p>
        </w:tc>
        <w:tc>
          <w:tcPr>
            <w:tcW w:w="3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3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PHA121</w:t>
            </w:r>
          </w:p>
        </w:tc>
        <w:tc>
          <w:tcPr>
            <w:tcW w:w="3100" w:type="dxa"/>
            <w:vAlign w:val="bottom"/>
          </w:tcPr>
          <w:p>
            <w:pPr>
              <w:ind w:left="1200"/>
              <w:spacing w:after="0"/>
              <w:rPr>
                <w:sz w:val="20"/>
                <w:szCs w:val="20"/>
                <w:color w:val="auto"/>
              </w:rPr>
            </w:pPr>
            <w:r>
              <w:rPr>
                <w:rFonts w:ascii="Arial" w:cs="Arial" w:eastAsia="Arial" w:hAnsi="Arial"/>
                <w:sz w:val="18"/>
                <w:szCs w:val="18"/>
                <w:b w:val="1"/>
                <w:bCs w:val="1"/>
                <w:color w:val="auto"/>
              </w:rPr>
              <w:t>Icatibant</w:t>
            </w:r>
          </w:p>
        </w:tc>
        <w:tc>
          <w:tcPr>
            <w:tcW w:w="0" w:type="dxa"/>
            <w:vAlign w:val="bottom"/>
          </w:tcPr>
          <w:p>
            <w:pPr>
              <w:spacing w:after="0"/>
              <w:rPr>
                <w:sz w:val="1"/>
                <w:szCs w:val="1"/>
                <w:color w:val="auto"/>
              </w:rPr>
            </w:pPr>
          </w:p>
        </w:tc>
      </w:tr>
      <w:tr>
        <w:trPr>
          <w:trHeight w:val="94"/>
        </w:trPr>
        <w:tc>
          <w:tcPr>
            <w:tcW w:w="460" w:type="dxa"/>
            <w:vAlign w:val="bottom"/>
            <w:vMerge w:val="restart"/>
          </w:tcPr>
          <w:p>
            <w:pPr>
              <w:spacing w:after="0"/>
              <w:rPr>
                <w:sz w:val="8"/>
                <w:szCs w:val="8"/>
                <w:color w:val="auto"/>
              </w:rPr>
            </w:pPr>
          </w:p>
        </w:tc>
        <w:tc>
          <w:tcPr>
            <w:tcW w:w="3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w:t>
            </w:r>
            <w:r>
              <w:rPr>
                <w:rFonts w:ascii="Arial" w:cs="Arial" w:eastAsia="Arial" w:hAnsi="Arial"/>
                <w:sz w:val="15"/>
                <w:szCs w:val="15"/>
                <w:color w:val="auto"/>
              </w:rPr>
              <w:t>50</w:t>
            </w:r>
            <w:r>
              <w:rPr>
                <w:rFonts w:ascii="Arial" w:cs="Arial" w:eastAsia="Arial" w:hAnsi="Arial"/>
                <w:sz w:val="18"/>
                <w:szCs w:val="18"/>
                <w:color w:val="auto"/>
              </w:rPr>
              <w:t xml:space="preserve"> (ng/mL)</w:t>
            </w:r>
          </w:p>
        </w:tc>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20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51"/>
        </w:trPr>
        <w:tc>
          <w:tcPr>
            <w:tcW w:w="4300" w:type="dxa"/>
            <w:vAlign w:val="bottom"/>
            <w:gridSpan w:val="3"/>
          </w:tcPr>
          <w:p>
            <w:pPr>
              <w:ind w:left="460"/>
              <w:spacing w:after="0"/>
              <w:rPr>
                <w:sz w:val="20"/>
                <w:szCs w:val="20"/>
                <w:color w:val="auto"/>
              </w:rPr>
            </w:pPr>
            <w:r>
              <w:rPr>
                <w:rFonts w:ascii="Arial" w:cs="Arial" w:eastAsia="Arial" w:hAnsi="Arial"/>
                <w:sz w:val="18"/>
                <w:szCs w:val="18"/>
                <w:color w:val="auto"/>
              </w:rPr>
              <w:t>EC</w:t>
            </w:r>
            <w:r>
              <w:rPr>
                <w:rFonts w:ascii="Arial" w:cs="Arial" w:eastAsia="Arial" w:hAnsi="Arial"/>
                <w:sz w:val="15"/>
                <w:szCs w:val="15"/>
                <w:color w:val="auto"/>
              </w:rPr>
              <w:t>85</w:t>
            </w:r>
            <w:r>
              <w:rPr>
                <w:rFonts w:ascii="Arial" w:cs="Arial" w:eastAsia="Arial" w:hAnsi="Arial"/>
                <w:sz w:val="18"/>
                <w:szCs w:val="18"/>
                <w:color w:val="auto"/>
              </w:rPr>
              <w:t xml:space="preserve"> (ng/mL)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13.8</w:t>
            </w:r>
          </w:p>
        </w:tc>
        <w:tc>
          <w:tcPr>
            <w:tcW w:w="200" w:type="dxa"/>
            <w:vAlign w:val="bottom"/>
          </w:tcPr>
          <w:p>
            <w:pPr>
              <w:spacing w:after="0"/>
              <w:rPr>
                <w:sz w:val="24"/>
                <w:szCs w:val="24"/>
                <w:color w:val="auto"/>
              </w:rPr>
            </w:pPr>
          </w:p>
        </w:tc>
        <w:tc>
          <w:tcPr>
            <w:tcW w:w="3100" w:type="dxa"/>
            <w:vAlign w:val="bottom"/>
          </w:tcPr>
          <w:p>
            <w:pPr>
              <w:jc w:val="right"/>
              <w:ind w:right="13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580" w:right="960"/>
        <w:spacing w:after="0" w:line="253" w:lineRule="auto"/>
        <w:rPr>
          <w:sz w:val="20"/>
          <w:szCs w:val="20"/>
          <w:color w:val="auto"/>
        </w:rPr>
      </w:pPr>
      <w:r>
        <w:rPr>
          <w:rFonts w:ascii="Arial" w:cs="Arial" w:eastAsia="Arial" w:hAnsi="Arial"/>
          <w:sz w:val="14"/>
          <w:szCs w:val="14"/>
          <w:color w:val="auto"/>
        </w:rPr>
        <w:t>EC</w:t>
      </w:r>
      <w:r>
        <w:rPr>
          <w:rFonts w:ascii="Arial" w:cs="Arial" w:eastAsia="Arial" w:hAnsi="Arial"/>
          <w:sz w:val="12"/>
          <w:szCs w:val="12"/>
          <w:color w:val="auto"/>
        </w:rPr>
        <w:t>50</w:t>
      </w:r>
      <w:r>
        <w:rPr>
          <w:rFonts w:ascii="Arial" w:cs="Arial" w:eastAsia="Arial" w:hAnsi="Arial"/>
          <w:sz w:val="14"/>
          <w:szCs w:val="14"/>
          <w:color w:val="auto"/>
        </w:rPr>
        <w:t>: concentration at which compound induces a response half of its maximum possible response; EC</w:t>
      </w:r>
      <w:r>
        <w:rPr>
          <w:rFonts w:ascii="Arial" w:cs="Arial" w:eastAsia="Arial" w:hAnsi="Arial"/>
          <w:sz w:val="12"/>
          <w:szCs w:val="12"/>
          <w:color w:val="auto"/>
        </w:rPr>
        <w:t>85</w:t>
      </w:r>
      <w:r>
        <w:rPr>
          <w:rFonts w:ascii="Arial" w:cs="Arial" w:eastAsia="Arial" w:hAnsi="Arial"/>
          <w:sz w:val="14"/>
          <w:szCs w:val="14"/>
          <w:color w:val="auto"/>
        </w:rPr>
        <w:t>: concentration at which a compound induces 85% of its maximum response.</w:t>
      </w:r>
    </w:p>
    <w:p>
      <w:pPr>
        <w:spacing w:after="0" w:line="286" w:lineRule="exact"/>
        <w:rPr>
          <w:sz w:val="20"/>
          <w:szCs w:val="20"/>
          <w:color w:val="auto"/>
        </w:rPr>
      </w:pPr>
    </w:p>
    <w:p>
      <w:pPr>
        <w:ind w:right="60" w:firstLine="449"/>
        <w:spacing w:after="0" w:line="268" w:lineRule="auto"/>
        <w:rPr>
          <w:sz w:val="20"/>
          <w:szCs w:val="20"/>
          <w:color w:val="auto"/>
        </w:rPr>
      </w:pPr>
      <w:r>
        <w:rPr>
          <w:rFonts w:ascii="Arial" w:cs="Arial" w:eastAsia="Arial" w:hAnsi="Arial"/>
          <w:sz w:val="17"/>
          <w:szCs w:val="17"/>
          <w:color w:val="auto"/>
        </w:rPr>
        <w:t>The data also allowed us to compare the projected therapeutic performance of PHA121 with that of icatibant, but we do not yet have data from the PHA121 Phase 2 study. In addition,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prospectus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to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w:t>
      </w:r>
      <w:r>
        <w:rPr>
          <w:rFonts w:ascii="Arial" w:cs="Arial" w:eastAsia="Arial" w:hAnsi="Arial"/>
          <w:sz w:val="14"/>
          <w:szCs w:val="14"/>
          <w:color w:val="auto"/>
        </w:rPr>
        <w:t>50</w:t>
      </w:r>
      <w:r>
        <w:rPr>
          <w:rFonts w:ascii="Arial" w:cs="Arial" w:eastAsia="Arial" w:hAnsi="Arial"/>
          <w:sz w:val="17"/>
          <w:szCs w:val="17"/>
          <w:color w:val="auto"/>
        </w:rPr>
        <w:t xml:space="preserve"> and a 50% probability to be above EC85 correlate with therapeutic efficacy. Applying these criteria as exposure targets for PHA121 leads us to project that due to PHA121’s longer half-life, we believe PHA121 will stay above these therapeutic targets for much longer than icatibant. The 12 mg dose of PHA121 showed rapid absorption and then stayed above EC</w:t>
      </w:r>
      <w:r>
        <w:rPr>
          <w:rFonts w:ascii="Arial" w:cs="Arial" w:eastAsia="Arial" w:hAnsi="Arial"/>
          <w:sz w:val="14"/>
          <w:szCs w:val="14"/>
          <w:color w:val="auto"/>
        </w:rPr>
        <w:t>50</w:t>
      </w:r>
      <w:r>
        <w:rPr>
          <w:rFonts w:ascii="Arial" w:cs="Arial" w:eastAsia="Arial" w:hAnsi="Arial"/>
          <w:sz w:val="17"/>
          <w:szCs w:val="17"/>
          <w:color w:val="auto"/>
        </w:rPr>
        <w:t xml:space="preserve"> for 10-12 hours and above the EC</w:t>
      </w:r>
      <w:r>
        <w:rPr>
          <w:rFonts w:ascii="Arial" w:cs="Arial" w:eastAsia="Arial" w:hAnsi="Arial"/>
          <w:sz w:val="14"/>
          <w:szCs w:val="14"/>
          <w:color w:val="auto"/>
        </w:rPr>
        <w:t>85</w:t>
      </w:r>
      <w:r>
        <w:rPr>
          <w:rFonts w:ascii="Arial" w:cs="Arial" w:eastAsia="Arial" w:hAnsi="Arial"/>
          <w:sz w:val="17"/>
          <w:szCs w:val="17"/>
          <w:color w:val="auto"/>
        </w:rPr>
        <w:t xml:space="preserve"> for 7 hours, suggesting that this dose may be at least as effective as a 30 mg s.c. injection of icatibant. A 30 mg s.c. icatibant dose has been documented to effectively treat 93% of acute HAE attacks (Icatibant Outcome Survey, or IOS, study reference).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compares 30 mg of icatibant to 12 mg and 22 mg of PHA121 based on BK-challenge modeling and simulation.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Response</w:t>
            </w:r>
          </w:p>
        </w:tc>
        <w:tc>
          <w:tcPr>
            <w:tcW w:w="2000" w:type="dxa"/>
            <w:vAlign w:val="bottom"/>
          </w:tcPr>
          <w:p>
            <w:pPr>
              <w:jc w:val="center"/>
              <w:ind w:left="515"/>
              <w:spacing w:after="0"/>
              <w:rPr>
                <w:sz w:val="20"/>
                <w:szCs w:val="20"/>
                <w:color w:val="auto"/>
              </w:rPr>
            </w:pPr>
            <w:r>
              <w:rPr>
                <w:rFonts w:ascii="Arial" w:cs="Arial" w:eastAsia="Arial" w:hAnsi="Arial"/>
                <w:sz w:val="14"/>
                <w:szCs w:val="14"/>
                <w:b w:val="1"/>
                <w:bCs w:val="1"/>
                <w:color w:val="auto"/>
                <w:w w:val="94"/>
              </w:rPr>
              <w:t>Icatibant 30 mg</w:t>
            </w:r>
          </w:p>
        </w:tc>
        <w:tc>
          <w:tcPr>
            <w:tcW w:w="4120" w:type="dxa"/>
            <w:vAlign w:val="bottom"/>
          </w:tcPr>
          <w:p>
            <w:pPr>
              <w:jc w:val="center"/>
              <w:spacing w:after="0"/>
              <w:rPr>
                <w:sz w:val="20"/>
                <w:szCs w:val="20"/>
                <w:color w:val="auto"/>
              </w:rPr>
            </w:pPr>
            <w:r>
              <w:rPr>
                <w:rFonts w:ascii="Arial" w:cs="Arial" w:eastAsia="Arial" w:hAnsi="Arial"/>
                <w:sz w:val="14"/>
                <w:szCs w:val="14"/>
                <w:b w:val="1"/>
                <w:bCs w:val="1"/>
                <w:color w:val="auto"/>
                <w:w w:val="94"/>
              </w:rPr>
              <w:t>PHA121 12 mg</w:t>
            </w:r>
          </w:p>
        </w:tc>
        <w:tc>
          <w:tcPr>
            <w:tcW w:w="1960" w:type="dxa"/>
            <w:vAlign w:val="bottom"/>
          </w:tcPr>
          <w:p>
            <w:pPr>
              <w:jc w:val="center"/>
              <w:ind w:right="435"/>
              <w:spacing w:after="0"/>
              <w:rPr>
                <w:sz w:val="20"/>
                <w:szCs w:val="20"/>
                <w:color w:val="auto"/>
              </w:rPr>
            </w:pPr>
            <w:r>
              <w:rPr>
                <w:rFonts w:ascii="Arial" w:cs="Arial" w:eastAsia="Arial" w:hAnsi="Arial"/>
                <w:sz w:val="14"/>
                <w:szCs w:val="14"/>
                <w:b w:val="1"/>
                <w:bCs w:val="1"/>
                <w:color w:val="auto"/>
                <w:w w:val="94"/>
              </w:rPr>
              <w:t>PHA121 22 mg</w:t>
            </w:r>
          </w:p>
        </w:tc>
        <w:tc>
          <w:tcPr>
            <w:tcW w:w="0" w:type="dxa"/>
            <w:vAlign w:val="bottom"/>
          </w:tcPr>
          <w:p>
            <w:pPr>
              <w:spacing w:after="0"/>
              <w:rPr>
                <w:sz w:val="1"/>
                <w:szCs w:val="1"/>
                <w:color w:val="auto"/>
              </w:rPr>
            </w:pPr>
          </w:p>
        </w:tc>
      </w:tr>
      <w:tr>
        <w:trPr>
          <w:trHeight w:val="178"/>
        </w:trPr>
        <w:tc>
          <w:tcPr>
            <w:tcW w:w="3160" w:type="dxa"/>
            <w:vAlign w:val="bottom"/>
            <w:gridSpan w:val="2"/>
            <w:vMerge w:val="continue"/>
          </w:tcPr>
          <w:p>
            <w:pPr>
              <w:spacing w:after="0"/>
              <w:rPr>
                <w:sz w:val="15"/>
                <w:szCs w:val="15"/>
                <w:color w:val="auto"/>
              </w:rPr>
            </w:pPr>
          </w:p>
        </w:tc>
        <w:tc>
          <w:tcPr>
            <w:tcW w:w="2000" w:type="dxa"/>
            <w:vAlign w:val="bottom"/>
          </w:tcPr>
          <w:p>
            <w:pPr>
              <w:jc w:val="center"/>
              <w:ind w:left="515"/>
              <w:spacing w:after="0"/>
              <w:rPr>
                <w:sz w:val="20"/>
                <w:szCs w:val="20"/>
                <w:color w:val="auto"/>
              </w:rPr>
            </w:pPr>
            <w:r>
              <w:rPr>
                <w:rFonts w:ascii="Arial" w:cs="Arial" w:eastAsia="Arial" w:hAnsi="Arial"/>
                <w:sz w:val="14"/>
                <w:szCs w:val="14"/>
                <w:b w:val="1"/>
                <w:bCs w:val="1"/>
                <w:color w:val="auto"/>
                <w:w w:val="85"/>
              </w:rPr>
              <w:t>(s.c.)</w:t>
            </w:r>
          </w:p>
        </w:tc>
        <w:tc>
          <w:tcPr>
            <w:tcW w:w="4120" w:type="dxa"/>
            <w:vAlign w:val="bottom"/>
          </w:tcPr>
          <w:p>
            <w:pPr>
              <w:jc w:val="center"/>
              <w:ind w:left="17"/>
              <w:spacing w:after="0"/>
              <w:rPr>
                <w:sz w:val="20"/>
                <w:szCs w:val="20"/>
                <w:color w:val="auto"/>
              </w:rPr>
            </w:pPr>
            <w:r>
              <w:rPr>
                <w:rFonts w:ascii="Arial" w:cs="Arial" w:eastAsia="Arial" w:hAnsi="Arial"/>
                <w:sz w:val="14"/>
                <w:szCs w:val="14"/>
                <w:b w:val="1"/>
                <w:bCs w:val="1"/>
                <w:color w:val="auto"/>
                <w:w w:val="97"/>
              </w:rPr>
              <w:t>(oral)</w:t>
            </w:r>
          </w:p>
        </w:tc>
        <w:tc>
          <w:tcPr>
            <w:tcW w:w="1960" w:type="dxa"/>
            <w:vAlign w:val="bottom"/>
          </w:tcPr>
          <w:p>
            <w:pPr>
              <w:jc w:val="center"/>
              <w:ind w:right="415"/>
              <w:spacing w:after="0"/>
              <w:rPr>
                <w:sz w:val="20"/>
                <w:szCs w:val="20"/>
                <w:color w:val="auto"/>
              </w:rPr>
            </w:pPr>
            <w:r>
              <w:rPr>
                <w:rFonts w:ascii="Arial" w:cs="Arial" w:eastAsia="Arial" w:hAnsi="Arial"/>
                <w:sz w:val="14"/>
                <w:szCs w:val="14"/>
                <w:b w:val="1"/>
                <w:bCs w:val="1"/>
                <w:color w:val="auto"/>
                <w:w w:val="97"/>
              </w:rPr>
              <w:t>(oral)</w:t>
            </w:r>
          </w:p>
        </w:tc>
        <w:tc>
          <w:tcPr>
            <w:tcW w:w="0" w:type="dxa"/>
            <w:vAlign w:val="bottom"/>
          </w:tcPr>
          <w:p>
            <w:pPr>
              <w:spacing w:after="0"/>
              <w:rPr>
                <w:sz w:val="1"/>
                <w:szCs w:val="1"/>
                <w:color w:val="auto"/>
              </w:rPr>
            </w:pPr>
          </w:p>
        </w:tc>
      </w:tr>
      <w:tr>
        <w:trPr>
          <w:trHeight w:val="162"/>
        </w:trPr>
        <w:tc>
          <w:tcPr>
            <w:tcW w:w="580" w:type="dxa"/>
            <w:vAlign w:val="bottom"/>
            <w:tcBorders>
              <w:top w:val="single" w:sz="8" w:color="auto"/>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2000" w:type="dxa"/>
            <w:vAlign w:val="bottom"/>
            <w:tcBorders>
              <w:top w:val="single" w:sz="8" w:color="auto"/>
              <w:bottom w:val="single" w:sz="8" w:color="auto"/>
            </w:tcBorders>
          </w:tcPr>
          <w:p>
            <w:pPr>
              <w:spacing w:after="0"/>
              <w:rPr>
                <w:sz w:val="14"/>
                <w:szCs w:val="14"/>
                <w:color w:val="auto"/>
              </w:rPr>
            </w:pPr>
          </w:p>
        </w:tc>
        <w:tc>
          <w:tcPr>
            <w:tcW w:w="4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Time (h) plasma level above EC</w:t>
            </w:r>
            <w:r>
              <w:rPr>
                <w:rFonts w:ascii="Arial" w:cs="Arial" w:eastAsia="Arial" w:hAnsi="Arial"/>
                <w:sz w:val="12"/>
                <w:szCs w:val="12"/>
                <w:b w:val="1"/>
                <w:bCs w:val="1"/>
                <w:color w:val="auto"/>
                <w:w w:val="98"/>
              </w:rPr>
              <w:t>50</w:t>
            </w:r>
            <w:r>
              <w:rPr>
                <w:rFonts w:ascii="Arial" w:cs="Arial" w:eastAsia="Arial" w:hAnsi="Arial"/>
                <w:sz w:val="14"/>
                <w:szCs w:val="14"/>
                <w:b w:val="1"/>
                <w:bCs w:val="1"/>
                <w:color w:val="auto"/>
                <w:w w:val="98"/>
              </w:rPr>
              <w:t xml:space="preserve"> at a 75% confidence level</w:t>
            </w:r>
          </w:p>
        </w:tc>
        <w:tc>
          <w:tcPr>
            <w:tcW w:w="19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Diastolic blood pressure (DBP)</w:t>
            </w:r>
          </w:p>
        </w:tc>
        <w:tc>
          <w:tcPr>
            <w:tcW w:w="20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79"/>
              </w:rPr>
              <w:t>6</w:t>
            </w:r>
          </w:p>
        </w:tc>
        <w:tc>
          <w:tcPr>
            <w:tcW w:w="41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5"/>
              </w:rPr>
              <w:t>11.5</w:t>
            </w:r>
          </w:p>
        </w:tc>
        <w:tc>
          <w:tcPr>
            <w:tcW w:w="1960" w:type="dxa"/>
            <w:vAlign w:val="bottom"/>
            <w:shd w:val="clear" w:color="auto" w:fill="CCEEFF"/>
          </w:tcPr>
          <w:p>
            <w:pPr>
              <w:jc w:val="center"/>
              <w:ind w:right="415"/>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MABP</w:t>
            </w:r>
          </w:p>
        </w:tc>
        <w:tc>
          <w:tcPr>
            <w:tcW w:w="2000" w:type="dxa"/>
            <w:vAlign w:val="bottom"/>
          </w:tcPr>
          <w:p>
            <w:pPr>
              <w:jc w:val="center"/>
              <w:ind w:left="515"/>
              <w:spacing w:after="0"/>
              <w:rPr>
                <w:sz w:val="20"/>
                <w:szCs w:val="20"/>
                <w:color w:val="auto"/>
              </w:rPr>
            </w:pPr>
            <w:r>
              <w:rPr>
                <w:rFonts w:ascii="Arial" w:cs="Arial" w:eastAsia="Arial" w:hAnsi="Arial"/>
                <w:sz w:val="18"/>
                <w:szCs w:val="18"/>
                <w:color w:val="auto"/>
                <w:w w:val="79"/>
              </w:rPr>
              <w:t>6</w:t>
            </w:r>
          </w:p>
        </w:tc>
        <w:tc>
          <w:tcPr>
            <w:tcW w:w="4120" w:type="dxa"/>
            <w:vAlign w:val="bottom"/>
          </w:tcPr>
          <w:p>
            <w:pPr>
              <w:jc w:val="center"/>
              <w:ind w:left="17"/>
              <w:spacing w:after="0"/>
              <w:rPr>
                <w:sz w:val="20"/>
                <w:szCs w:val="20"/>
                <w:color w:val="auto"/>
              </w:rPr>
            </w:pPr>
            <w:r>
              <w:rPr>
                <w:rFonts w:ascii="Arial" w:cs="Arial" w:eastAsia="Arial" w:hAnsi="Arial"/>
                <w:sz w:val="18"/>
                <w:szCs w:val="18"/>
                <w:color w:val="auto"/>
                <w:w w:val="89"/>
              </w:rPr>
              <w:t>12</w:t>
            </w:r>
          </w:p>
        </w:tc>
        <w:tc>
          <w:tcPr>
            <w:tcW w:w="1960" w:type="dxa"/>
            <w:vAlign w:val="bottom"/>
          </w:tcPr>
          <w:p>
            <w:pPr>
              <w:jc w:val="center"/>
              <w:ind w:right="435"/>
              <w:spacing w:after="0"/>
              <w:rPr>
                <w:sz w:val="20"/>
                <w:szCs w:val="20"/>
                <w:color w:val="auto"/>
              </w:rPr>
            </w:pPr>
            <w:r>
              <w:rPr>
                <w:rFonts w:ascii="Arial" w:cs="Arial" w:eastAsia="Arial" w:hAnsi="Arial"/>
                <w:sz w:val="18"/>
                <w:szCs w:val="18"/>
                <w:color w:val="auto"/>
                <w:w w:val="91"/>
              </w:rPr>
              <w:t>15.5</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Heart rate</w:t>
            </w:r>
          </w:p>
        </w:tc>
        <w:tc>
          <w:tcPr>
            <w:tcW w:w="20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7"/>
              </w:rPr>
              <w:t>6.5</w:t>
            </w:r>
          </w:p>
        </w:tc>
        <w:tc>
          <w:tcPr>
            <w:tcW w:w="41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9"/>
              </w:rPr>
              <w:t>10</w:t>
            </w:r>
          </w:p>
        </w:tc>
        <w:tc>
          <w:tcPr>
            <w:tcW w:w="1960" w:type="dxa"/>
            <w:vAlign w:val="bottom"/>
            <w:shd w:val="clear" w:color="auto" w:fill="CCEEFF"/>
          </w:tcPr>
          <w:p>
            <w:pPr>
              <w:jc w:val="center"/>
              <w:ind w:right="415"/>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0"/>
        </w:trPr>
        <w:tc>
          <w:tcPr>
            <w:tcW w:w="580" w:type="dxa"/>
            <w:vAlign w:val="bottom"/>
            <w:tcBorders>
              <w:bottom w:val="single" w:sz="8" w:color="CCEEFF"/>
            </w:tcBorders>
          </w:tcPr>
          <w:p>
            <w:pPr>
              <w:spacing w:after="0"/>
              <w:rPr>
                <w:sz w:val="23"/>
                <w:szCs w:val="23"/>
                <w:color w:val="auto"/>
              </w:rPr>
            </w:pPr>
          </w:p>
        </w:tc>
        <w:tc>
          <w:tcPr>
            <w:tcW w:w="258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Time (h) plasma level above EC</w:t>
            </w:r>
            <w:r>
              <w:rPr>
                <w:rFonts w:ascii="Arial" w:cs="Arial" w:eastAsia="Arial" w:hAnsi="Arial"/>
                <w:sz w:val="12"/>
                <w:szCs w:val="12"/>
                <w:b w:val="1"/>
                <w:bCs w:val="1"/>
                <w:color w:val="auto"/>
                <w:w w:val="98"/>
              </w:rPr>
              <w:t>85</w:t>
            </w:r>
            <w:r>
              <w:rPr>
                <w:rFonts w:ascii="Arial" w:cs="Arial" w:eastAsia="Arial" w:hAnsi="Arial"/>
                <w:sz w:val="14"/>
                <w:szCs w:val="14"/>
                <w:b w:val="1"/>
                <w:bCs w:val="1"/>
                <w:color w:val="auto"/>
                <w:w w:val="98"/>
              </w:rPr>
              <w:t xml:space="preserve"> at a 50% confidence level</w:t>
            </w:r>
          </w:p>
        </w:tc>
        <w:tc>
          <w:tcPr>
            <w:tcW w:w="1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DBP</w:t>
            </w:r>
          </w:p>
        </w:tc>
        <w:tc>
          <w:tcPr>
            <w:tcW w:w="20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7"/>
              </w:rPr>
              <w:t>5.5</w:t>
            </w:r>
          </w:p>
        </w:tc>
        <w:tc>
          <w:tcPr>
            <w:tcW w:w="41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7"/>
              </w:rPr>
              <w:t>7.5</w:t>
            </w:r>
          </w:p>
        </w:tc>
        <w:tc>
          <w:tcPr>
            <w:tcW w:w="1960" w:type="dxa"/>
            <w:vAlign w:val="bottom"/>
            <w:shd w:val="clear" w:color="auto" w:fill="CCEEFF"/>
          </w:tcPr>
          <w:p>
            <w:pPr>
              <w:jc w:val="center"/>
              <w:ind w:right="415"/>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MABP</w:t>
            </w:r>
          </w:p>
        </w:tc>
        <w:tc>
          <w:tcPr>
            <w:tcW w:w="2000" w:type="dxa"/>
            <w:vAlign w:val="bottom"/>
          </w:tcPr>
          <w:p>
            <w:pPr>
              <w:jc w:val="center"/>
              <w:ind w:left="535"/>
              <w:spacing w:after="0"/>
              <w:rPr>
                <w:sz w:val="20"/>
                <w:szCs w:val="20"/>
                <w:color w:val="auto"/>
              </w:rPr>
            </w:pPr>
            <w:r>
              <w:rPr>
                <w:rFonts w:ascii="Arial" w:cs="Arial" w:eastAsia="Arial" w:hAnsi="Arial"/>
                <w:sz w:val="18"/>
                <w:szCs w:val="18"/>
                <w:color w:val="auto"/>
                <w:w w:val="87"/>
              </w:rPr>
              <w:t>5.5</w:t>
            </w:r>
          </w:p>
        </w:tc>
        <w:tc>
          <w:tcPr>
            <w:tcW w:w="41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960" w:type="dxa"/>
            <w:vAlign w:val="bottom"/>
          </w:tcPr>
          <w:p>
            <w:pPr>
              <w:jc w:val="center"/>
              <w:ind w:right="415"/>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Heart rate</w:t>
            </w:r>
          </w:p>
        </w:tc>
        <w:tc>
          <w:tcPr>
            <w:tcW w:w="20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7"/>
              </w:rPr>
              <w:t>5.5</w:t>
            </w:r>
          </w:p>
        </w:tc>
        <w:tc>
          <w:tcPr>
            <w:tcW w:w="41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7"/>
              </w:rPr>
              <w:t>6.5</w:t>
            </w:r>
          </w:p>
        </w:tc>
        <w:tc>
          <w:tcPr>
            <w:tcW w:w="1960" w:type="dxa"/>
            <w:vAlign w:val="bottom"/>
            <w:shd w:val="clear" w:color="auto" w:fill="CCEEFF"/>
          </w:tcPr>
          <w:p>
            <w:pPr>
              <w:jc w:val="center"/>
              <w:ind w:right="415"/>
              <w:spacing w:after="0"/>
              <w:rPr>
                <w:sz w:val="20"/>
                <w:szCs w:val="20"/>
                <w:color w:val="auto"/>
              </w:rPr>
            </w:pPr>
            <w:r>
              <w:rPr>
                <w:rFonts w:ascii="Arial" w:cs="Arial" w:eastAsia="Arial" w:hAnsi="Arial"/>
                <w:sz w:val="18"/>
                <w:szCs w:val="18"/>
                <w:color w:val="auto"/>
                <w:w w:val="87"/>
              </w:rPr>
              <w:t>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The chart below shows the simulation of PK and PD resulting from single (left) or double (right) doses of icatibant as compared to single doses of PHA121 at 12 mg (left) or 22 mg (right), using a non-linear mixed-effect model built from published data of icatibant and our bradykinin challenge study. As shown in the bottom row, the modeled PD effect of PHA121 surpasses that of icatibant at less than half the dose, and equals two 30 mg injections of icatibant with a single oral dose of 22 mg. As demonstrated in a post-commercialization observational study (IOS study reference), a single dose of icatibant was shown to treat 93% of attacks and two doses treated 99% of over 5,000 attacks in the 10 year survey.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205740</wp:posOffset>
            </wp:positionV>
            <wp:extent cx="4149090" cy="2339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4909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conclusion, PHA121 was well tolerated when administered orally at the doses tested without any dose-limiting toxicity. PHA121 was rapidly absorbed in either fasting or fed conditions and showed dose proportional PK for PHA121. The BK challenge demonstrated that PHA121 potently blocks the effects of bradykinin-induced hemodynamic changes and provided the robust rationale for dose selection in future on-demand and prophylactic HAE trials.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PHA121-C002 (SAD extension)</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PHA121-C002 was a randomized, double-blind, placebo-controlled, single ascending dose extension trial designed to examine the safety, tolerability, and PK of single ascending oral doses of 22, 33, and 50 mg of PHA121 after a standard caloric meal and 40 mg in fasting conditions. A total of 32 subjects received either PHA121, with respect to 24 subjects, or placebo, with respect to 8 subjects.</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The trial results showed that PHA121 was well tolerated at doses up to 40 mg under fasting and 50 mg under fed conditions. There were no SAEs reported. Treatment-related AEs that were reported as possibly related to PHA121 were mild nausea (22 mg) (one subject), mild headache (50 mg) (one subject), and moderate headache associated with vomiting (50 mg) (one subject). There were no clinically significant changes in vital signs, laboratory or ECG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144780</wp:posOffset>
            </wp:positionV>
            <wp:extent cx="3737610" cy="2040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3761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Over the investigated dose range from 22 to 50 mg (factor 2.27 increase) after a standardized breakfast, PHA121 showed dose-proportional PK with a 2.4-fold increase for mean Cmax and AUC0-24h. Administration of PHA121 after a standardized breakfast resulted in 40-50% decrease in Cmax without a change in AUCinf as compared to administration under fasting conditions. As a result, C12</w:t>
      </w:r>
      <w:r>
        <w:rPr>
          <w:rFonts w:ascii="Arial" w:cs="Arial" w:eastAsia="Arial" w:hAnsi="Arial"/>
          <w:sz w:val="13"/>
          <w:szCs w:val="13"/>
          <w:color w:val="auto"/>
        </w:rPr>
        <w:t>h</w:t>
      </w:r>
      <w:r>
        <w:rPr>
          <w:rFonts w:ascii="Arial" w:cs="Arial" w:eastAsia="Arial" w:hAnsi="Arial"/>
          <w:sz w:val="16"/>
          <w:szCs w:val="16"/>
          <w:color w:val="auto"/>
        </w:rPr>
        <w:t xml:space="preserve"> and C24</w:t>
      </w:r>
      <w:r>
        <w:rPr>
          <w:rFonts w:ascii="Arial" w:cs="Arial" w:eastAsia="Arial" w:hAnsi="Arial"/>
          <w:sz w:val="13"/>
          <w:szCs w:val="13"/>
          <w:color w:val="auto"/>
        </w:rPr>
        <w:t>h</w:t>
      </w:r>
      <w:r>
        <w:rPr>
          <w:rFonts w:ascii="Arial" w:cs="Arial" w:eastAsia="Arial" w:hAnsi="Arial"/>
          <w:sz w:val="16"/>
          <w:szCs w:val="16"/>
          <w:color w:val="auto"/>
        </w:rPr>
        <w:t xml:space="preserve"> plasma concentration for PHA121 were higher under fed conditions. These observations support the potential use of this formulation for initial studies in a prophylactic setting by dosing with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125730</wp:posOffset>
            </wp:positionV>
            <wp:extent cx="4003040" cy="1929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0304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22 mg of PHA121</w:t>
            </w:r>
          </w:p>
        </w:tc>
        <w:tc>
          <w:tcPr>
            <w:tcW w:w="2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22 mg of PHA121</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4"/>
              </w:rPr>
              <w:t>22 mg of PHA121</w:t>
            </w:r>
          </w:p>
        </w:tc>
      </w:tr>
      <w:tr>
        <w:trPr>
          <w:trHeight w:val="185"/>
        </w:trPr>
        <w:tc>
          <w:tcPr>
            <w:tcW w:w="3160" w:type="dxa"/>
            <w:vAlign w:val="bottom"/>
          </w:tcPr>
          <w:p>
            <w:pPr>
              <w:spacing w:after="0"/>
              <w:rPr>
                <w:sz w:val="16"/>
                <w:szCs w:val="16"/>
                <w:color w:val="auto"/>
              </w:rPr>
            </w:pPr>
          </w:p>
        </w:tc>
        <w:tc>
          <w:tcPr>
            <w:tcW w:w="2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Fasted</w:t>
            </w:r>
          </w:p>
        </w:tc>
        <w:tc>
          <w:tcPr>
            <w:tcW w:w="2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HCHF</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6"/>
              </w:rPr>
              <w:t>Standard Meal</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12h’</w:t>
            </w:r>
            <w:r>
              <w:rPr>
                <w:rFonts w:ascii="Arial" w:cs="Arial" w:eastAsia="Arial" w:hAnsi="Arial"/>
                <w:sz w:val="18"/>
                <w:szCs w:val="18"/>
                <w:b w:val="1"/>
                <w:bCs w:val="1"/>
                <w:color w:val="auto"/>
              </w:rPr>
              <w:t xml:space="preserve"> ng/mL</w:t>
            </w: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19.6</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17.3</w:t>
            </w: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24h’</w:t>
            </w:r>
            <w:r>
              <w:rPr>
                <w:rFonts w:ascii="Arial" w:cs="Arial" w:eastAsia="Arial" w:hAnsi="Arial"/>
                <w:sz w:val="18"/>
                <w:szCs w:val="18"/>
                <w:b w:val="1"/>
                <w:bCs w:val="1"/>
                <w:color w:val="auto"/>
              </w:rPr>
              <w:t xml:space="preserve"> ng/mL</w:t>
            </w:r>
          </w:p>
        </w:tc>
        <w:tc>
          <w:tcPr>
            <w:tcW w:w="2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2.5</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max’</w:t>
            </w:r>
            <w:r>
              <w:rPr>
                <w:rFonts w:ascii="Arial" w:cs="Arial" w:eastAsia="Arial" w:hAnsi="Arial"/>
                <w:sz w:val="18"/>
                <w:szCs w:val="18"/>
                <w:b w:val="1"/>
                <w:bCs w:val="1"/>
                <w:color w:val="auto"/>
              </w:rPr>
              <w:t xml:space="preserve"> ng/mL</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213</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145</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AUC</w:t>
            </w:r>
            <w:r>
              <w:rPr>
                <w:rFonts w:ascii="Arial" w:cs="Arial" w:eastAsia="Arial" w:hAnsi="Arial"/>
                <w:sz w:val="15"/>
                <w:szCs w:val="15"/>
                <w:b w:val="1"/>
                <w:bCs w:val="1"/>
                <w:color w:val="auto"/>
              </w:rPr>
              <w:t>0-24h’</w:t>
            </w:r>
            <w:r>
              <w:rPr>
                <w:rFonts w:ascii="Arial" w:cs="Arial" w:eastAsia="Arial" w:hAnsi="Arial"/>
                <w:sz w:val="18"/>
                <w:szCs w:val="18"/>
                <w:b w:val="1"/>
                <w:bCs w:val="1"/>
                <w:color w:val="auto"/>
              </w:rPr>
              <w:t xml:space="preserve"> ng.h/mL</w:t>
            </w:r>
          </w:p>
        </w:tc>
        <w:tc>
          <w:tcPr>
            <w:tcW w:w="2600" w:type="dxa"/>
            <w:vAlign w:val="bottom"/>
          </w:tcPr>
          <w:p>
            <w:pPr>
              <w:jc w:val="center"/>
              <w:spacing w:after="0"/>
              <w:rPr>
                <w:sz w:val="20"/>
                <w:szCs w:val="20"/>
                <w:color w:val="auto"/>
              </w:rPr>
            </w:pPr>
            <w:r>
              <w:rPr>
                <w:rFonts w:ascii="Arial" w:cs="Arial" w:eastAsia="Arial" w:hAnsi="Arial"/>
                <w:sz w:val="18"/>
                <w:szCs w:val="18"/>
                <w:color w:val="auto"/>
                <w:w w:val="93"/>
              </w:rPr>
              <w:t>671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966</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750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max’</w:t>
            </w:r>
            <w:r>
              <w:rPr>
                <w:rFonts w:ascii="Arial" w:cs="Arial" w:eastAsia="Arial" w:hAnsi="Arial"/>
                <w:sz w:val="18"/>
                <w:szCs w:val="18"/>
                <w:b w:val="1"/>
                <w:bCs w:val="1"/>
                <w:color w:val="auto"/>
              </w:rPr>
              <w:t xml:space="preserve"> h</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0.25-1.02</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2.00-3.00</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0.50-4.00</w:t>
            </w:r>
          </w:p>
        </w:tc>
      </w:tr>
      <w:tr>
        <w:trPr>
          <w:trHeight w:val="235"/>
        </w:trPr>
        <w:tc>
          <w:tcPr>
            <w:tcW w:w="316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1/2’</w:t>
            </w:r>
            <w:r>
              <w:rPr>
                <w:rFonts w:ascii="Arial" w:cs="Arial" w:eastAsia="Arial" w:hAnsi="Arial"/>
                <w:sz w:val="18"/>
                <w:szCs w:val="18"/>
                <w:b w:val="1"/>
                <w:bCs w:val="1"/>
                <w:color w:val="auto"/>
              </w:rPr>
              <w:t xml:space="preserve"> h</w:t>
            </w:r>
          </w:p>
        </w:tc>
        <w:tc>
          <w:tcPr>
            <w:tcW w:w="260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2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2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4.3</w:t>
            </w:r>
          </w:p>
        </w:tc>
      </w:tr>
    </w:tbl>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PHA121-C004 (DDI-CYP3A4 inhibitor, itraconazole, interaction)</w:t>
      </w:r>
    </w:p>
    <w:p>
      <w:pPr>
        <w:spacing w:after="0" w:line="117"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 xml:space="preserve">Cytochrome P450 3A4 (CYP3A4) plays an important role in the metabolism of PHA121. PHA121-C004 was designed as an open-label, single sequence crossover drug-drug interaction trial to evaluate the effect of multiple doses of itraconazole, a potent CYP3A4 inhibitor, at steady-state on the PK of a single dose of PHA121 in healthy subjects. The primary objective of this study was to determine the effect of multiple doses of the strong CYP3A4 inhibitor itraconazole on the PK of PHA121 in healthy adult subjects. The secondary objective of this study was to evaluate the safety and tolerability of PHA121 alone and in combination with multiple doses of the CYP3A4 inhibitor itraconazole in healthy adult subjects. The study has been completed in 13 subjects and PHA121 was well tolerated with no drug-related adverse events reported. Preliminary analyses show that the exposure of PHA121 increased when co-administered with itraconazole, as expected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that PHA121 is a substrate of CYP3A4. Other potential drug-drug interactions will be further assessed by the PHA121-C005 cocktail interaction study and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recommended by FDA guidance.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PHA121-C006 (MAD)</w:t>
      </w:r>
    </w:p>
    <w:p>
      <w:pPr>
        <w:spacing w:after="0" w:line="117" w:lineRule="exact"/>
        <w:rPr>
          <w:sz w:val="20"/>
          <w:szCs w:val="20"/>
          <w:color w:val="auto"/>
        </w:rPr>
      </w:pPr>
    </w:p>
    <w:p>
      <w:pPr>
        <w:ind w:right="360" w:firstLine="449"/>
        <w:spacing w:after="0" w:line="259" w:lineRule="auto"/>
        <w:rPr>
          <w:sz w:val="20"/>
          <w:szCs w:val="20"/>
          <w:color w:val="auto"/>
        </w:rPr>
      </w:pPr>
      <w:r>
        <w:rPr>
          <w:rFonts w:ascii="Arial" w:cs="Arial" w:eastAsia="Arial" w:hAnsi="Arial"/>
          <w:sz w:val="18"/>
          <w:szCs w:val="18"/>
          <w:color w:val="auto"/>
        </w:rPr>
        <w:t>PHA121-C006 was a randomized, double-blind, placebo-controlled, multiple ascending dose trial to examine the safety, tolerability and PK of PHA121 in healthy subjects, which demonstrated PHA121’s pharmacokinetics and tolerability. The trial included 38 subjects and four cohorts, ranging from 12 to 50 mg, of healthy subjects who were studied sequentially. Within each cohort, eight subjects received PHA121 and two subjects received placebo, except for the final cohort with six subjects receiving PHA121 and two subjects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receiving placebo. The trial evaluated multiple ascending doses of twice daily for 10 days to establish safety and tolerability and to assess the PK characteristics of PHA121 after standard caloric meals. PHA121 was supplied as an oral solution.</w:t>
      </w:r>
    </w:p>
    <w:p>
      <w:pPr>
        <w:spacing w:after="0" w:line="170"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study showed PHA121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PHA121 were achieved in day 1 and steady-state plasma concentrations were reached within 72 hours.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Development Path</w:t>
      </w:r>
    </w:p>
    <w:p>
      <w:pPr>
        <w:spacing w:after="0" w:line="12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We intend to develop PHA121 for on-demand and prophylactic indications in parallel using two different product formulations, with clinical trials in the on-demand setting to commence first and provide critical data for further development for the prophylaxis indication.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RAPIDe-1 On-Demand</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availability of an immediate-release soft-capsule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preclinical animal studies that the PHVS416 soft capsule provides the same pharmacokinetic profile as the solution formulation we used in Phase 1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144780</wp:posOffset>
            </wp:positionV>
            <wp:extent cx="5829300" cy="2125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are planning an on-demand Phase 2 clinical trial in HAE patients, RAPIDe-1, that will evaluate angioedema symptom relief within four hours using different doses of PHVS416 versus placebo while treating acute attacks of patients with HAE Types 1 and 2. The primary endpoint will be the change in composite visual analogue scale, or composite VAS, a measure of symptom relief, at four hours post-dose. Composite and individual VAS, mean symptom complex severity, or MSCS, and treatment outcome score, or TOS, will be assessed up to 48-hours post-dose. We anticipate commencing the clinical trial in 2021 and plan to enroll approximately 54 patients from approximately 30 sites in Canada and certain European countries. We expect data in 2022.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Prophylaxis Trials</w:t>
      </w:r>
    </w:p>
    <w:p>
      <w:pPr>
        <w:spacing w:after="0" w:line="117"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Currently there is no bradykinin B2-receptor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146"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Unlike on-demand use, prophylaxis requires maintenance of drug concentration over long periods of time – rapid absorption is unnecessary. In order to project a potential dose for use in prophylactic trials using our projected dose from the bradykinin challenge model (an acute treatment model), we relied on a similar acute-to-prophylactic extrapolation utilized for products in the plasma kallikrein mechanism. Ecallantide is a polypeptide inhibitor of plasma kallikrein used for treatment of attacks. Similarly to icatibant, the short half-life of ecallantide makes it generally unsuitable for use in prophylaxis.</w:t>
      </w:r>
    </w:p>
    <w:p>
      <w:pPr>
        <w:spacing w:after="0" w:line="157" w:lineRule="exact"/>
        <w:rPr>
          <w:sz w:val="20"/>
          <w:szCs w:val="20"/>
          <w:color w:val="auto"/>
        </w:rPr>
      </w:pPr>
    </w:p>
    <w:p>
      <w:pPr>
        <w:ind w:right="140" w:firstLine="449"/>
        <w:spacing w:after="0" w:line="287" w:lineRule="auto"/>
        <w:rPr>
          <w:sz w:val="20"/>
          <w:szCs w:val="20"/>
          <w:color w:val="auto"/>
        </w:rPr>
      </w:pPr>
      <w:r>
        <w:rPr>
          <w:rFonts w:ascii="Arial" w:cs="Arial" w:eastAsia="Arial" w:hAnsi="Arial"/>
          <w:sz w:val="17"/>
          <w:szCs w:val="17"/>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w:t>
      </w:r>
      <w:r>
        <w:rPr>
          <w:rFonts w:ascii="Arial" w:cs="Arial" w:eastAsia="Arial" w:hAnsi="Arial"/>
          <w:sz w:val="14"/>
          <w:szCs w:val="14"/>
          <w:color w:val="auto"/>
        </w:rPr>
        <w:t>50</w:t>
      </w:r>
      <w:r>
        <w:rPr>
          <w:rFonts w:ascii="Arial" w:cs="Arial" w:eastAsia="Arial" w:hAnsi="Arial"/>
          <w:sz w:val="17"/>
          <w:szCs w:val="17"/>
          <w:color w:val="auto"/>
        </w:rPr>
        <w:t>) to the observed prophylactic control of attacks. Based on the observed potency of PHA121 in the bradykinin challenge, we believe we can utilize a similar concentration-above-EC</w:t>
      </w:r>
      <w:r>
        <w:rPr>
          <w:rFonts w:ascii="Arial" w:cs="Arial" w:eastAsia="Arial" w:hAnsi="Arial"/>
          <w:sz w:val="14"/>
          <w:szCs w:val="14"/>
          <w:color w:val="auto"/>
        </w:rPr>
        <w:t>50</w:t>
      </w:r>
      <w:r>
        <w:rPr>
          <w:rFonts w:ascii="Arial" w:cs="Arial" w:eastAsia="Arial" w:hAnsi="Arial"/>
          <w:sz w:val="17"/>
          <w:szCs w:val="17"/>
          <w:color w:val="auto"/>
        </w:rPr>
        <w:t xml:space="preserve"> approach to predict the required exposure of PHA121 to control attacks prophylactically.</w:t>
      </w:r>
    </w:p>
    <w:p>
      <w:pPr>
        <w:spacing w:after="0" w:line="14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believe we can achieve the concentrations desired for prophylactic activity with twice-daily dosing of the PHVS416 soft capsules. Therefore, in addition to the RAPIDe-1 on-demand trial, we are also planning clinical trials of PHVS416 to evaluate its efficacy and safety for preventing HAE attacks (prophylaxis). These include an evaluation of patients randomized to placebo or active doses for a treatment period with the primary objective to assess the safety profile of PHVS416 dose regimens for prophylactic treatments in HAE patients.</w:t>
      </w:r>
    </w:p>
    <w:p>
      <w:pPr>
        <w:spacing w:after="0" w:line="187" w:lineRule="exact"/>
        <w:rPr>
          <w:sz w:val="20"/>
          <w:szCs w:val="20"/>
          <w:color w:val="auto"/>
        </w:rPr>
      </w:pPr>
    </w:p>
    <w:p>
      <w:pPr>
        <w:ind w:right="400" w:firstLine="449"/>
        <w:spacing w:after="0" w:line="301" w:lineRule="auto"/>
        <w:rPr>
          <w:sz w:val="20"/>
          <w:szCs w:val="20"/>
          <w:color w:val="auto"/>
        </w:rPr>
      </w:pPr>
      <w:r>
        <w:rPr>
          <w:rFonts w:ascii="Arial" w:cs="Arial" w:eastAsia="Arial" w:hAnsi="Arial"/>
          <w:sz w:val="16"/>
          <w:szCs w:val="16"/>
          <w:color w:val="auto"/>
        </w:rPr>
        <w:t>We also intend to conduct a registration-directed randomized, placebo-controlled evaluation in HAE prophylaxis to provide the key efficacy and safety evaluation of prophylactic treatment. We anticipate that PHVS719, as described below, will be included in this pivotal trial, with doses selected based on the PK performance of PHVS719 in Phase 1 trials. We also expect that the data from RAPIDe-1 will support the final dose selection for the prophylactic trials. Additional trials may required by the FDA, EMA or other regulators even if we receive positive data from RAPIDe-1.</w:t>
      </w:r>
    </w:p>
    <w:p>
      <w:pPr>
        <w:spacing w:after="0" w:line="1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In order to provide a differentiated product featuring more consistent exposure of PHA121 for the prophylactic setting, we are developing an extended-release, or XR, formulation (PHVS719) that will feature continuous slow release maintaining PHA121 concentrations above the levels we predict to provide protection against attacks. PHA121 has demonstrated properties favorable to the development of XR formulations, and we believe that we will begin human pharmacokinetics trials with PHVS719 in 2021 to enable use of this product candidate in the pivotal prophylactic trial.</w:t>
      </w:r>
    </w:p>
    <w:p>
      <w:pPr>
        <w:spacing w:after="0" w:line="171"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 xml:space="preserve">We believe that we have already identified a promising prototype formulation for extended release. The nonlinear mixed-mode model from our BK challenge trial allows us to simulate different formulations by changing certain formulation-related inputs, such as the in-vitro release rate, while utilizing the experimentally determined properties of PHA121, such as half-life, potency, and effect on BK-induced hemodynamic parameters (surrogate assessment). As shown in the graphs below, utilizing this mathematical model, we simulated the human PK/PD parameters of a prototype extended-release formulation, based on initial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dissolution experiments. These modeling calculations suggest that this prototype may already support twice-a-day dosing in patients, and we are continuing to refine our formulation with the goal of achieving once-a-day dosing. We expect to conduct a bridging study between our formulation of PHVS719 and PHVS416 in a Phase 1 clinical trial starting in 2021.</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205740</wp:posOffset>
            </wp:positionV>
            <wp:extent cx="4774565" cy="25114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745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In addition, we also plan to run an open-label extension study in the prophylactic setting with both rollover and non-rollover subjects to collect longer duration safety data, which will be further discussed with FDA and EMA.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19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As of February 1, 2021, we own one U.S. patent that expires on November 23, 2038 and 32 pending patent applications worldwide, including one pending U.S. continuation application, 29 pending non-U.S. applications, including applications in Europe and Japan, and two pending PCT applications. The U.S. patent and 31 of these pending patent applications contain composition-of-matter claims to the PHA121 small molecule and derivatives thereof; PHA121 is the active pharmaceutical ingredient in, and therefore extends our patent applications to, our PHVS416 and PHVS719 product candidates. Each such patent application can generally be categorized into one of three patent families: (1) those relating to the novel bradykinin-B2-receptor antagonists, (2) those relating to the cyclic bradykinin-B2-receptor antagonists, and (3) those relating to the new cyclic bradykinin-B2-receptor antagonists. One pending European patent application contains claims directed to the use of PHA121 in on-demand treatment of HAE and in prophylaxis for HAE, and accordingly extends the patent applications to methods of use of the PHVS416 and PHVS719 product candidates.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PHA121, depending upon the length of the clinical trials for each product and other factors.</w:t>
      </w:r>
    </w:p>
    <w:p>
      <w:pPr>
        <w:spacing w:after="0" w:line="186"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the section entitled “Risk Factors—Risks Related to Our Intellectual Property.”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On March 31, 2016, we entered into a license agreement (the “AnalytiCon License”) and a research agreement with AnalytiCon to collaborate for the development of an orally available bradykinin B2 receptor antagonist. Pursuant to the AnalytiCon License, we acquired a worldwide, exclusive license from AnalytiCon to use (i) a certain proprietary substance class of bradykinin B2 receptor antagonist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PHA121, PHVS416 and PHVS719 are subject to the AnalytiCon license agreement. In consideration for the license, we paid AnalytiCon a non-refundable up-front payment of €250,000.</w:t>
      </w:r>
    </w:p>
    <w:p>
      <w:pPr>
        <w:spacing w:after="0" w:line="17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AnalytiCon License, we are required to pay AnalytiCon one-time payments in an aggregate amount of up to €11.4 million upon the achievement of certain development, regulatory, and sales milestones. To date, we have paid AnalytiCon an aggregate amount of €650,000 (€250,000 up-front plus €400,000 in milestone payments), and €11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w:t>
      </w:r>
    </w:p>
    <w:p>
      <w:pPr>
        <w:spacing w:after="0" w:line="192"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agreement with AnalytiCon will expire upon the expiry of the last patent of the licensed intellectual property. Not accounting for any regulatory extension or terminal disclaimers, and assuming that all annuity and/or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the compounds that form the object of the collaboration with AnalytiCon. If AnalytiCon were to (a) terminate the AnalytiCon License for cause and (b) exercise contractual remedies available to it thereunder, then we could be required to grant to AnalytiCon an exclusive worldwide license to our intellectual property generated under the collaboration with AnalytiCon for use in all applications, including HAE. In addition, we could be prevented from competing with AnalytiCon until five years after the commercial launch of any product containing a compound from the OB2RA Class.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We currently have a single contract CDMO for the production of PHA121 API. A robust and scalable synthetic route has been established. All raw materials can be purchased from multiple suppliers. We plan to identify and qualify a second CDMO. We also collaborate with a leading CDMO for the manufacturing of the on-demand treatment product PHVS416. With the same CDMO we are currently optimizing the prophylactic treatment product PHVS719. The CDMO is also responsible for packaging and worldwide distribution of commercial drug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PHA121.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Currently, there are several licensed therapies for HAE, including the following:</w:t>
      </w:r>
    </w:p>
    <w:p>
      <w:pPr>
        <w:spacing w:after="0" w:line="131" w:lineRule="exact"/>
        <w:rPr>
          <w:sz w:val="20"/>
          <w:szCs w:val="20"/>
          <w:color w:val="auto"/>
        </w:rPr>
      </w:pPr>
    </w:p>
    <w:p>
      <w:pPr>
        <w:jc w:val="both"/>
        <w:ind w:left="1000" w:right="20" w:hanging="547"/>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FIRAZYR</w:t>
      </w:r>
      <w:r>
        <w:rPr>
          <w:rFonts w:ascii="Arial" w:cs="Arial" w:eastAsia="Arial" w:hAnsi="Arial"/>
          <w:sz w:val="18"/>
          <w:szCs w:val="18"/>
          <w:color w:val="auto"/>
        </w:rPr>
        <w:t>: The BK receptor antagonist FIRAZYR (icatibant) is approved by the FDA in the U.S. and by regulators globally for the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acute attacks and is administered by subcutaneous administration. Six generic forms of icatibant have been approved in the U.S. since July 2019 and more may be approved in the future.</w:t>
      </w:r>
    </w:p>
    <w:p>
      <w:pPr>
        <w:spacing w:after="0" w:line="89" w:lineRule="exact"/>
        <w:rPr>
          <w:rFonts w:ascii="Arial" w:cs="Arial" w:eastAsia="Arial" w:hAnsi="Arial"/>
          <w:sz w:val="18"/>
          <w:szCs w:val="18"/>
          <w:color w:val="auto"/>
        </w:rPr>
      </w:pPr>
    </w:p>
    <w:p>
      <w:pPr>
        <w:jc w:val="both"/>
        <w:ind w:left="1000" w:right="60" w:hanging="547"/>
        <w:spacing w:after="0" w:line="286"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C1-INH</w:t>
      </w:r>
      <w:r>
        <w:rPr>
          <w:rFonts w:ascii="Arial" w:cs="Arial" w:eastAsia="Arial" w:hAnsi="Arial"/>
          <w:sz w:val="17"/>
          <w:szCs w:val="17"/>
          <w:color w:val="auto"/>
        </w:rPr>
        <w:t>: C1-INH replacement therapy is available in the U.S. and globally as an acute therapy (BERINERT CINRYZE, and CETOR) and as</w:t>
      </w:r>
      <w:r>
        <w:rPr>
          <w:rFonts w:ascii="Arial" w:cs="Arial" w:eastAsia="Arial" w:hAnsi="Arial"/>
          <w:sz w:val="17"/>
          <w:szCs w:val="17"/>
          <w:i w:val="1"/>
          <w:iCs w:val="1"/>
          <w:color w:val="auto"/>
        </w:rPr>
        <w:t xml:space="preserve"> </w:t>
      </w:r>
      <w:r>
        <w:rPr>
          <w:rFonts w:ascii="Arial" w:cs="Arial" w:eastAsia="Arial" w:hAnsi="Arial"/>
          <w:sz w:val="17"/>
          <w:szCs w:val="17"/>
          <w:color w:val="auto"/>
        </w:rPr>
        <w:t>a prophylactic therapy (HAEGARDA/BERINERT 2000/3000 and CINRYZE). These therapies are dosed subcutaneously and intravenously. Recombinant C1-INH (Ruconest) is also available in the U.S. and in Europe as an acute therapy.</w:t>
      </w:r>
    </w:p>
    <w:p>
      <w:pPr>
        <w:spacing w:after="0" w:line="70" w:lineRule="exact"/>
        <w:rPr>
          <w:rFonts w:ascii="Arial" w:cs="Arial" w:eastAsia="Arial" w:hAnsi="Arial"/>
          <w:sz w:val="17"/>
          <w:szCs w:val="17"/>
          <w:color w:val="auto"/>
        </w:rPr>
      </w:pPr>
    </w:p>
    <w:p>
      <w:pPr>
        <w:ind w:left="1000" w:right="100" w:hanging="547"/>
        <w:spacing w:after="0" w:line="25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Kallikrein Inhibitors</w:t>
      </w:r>
      <w:r>
        <w:rPr>
          <w:rFonts w:ascii="Arial" w:cs="Arial" w:eastAsia="Arial" w:hAnsi="Arial"/>
          <w:sz w:val="18"/>
          <w:szCs w:val="18"/>
          <w:color w:val="auto"/>
        </w:rPr>
        <w:t>: KALBITOR (ecallantide) is a specific recombinant plasma kallikrein inhibitor that is dosed subcutaneously by</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providers in the U.S. to treat acute HAE attacks. TAKHZYRO (lanadelumab-flyo) is a monoclonal antibody approved in the U.S. and a growing number of countries for prophylaxis of HAE attacks and can be self-administered as a subcutaneous injection. ORLADEYO (berotralstat) is an kallikrein inhibitor that was approved in the U.S. in the fourth quarter of 2020 and is dosed orally once-daily for the prevention of HAE attacks.</w:t>
      </w:r>
    </w:p>
    <w:p>
      <w:pPr>
        <w:spacing w:after="0" w:line="93" w:lineRule="exact"/>
        <w:rPr>
          <w:rFonts w:ascii="Arial" w:cs="Arial" w:eastAsia="Arial" w:hAnsi="Arial"/>
          <w:sz w:val="18"/>
          <w:szCs w:val="18"/>
          <w:color w:val="auto"/>
        </w:rPr>
      </w:pPr>
    </w:p>
    <w:p>
      <w:pPr>
        <w:ind w:left="1000" w:right="60" w:hanging="547"/>
        <w:spacing w:after="0" w:line="259"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Other Medications</w:t>
      </w:r>
      <w:r>
        <w:rPr>
          <w:rFonts w:ascii="Arial" w:cs="Arial" w:eastAsia="Arial" w:hAnsi="Arial"/>
          <w:sz w:val="18"/>
          <w:szCs w:val="18"/>
          <w:color w:val="auto"/>
        </w:rPr>
        <w:t>: Prophylactic administration of synthetic attenuated androgens (generically available as danazol or stanozolol)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firstLine="449"/>
        <w:spacing w:after="0" w:line="257" w:lineRule="auto"/>
        <w:rPr>
          <w:sz w:val="20"/>
          <w:szCs w:val="20"/>
          <w:color w:val="auto"/>
        </w:rPr>
      </w:pPr>
      <w:r>
        <w:rPr>
          <w:rFonts w:ascii="Arial" w:cs="Arial" w:eastAsia="Arial" w:hAnsi="Arial"/>
          <w:sz w:val="18"/>
          <w:szCs w:val="18"/>
          <w:color w:val="auto"/>
        </w:rPr>
        <w:t>We are also aware of a number of HAE therapies in clinical development. Currently, there are three orally delivered plasma kallikrein inhibitors being developed clinically: Kalvista’s KVD900 for acute treatment and KVD824 for prophylactic treatment and Attune’s ATN-249 for prophylactic treatment. Additionally, CSL is developing garadacimab, an anti-factor XIIa mAb for prophylactic treatment, which is delivered subcutaneously or intravenously and Ionis’s IONIS-PKK-LRx, an antisense oligonucleotide inhibitor of prekallikrein for prophylactic treatment, which is delivered subcutaneously.</w:t>
      </w:r>
    </w:p>
    <w:p>
      <w:pPr>
        <w:spacing w:after="0" w:line="188"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360" w:firstLine="449"/>
        <w:spacing w:after="0" w:line="257" w:lineRule="auto"/>
        <w:rPr>
          <w:sz w:val="20"/>
          <w:szCs w:val="20"/>
          <w:color w:val="auto"/>
        </w:rPr>
      </w:pPr>
      <w:r>
        <w:rPr>
          <w:rFonts w:ascii="Arial" w:cs="Arial" w:eastAsia="Arial" w:hAnsi="Arial"/>
          <w:sz w:val="18"/>
          <w:szCs w:val="18"/>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8"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nonclinical and clinical development paths for product candidates are broadly similar in the European Union and the United States.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Nonclinical Studies</w:t>
      </w:r>
    </w:p>
    <w:p>
      <w:pPr>
        <w:spacing w:after="0" w:line="117"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 xml:space="preserve">Development of the product candidates starts with nonclinical studies, which include laboratory tests to develop a robust product manufacturing process, including formulation and stability. In addition, nonclinical studies are conducted to evaluate the mode of action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tests are conducted until adequate proof of safety is established (e.g., animal testing for reproductive toxicity and carcinogenicity). The conduct of the nonclinical tests and formulation of the compounds for testing must comply with regulations and requirements set by the Competent Authorities, including compliance with GLP. Upon successful completion of nonclinical studies, clinical development can be initiated.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60"/>
          </w:cols>
          <w:pgMar w:left="32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6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Prior to initiating clinical trials, a request for clinical trial authorization (national Competent Authorities in the European Union) or an Investigational New Drug, or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9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71" w:lineRule="exact"/>
        <w:rPr>
          <w:sz w:val="20"/>
          <w:szCs w:val="20"/>
          <w:color w:val="auto"/>
        </w:rPr>
      </w:pPr>
    </w:p>
    <w:p>
      <w:pPr>
        <w:ind w:right="360" w:firstLine="449"/>
        <w:spacing w:after="0" w:line="259" w:lineRule="auto"/>
        <w:rPr>
          <w:sz w:val="20"/>
          <w:szCs w:val="20"/>
          <w:color w:val="auto"/>
        </w:rPr>
      </w:pPr>
      <w:r>
        <w:rPr>
          <w:rFonts w:ascii="Arial" w:cs="Arial" w:eastAsia="Arial" w:hAnsi="Arial"/>
          <w:sz w:val="18"/>
          <w:szCs w:val="18"/>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specific regulatory regimes and regulations applicable in certain jurisdictions.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Food and Drug Administration</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In the United States,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FDA Approval Process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product candidate is usually into healthy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76"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results of drug candidate development, nonclinical testing, clinical trials and proposed labeling are submitted to the FDA as part of the New Drug Application, or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2"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cost of preparing and submitting an NDA is substantial. The submission of most NDAs is additionally subject to a substantial application user fee payment to FDA, and the manufacturer and/or sponsor under an approved NDA are also subject to certain annual program user fees. The FDA typically increases these fees annually.</w:t>
      </w:r>
    </w:p>
    <w:p>
      <w:pPr>
        <w:spacing w:after="0" w:line="184"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after the 60-day filing review period, but this timeframe is often extended. The FDA reviews most applications for standard review drugs within twelve months. The review process may be extended by the FDA for three additional months to consider certain late-submitted information, or information intended to clarify information already provided in the submission. This late-submitted information is typically requested by FDA.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FDA, and provide recommendations, sometimes including whether the FDA should approve the application. The FDA is not bound by the recommendation of an Advisory Committee, but it generally follows such recommendations.</w:t>
      </w:r>
    </w:p>
    <w:p>
      <w:pPr>
        <w:spacing w:after="0" w:line="187" w:lineRule="exact"/>
        <w:rPr>
          <w:sz w:val="20"/>
          <w:szCs w:val="20"/>
          <w:color w:val="auto"/>
        </w:rPr>
      </w:pPr>
    </w:p>
    <w:p>
      <w:pPr>
        <w:ind w:right="560" w:firstLine="449"/>
        <w:spacing w:after="0" w:line="259" w:lineRule="auto"/>
        <w:rPr>
          <w:sz w:val="20"/>
          <w:szCs w:val="20"/>
          <w:color w:val="auto"/>
        </w:rPr>
      </w:pPr>
      <w:r>
        <w:rPr>
          <w:rFonts w:ascii="Arial" w:cs="Arial" w:eastAsia="Arial" w:hAnsi="Arial"/>
          <w:sz w:val="18"/>
          <w:szCs w:val="18"/>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8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preclinical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78"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Expedited Approval in the U.S.</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FDA has a number of programs that are intended to facilitate and expedite development and review of new drugs to address unmet medical need in the treatment of a serious or life threatening condition. These are: Fast Track Designation, Breakthrough Therapy Designation, Accelerated Approval and Priority Review Designation.</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 track product can be eligible for priority review if supported by clinical data at the time of NDA submission. If the FDA determines that a fast track product may be effective after preliminary evaluation of the NDA, it may consider reviewing portions of 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marketing application before the sponsor submits the complete application. Fast Track Designation can be requested when the IND is first submitted or at any time thereafter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71"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5"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7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post-approval trials with due diligence or the applicant disseminates false or misleading promotional materials related to the product.</w:t>
      </w:r>
    </w:p>
    <w:p>
      <w:pPr>
        <w:spacing w:after="0" w:line="18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of receipt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Designation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An orphan drug designation qualifies the manufacturer for certain tax credits and may lead to market exclusivity for seven years following the date of the drug’s approval by the FDA. The FDCA provides that a drug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71" w:lineRule="exact"/>
        <w:rPr>
          <w:sz w:val="20"/>
          <w:szCs w:val="20"/>
          <w:color w:val="auto"/>
        </w:rPr>
      </w:pPr>
    </w:p>
    <w:p>
      <w:pPr>
        <w:ind w:right="180" w:firstLine="449"/>
        <w:spacing w:after="0" w:line="272" w:lineRule="auto"/>
        <w:rPr>
          <w:sz w:val="20"/>
          <w:szCs w:val="20"/>
          <w:color w:val="auto"/>
        </w:rPr>
      </w:pPr>
      <w:r>
        <w:rPr>
          <w:rFonts w:ascii="Arial" w:cs="Arial" w:eastAsia="Arial" w:hAnsi="Arial"/>
          <w:sz w:val="17"/>
          <w:szCs w:val="17"/>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7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Post-Marketing Requirements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8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7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addition, drug products manufactured or distributed pursuant to FDA approvals, are subject to additional and continuing regulation by the FDA, including, among other things:</w:t>
      </w:r>
    </w:p>
    <w:p>
      <w:pPr>
        <w:spacing w:after="0" w:line="76" w:lineRule="exact"/>
        <w:rPr>
          <w:sz w:val="20"/>
          <w:szCs w:val="20"/>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record-keeping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reporting of adverse experiences associated with the product;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providing the FDA with updated safety and efficacy information;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distribution of drug samples;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notifying the FDA and gaining its approval of specified manufacturing or labeling changes;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drug establishment registration and drug listing requirements;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00" w:hanging="547"/>
        <w:spacing w:after="0" w:line="311"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49"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 Accordingly, manufacturers must continue to expend time, money and effort in the area of production, distribution and quality control to maintain compliance with cGMP and other aspects of regulatory compliance.</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93" w:lineRule="exact"/>
        <w:rPr>
          <w:sz w:val="20"/>
          <w:szCs w:val="20"/>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restrictions on the commercialization or manufacturing of the drug, market withdrawals or recalls;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refusal to approve pending NDAs or supplements to approved NDAs;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Patent Term Restoration</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A patent claiming a new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U.S. Healthcare Laws and Compliance Requirements</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7"/>
          <w:szCs w:val="17"/>
          <w:i w:val="1"/>
          <w:iCs w:val="1"/>
          <w:color w:val="auto"/>
        </w:rPr>
        <w:t>e.g.</w:t>
      </w:r>
      <w:r>
        <w:rPr>
          <w:rFonts w:ascii="Arial" w:cs="Arial" w:eastAsia="Arial" w:hAnsi="Arial"/>
          <w:sz w:val="17"/>
          <w:szCs w:val="17"/>
          <w:color w:val="auto"/>
        </w:rPr>
        <w:t>, the 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(defined below),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federal and state healthcare laws and regulations, include, without limitation, the following:</w:t>
      </w:r>
    </w:p>
    <w:p>
      <w:pPr>
        <w:spacing w:after="0" w:line="131" w:lineRule="exact"/>
        <w:rPr>
          <w:sz w:val="20"/>
          <w:szCs w:val="20"/>
          <w:color w:val="auto"/>
        </w:rPr>
      </w:pPr>
    </w:p>
    <w:p>
      <w:pPr>
        <w:ind w:left="1000" w:hanging="547"/>
        <w:spacing w:after="0" w:line="285"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(collectively,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 xml:space="preserve"> 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76" w:lineRule="exact"/>
        <w:rPr>
          <w:rFonts w:ascii="Arial" w:cs="Arial" w:eastAsia="Arial" w:hAnsi="Arial"/>
          <w:sz w:val="16"/>
          <w:szCs w:val="16"/>
          <w:color w:val="auto"/>
        </w:rPr>
      </w:pPr>
    </w:p>
    <w:p>
      <w:pPr>
        <w:ind w:left="1000" w:right="60" w:hanging="547"/>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The Federal Civil False Claims Act</w:t>
      </w:r>
      <w:r>
        <w:rPr>
          <w:rFonts w:ascii="Arial" w:cs="Arial" w:eastAsia="Arial" w:hAnsi="Arial"/>
          <w:sz w:val="18"/>
          <w:szCs w:val="18"/>
          <w:color w:val="auto"/>
        </w:rPr>
        <w:t>—Imposes civil penalties, including through civil whistleblower or</w:t>
      </w:r>
      <w:r>
        <w:rPr>
          <w:rFonts w:ascii="Arial" w:cs="Arial" w:eastAsia="Arial" w:hAnsi="Arial"/>
          <w:sz w:val="18"/>
          <w:szCs w:val="18"/>
          <w:i w:val="1"/>
          <w:iCs w:val="1"/>
          <w:color w:val="auto"/>
        </w:rPr>
        <w:t xml:space="preserve"> qui tam </w:t>
      </w:r>
      <w:r>
        <w:rPr>
          <w:rFonts w:ascii="Arial" w:cs="Arial" w:eastAsia="Arial" w:hAnsi="Arial"/>
          <w:sz w:val="18"/>
          <w:szCs w:val="18"/>
          <w:color w:val="auto"/>
        </w:rPr>
        <w:t>actions, against individuals or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for, among other things, knowingly presenting,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spacing w:after="0" w:line="286" w:lineRule="auto"/>
        <w:rPr>
          <w:sz w:val="20"/>
          <w:szCs w:val="20"/>
          <w:color w:val="auto"/>
        </w:rPr>
      </w:pPr>
      <w:r>
        <w:rPr>
          <w:rFonts w:ascii="Arial" w:cs="Arial" w:eastAsia="Arial" w:hAnsi="Arial"/>
          <w:sz w:val="16"/>
          <w:szCs w:val="16"/>
          <w:color w:val="auto"/>
        </w:rPr>
        <w:t>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73" w:lineRule="exact"/>
        <w:rPr>
          <w:sz w:val="20"/>
          <w:szCs w:val="20"/>
          <w:color w:val="auto"/>
        </w:rPr>
      </w:pPr>
    </w:p>
    <w:p>
      <w:pPr>
        <w:ind w:left="1000" w:right="300" w:hanging="547"/>
        <w:spacing w:after="0" w:line="279"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The Federal Criminal Statute on False Statements Relating to Health Care Matters</w:t>
      </w:r>
      <w:r>
        <w:rPr>
          <w:rFonts w:ascii="Arial" w:cs="Arial" w:eastAsia="Arial" w:hAnsi="Arial"/>
          <w:sz w:val="17"/>
          <w:szCs w:val="17"/>
          <w:color w:val="auto"/>
        </w:rPr>
        <w:t>—Makes it a crime to knowingly and willfully falsify,</w:t>
      </w:r>
      <w:r>
        <w:rPr>
          <w:rFonts w:ascii="Arial" w:cs="Arial" w:eastAsia="Arial" w:hAnsi="Arial"/>
          <w:sz w:val="17"/>
          <w:szCs w:val="17"/>
          <w:i w:val="1"/>
          <w:iCs w:val="1"/>
          <w:color w:val="auto"/>
        </w:rPr>
        <w:t xml:space="preserve"> </w:t>
      </w:r>
      <w:r>
        <w:rPr>
          <w:rFonts w:ascii="Arial" w:cs="Arial" w:eastAsia="Arial" w:hAnsi="Arial"/>
          <w:sz w:val="17"/>
          <w:szCs w:val="17"/>
          <w:color w:val="auto"/>
        </w:rPr>
        <w:t>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76" w:lineRule="exact"/>
        <w:rPr>
          <w:rFonts w:ascii="Arial" w:cs="Arial" w:eastAsia="Arial" w:hAnsi="Arial"/>
          <w:sz w:val="17"/>
          <w:szCs w:val="17"/>
          <w:color w:val="auto"/>
        </w:rPr>
      </w:pPr>
    </w:p>
    <w:p>
      <w:pPr>
        <w:ind w:left="1000" w:right="40" w:hanging="547"/>
        <w:spacing w:after="0" w:line="301"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Health Insurance Portability and Accountability Act of 1996 (“HIPAA”), makes</w:t>
      </w:r>
      <w:r>
        <w:rPr>
          <w:rFonts w:ascii="Arial" w:cs="Arial" w:eastAsia="Arial" w:hAnsi="Arial"/>
          <w:sz w:val="16"/>
          <w:szCs w:val="16"/>
          <w:i w:val="1"/>
          <w:iCs w:val="1"/>
          <w:color w:val="auto"/>
        </w:rPr>
        <w:t xml:space="preserve"> </w:t>
      </w:r>
      <w:r>
        <w:rPr>
          <w:rFonts w:ascii="Arial" w:cs="Arial" w:eastAsia="Arial" w:hAnsi="Arial"/>
          <w:sz w:val="16"/>
          <w:szCs w:val="16"/>
          <w:color w:val="auto"/>
        </w:rPr>
        <w:t>it a crime to knowingly and willfully execute, or attempt to execute, a 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2" w:lineRule="exact"/>
        <w:rPr>
          <w:rFonts w:ascii="Arial" w:cs="Arial" w:eastAsia="Arial" w:hAnsi="Arial"/>
          <w:sz w:val="16"/>
          <w:szCs w:val="16"/>
          <w:color w:val="auto"/>
        </w:rPr>
      </w:pPr>
    </w:p>
    <w:p>
      <w:pPr>
        <w:ind w:left="1000" w:hanging="547"/>
        <w:spacing w:after="0" w:line="275"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The Federal Civil Monetary Penalties Law</w:t>
      </w:r>
      <w:r>
        <w:rPr>
          <w:rFonts w:ascii="Arial" w:cs="Arial" w:eastAsia="Arial" w:hAnsi="Arial"/>
          <w:sz w:val="17"/>
          <w:szCs w:val="17"/>
          <w:color w:val="auto"/>
        </w:rPr>
        <w:t>—Authorizes the imposition of substantial civil monetary penalties against an entity, such as a</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81" w:lineRule="exact"/>
        <w:rPr>
          <w:rFonts w:ascii="Arial" w:cs="Arial" w:eastAsia="Arial" w:hAnsi="Arial"/>
          <w:sz w:val="17"/>
          <w:szCs w:val="17"/>
          <w:color w:val="auto"/>
        </w:rPr>
      </w:pPr>
    </w:p>
    <w:p>
      <w:pPr>
        <w:ind w:left="1000" w:right="60" w:hanging="547"/>
        <w:spacing w:after="0" w:line="270"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HIPAA Health Information Privacy and Security</w:t>
      </w:r>
      <w:r>
        <w:rPr>
          <w:rFonts w:ascii="Arial" w:cs="Arial" w:eastAsia="Arial" w:hAnsi="Arial"/>
          <w:sz w:val="17"/>
          <w:szCs w:val="17"/>
          <w:color w:val="auto"/>
        </w:rPr>
        <w:t>—HIPAA, as amended by the Health Information Technology for Economic and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459" w:right="3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77" w:lineRule="auto"/>
        <w:rPr>
          <w:sz w:val="20"/>
          <w:szCs w:val="20"/>
          <w:color w:val="auto"/>
        </w:rPr>
      </w:pPr>
      <w:r>
        <w:rPr>
          <w:rFonts w:ascii="Arial" w:cs="Arial" w:eastAsia="Arial" w:hAnsi="Arial"/>
          <w:sz w:val="18"/>
          <w:szCs w:val="18"/>
          <w:color w:val="auto"/>
        </w:rPr>
        <w:t>addition, state laws govern the privacy and security of health information in specified circumstances, many of which differ from each other in significant ways and may not have the same effect, thus complicating compliance efforts.</w:t>
      </w:r>
    </w:p>
    <w:p>
      <w:pPr>
        <w:spacing w:after="0" w:line="76" w:lineRule="exact"/>
        <w:rPr>
          <w:sz w:val="20"/>
          <w:szCs w:val="20"/>
          <w:color w:val="auto"/>
        </w:rPr>
      </w:pPr>
    </w:p>
    <w:p>
      <w:pPr>
        <w:ind w:left="1000" w:right="80" w:hanging="547"/>
        <w:spacing w:after="0" w:line="273"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The Federal Physician Payments Sunshine Act</w:t>
      </w:r>
      <w:r>
        <w:rPr>
          <w:rFonts w:ascii="Arial" w:cs="Arial" w:eastAsia="Arial" w:hAnsi="Arial"/>
          <w:sz w:val="17"/>
          <w:szCs w:val="17"/>
          <w:color w:val="auto"/>
        </w:rPr>
        <w:t>—Requires “applicable manufacturers” of drugs, devices, biologics, and medical supplies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83" w:lineRule="exact"/>
        <w:rPr>
          <w:rFonts w:ascii="Arial" w:cs="Arial" w:eastAsia="Arial" w:hAnsi="Arial"/>
          <w:sz w:val="17"/>
          <w:szCs w:val="17"/>
          <w:color w:val="auto"/>
        </w:rPr>
      </w:pPr>
    </w:p>
    <w:p>
      <w:pPr>
        <w:jc w:val="both"/>
        <w:ind w:left="1000" w:right="280" w:hanging="547"/>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Analogous State Laws</w:t>
      </w:r>
      <w:r>
        <w:rPr>
          <w:rFonts w:ascii="Arial" w:cs="Arial" w:eastAsia="Arial" w:hAnsi="Arial"/>
          <w:sz w:val="18"/>
          <w:szCs w:val="18"/>
          <w:color w:val="auto"/>
        </w:rPr>
        <w:t>—There are state law equivalents of the above federal laws, such as the Anti-Kickback Statute and the False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Act, which may apply to items and services reimbursed by any third-party payor, including commercial insurers (</w:t>
      </w:r>
      <w:r>
        <w:rPr>
          <w:rFonts w:ascii="Arial" w:cs="Arial" w:eastAsia="Arial" w:hAnsi="Arial"/>
          <w:sz w:val="18"/>
          <w:szCs w:val="18"/>
          <w:i w:val="1"/>
          <w:iCs w:val="1"/>
          <w:color w:val="auto"/>
        </w:rPr>
        <w:t>i.e.</w:t>
      </w:r>
      <w:r>
        <w:rPr>
          <w:rFonts w:ascii="Arial" w:cs="Arial" w:eastAsia="Arial" w:hAnsi="Arial"/>
          <w:sz w:val="18"/>
          <w:szCs w:val="18"/>
          <w:color w:val="auto"/>
        </w:rPr>
        <w:t>, so-called “all-payor anti-kickback laws”).</w:t>
      </w:r>
    </w:p>
    <w:p>
      <w:pPr>
        <w:spacing w:after="0" w:line="89" w:lineRule="exact"/>
        <w:rPr>
          <w:rFonts w:ascii="Arial" w:cs="Arial" w:eastAsia="Arial" w:hAnsi="Arial"/>
          <w:sz w:val="18"/>
          <w:szCs w:val="18"/>
          <w:color w:val="auto"/>
        </w:rPr>
      </w:pPr>
    </w:p>
    <w:p>
      <w:pPr>
        <w:ind w:left="1000" w:hanging="547"/>
        <w:spacing w:after="0" w:line="269"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State Laws </w:t>
      </w:r>
      <w:r>
        <w:rPr>
          <w:rFonts w:ascii="Arial" w:cs="Arial" w:eastAsia="Arial" w:hAnsi="Arial"/>
          <w:sz w:val="17"/>
          <w:szCs w:val="17"/>
          <w:color w:val="auto"/>
        </w:rPr>
        <w:t>Regulating</w:t>
      </w:r>
      <w:r>
        <w:rPr>
          <w:rFonts w:ascii="Arial" w:cs="Arial" w:eastAsia="Arial" w:hAnsi="Arial"/>
          <w:sz w:val="17"/>
          <w:szCs w:val="17"/>
          <w:i w:val="1"/>
          <w:iCs w:val="1"/>
          <w:color w:val="auto"/>
        </w:rPr>
        <w:t xml:space="preserve"> Pharmaceutical Manufacturer Compliance Programs, Drug Price Transparency, and Other Practices</w:t>
      </w:r>
      <w:r>
        <w:rPr>
          <w:rFonts w:ascii="Arial" w:cs="Arial" w:eastAsia="Arial" w:hAnsi="Arial"/>
          <w:sz w:val="17"/>
          <w:szCs w:val="17"/>
          <w:color w:val="auto"/>
        </w:rPr>
        <w:t>—Some state</w:t>
      </w:r>
      <w:r>
        <w:rPr>
          <w:rFonts w:ascii="Arial" w:cs="Arial" w:eastAsia="Arial" w:hAnsi="Arial"/>
          <w:sz w:val="17"/>
          <w:szCs w:val="17"/>
          <w:i w:val="1"/>
          <w:iCs w:val="1"/>
          <w:color w:val="auto"/>
        </w:rPr>
        <w:t xml:space="preserve"> </w:t>
      </w:r>
      <w:r>
        <w:rPr>
          <w:rFonts w:ascii="Arial" w:cs="Arial" w:eastAsia="Arial" w:hAnsi="Arial"/>
          <w:sz w:val="17"/>
          <w:szCs w:val="17"/>
          <w:color w:val="auto"/>
        </w:rPr>
        <w:t>laws 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84" w:lineRule="exact"/>
        <w:rPr>
          <w:rFonts w:ascii="Arial" w:cs="Arial" w:eastAsia="Arial" w:hAnsi="Arial"/>
          <w:sz w:val="17"/>
          <w:szCs w:val="17"/>
          <w:color w:val="auto"/>
        </w:rPr>
      </w:pPr>
    </w:p>
    <w:p>
      <w:pPr>
        <w:ind w:left="1000" w:hanging="547"/>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are also required to satisfy the product tracing, verification and reporting requirements set out in the Drug Quality and Security Act.</w:t>
      </w:r>
    </w:p>
    <w:p>
      <w:pPr>
        <w:spacing w:after="0" w:line="23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66"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Healthcare Reform</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83" w:lineRule="exact"/>
        <w:rPr>
          <w:sz w:val="20"/>
          <w:szCs w:val="20"/>
          <w:color w:val="auto"/>
        </w:rPr>
      </w:pPr>
    </w:p>
    <w:p>
      <w:pPr>
        <w:ind w:left="1000" w:right="14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which include, among other things, new government investigative powers and enhanced penalties for non-compliance;</w:t>
      </w:r>
    </w:p>
    <w:p>
      <w:pPr>
        <w:spacing w:after="0" w:line="75" w:lineRule="exact"/>
        <w:rPr>
          <w:rFonts w:ascii="Arial" w:cs="Arial" w:eastAsia="Arial" w:hAnsi="Arial"/>
          <w:sz w:val="18"/>
          <w:szCs w:val="18"/>
          <w:color w:val="auto"/>
        </w:rPr>
      </w:pPr>
    </w:p>
    <w:p>
      <w:pPr>
        <w:ind w:left="1000" w:right="260" w:hanging="547"/>
        <w:spacing w:after="0" w:line="263"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89"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75"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expansion of the types of entities eligible for discounts under the Public Health Service pharmaceutical pricing program (</w:t>
      </w:r>
      <w:r>
        <w:rPr>
          <w:rFonts w:ascii="Arial" w:cs="Arial" w:eastAsia="Arial" w:hAnsi="Arial"/>
          <w:sz w:val="18"/>
          <w:szCs w:val="18"/>
          <w:i w:val="1"/>
          <w:iCs w:val="1"/>
          <w:color w:val="auto"/>
        </w:rPr>
        <w:t>i.e.</w:t>
      </w:r>
      <w:r>
        <w:rPr>
          <w:rFonts w:ascii="Arial" w:cs="Arial" w:eastAsia="Arial" w:hAnsi="Arial"/>
          <w:sz w:val="18"/>
          <w:szCs w:val="18"/>
          <w:color w:val="auto"/>
        </w:rPr>
        <w:t>, the 340B program);</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reporting of certain financial arrangements between manufacturers of drugs, biologics, devices, and medical supplies and physicians and teaching hospitals under the Physician Payments Sunshine Act;</w:t>
      </w:r>
    </w:p>
    <w:p>
      <w:pPr>
        <w:spacing w:after="0" w:line="75"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licensed practitioners;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creation of the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PPACA, as well as efforts by the Trump Administration to repeal or replace certain aspects of the PPACA.</w:t>
      </w:r>
    </w:p>
    <w:p>
      <w:pPr>
        <w:spacing w:after="0" w:line="170"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is scheduled to hear oral arguments on November 10, 2020 and the case is expected to be decided in 2021.</w:t>
      </w:r>
    </w:p>
    <w:p>
      <w:pPr>
        <w:spacing w:after="0" w:line="18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Since January 2017, President Trump has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In the future, there may be additional challenges and/or amendments to the PPACA.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7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78"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Further, there has been heightened governmental scrutiny recently over the manner in which drug manufacturers set prices for their marketed products in the United States. Congress is considering various legislative proposals, and the Trump Administration has proposed and begun implementing regulatory reforms to further increase transparency around prices and price increases, lower out-of-pocket costs for consumers, and decrease spending on prescription drugs by government programs. On September 13, 2020, President Trump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459"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implemented, the “most-favored-nation” price would generally reflect the lowest price, after certain adjustments, for a pharmaceutical product sold in an economically-comparable member country of the Organisation for Economic Co-operation and Development. Congress has also continued to conduct inquiries into the prescription drug industry’s pricing practices. While several proposed reform measures will require Congress to pass legislation to become effective, Congress and the Trump Administration have each indicated that it will continue to seek new legislative and/or regulatory measures to address prescription drug costs. 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8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We expect that these,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Privacy and Information Security</w:t>
      </w:r>
    </w:p>
    <w:p>
      <w:pPr>
        <w:spacing w:after="0" w:line="117" w:lineRule="exact"/>
        <w:rPr>
          <w:sz w:val="20"/>
          <w:szCs w:val="20"/>
          <w:color w:val="auto"/>
        </w:rPr>
      </w:pPr>
    </w:p>
    <w:p>
      <w:pPr>
        <w:ind w:right="120" w:firstLine="449"/>
        <w:spacing w:after="0" w:line="269" w:lineRule="auto"/>
        <w:rPr>
          <w:sz w:val="20"/>
          <w:szCs w:val="20"/>
          <w:color w:val="auto"/>
        </w:rPr>
      </w:pPr>
      <w:r>
        <w:rPr>
          <w:rFonts w:ascii="Arial" w:cs="Arial" w:eastAsia="Arial" w:hAnsi="Arial"/>
          <w:sz w:val="17"/>
          <w:szCs w:val="17"/>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5"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8"/>
          <w:szCs w:val="18"/>
          <w:i w:val="1"/>
          <w:iCs w:val="1"/>
          <w:color w:val="auto"/>
        </w:rPr>
        <w:t>e.g.</w:t>
      </w:r>
      <w:r>
        <w:rPr>
          <w:rFonts w:ascii="Arial" w:cs="Arial" w:eastAsia="Arial" w:hAnsi="Arial"/>
          <w:sz w:val="18"/>
          <w:szCs w:val="18"/>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8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8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Additionally, the Federal Trade Commission, or FTC, and state attorneys general enforce consumer protection laws that prohibit unfair and deceptive acts and practices, including Section 5 of the FTC Act, which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65"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Further,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65" w:lineRule="exact"/>
        <w:rPr>
          <w:sz w:val="20"/>
          <w:szCs w:val="20"/>
          <w:color w:val="auto"/>
        </w:rPr>
      </w:pPr>
    </w:p>
    <w:p>
      <w:pPr>
        <w:ind w:right="140" w:firstLine="449"/>
        <w:spacing w:after="0" w:line="284"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w:t>
      </w:r>
    </w:p>
    <w:p>
      <w:pPr>
        <w:spacing w:after="0" w:line="4" w:lineRule="exact"/>
        <w:rPr>
          <w:sz w:val="20"/>
          <w:szCs w:val="20"/>
          <w:color w:val="auto"/>
        </w:rPr>
      </w:pPr>
    </w:p>
    <w:p>
      <w:pPr>
        <w:ind w:right="160" w:firstLine="8"/>
        <w:spacing w:after="0" w:line="287" w:lineRule="auto"/>
        <w:tabs>
          <w:tab w:leader="none" w:pos="305"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CJEU declared the Privacy Shield to be invalid. The CJEU upheld the validity of the standard contractual clauses, or SCCs, as a legal mechanism to transfer personal data but companies relying on SCCs will—subject to additional guidance from regulators in the EEA—need to evaluate and implement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w:t>
      </w:r>
    </w:p>
    <w:p>
      <w:pPr>
        <w:spacing w:after="0" w:line="170"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Foreign Corrupt Practices Act</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Regulation</w:t>
      </w:r>
    </w:p>
    <w:p>
      <w:pPr>
        <w:spacing w:after="0" w:line="117"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Medicines Agency</w:t>
      </w:r>
    </w:p>
    <w:p>
      <w:pPr>
        <w:spacing w:after="0" w:line="11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the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6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77"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60"/>
          </w:cols>
          <w:pgMar w:left="32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7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labelling to ensure that the benefits of certain prescription drugs outweigh their risks.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Accelerated Assessment Procedures</w:t>
      </w:r>
    </w:p>
    <w:p>
      <w:pPr>
        <w:spacing w:after="0" w:line="11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Marketing Authorization and Authorization under Exceptional Circumstances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conditional marketing authorization is valid for one year, can be renewed annually and may be requested by an applicant or proposed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CHMP for medicinal products which aim at:</w:t>
      </w:r>
    </w:p>
    <w:p>
      <w:pPr>
        <w:spacing w:after="0" w:line="116" w:lineRule="exact"/>
        <w:rPr>
          <w:sz w:val="20"/>
          <w:szCs w:val="20"/>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treatment, prevention or medical diagnosis of seriously debilitating or life-threatening diseases;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medicinal products designated as orphan medicinal products in accordance with Regulation (EC) No. 141/2000, as amended.</w:t>
      </w:r>
    </w:p>
    <w:p>
      <w:pPr>
        <w:spacing w:after="0" w:line="22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A conditional marketing authorization may be requested by an applicant or proposed by the CHMP for medicinal products if all of the following requirements are met:</w:t>
      </w:r>
    </w:p>
    <w:p>
      <w:pPr>
        <w:spacing w:after="0" w:line="76" w:lineRule="exact"/>
        <w:rPr>
          <w:sz w:val="20"/>
          <w:szCs w:val="20"/>
          <w:color w:val="auto"/>
        </w:rPr>
      </w:pPr>
    </w:p>
    <w:p>
      <w:pPr>
        <w:ind w:left="1000" w:hanging="54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risk-benefit balance of the medicinal product, as defined in Article 1(28a) of Directive 2001/83/EC, as amended, is positive;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comprehensive clinical data;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53" w:lineRule="exact"/>
        <w:rPr>
          <w:rFonts w:ascii="Arial" w:cs="Arial" w:eastAsia="Arial" w:hAnsi="Arial"/>
          <w:sz w:val="16"/>
          <w:szCs w:val="16"/>
          <w:color w:val="auto"/>
        </w:rPr>
      </w:pPr>
    </w:p>
    <w:p>
      <w:pPr>
        <w:ind w:left="1000" w:right="100" w:hanging="547"/>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9" w:right="3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8"/>
          <w:szCs w:val="18"/>
          <w:i w:val="1"/>
          <w:iCs w:val="1"/>
          <w:color w:val="auto"/>
        </w:rPr>
        <w:t>.</w:t>
      </w:r>
      <w:r>
        <w:rPr>
          <w:rFonts w:ascii="Arial" w:cs="Arial" w:eastAsia="Arial" w:hAnsi="Arial"/>
          <w:sz w:val="18"/>
          <w:szCs w:val="18"/>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8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In addition, authorization under exceptional circumstances may be requested when it is not possible to provide comprehensive data on the efficacy and safety under normal conditions of use, because:</w:t>
      </w:r>
    </w:p>
    <w:p>
      <w:pPr>
        <w:spacing w:after="0" w:line="76" w:lineRule="exact"/>
        <w:rPr>
          <w:sz w:val="20"/>
          <w:szCs w:val="20"/>
          <w:color w:val="auto"/>
        </w:rPr>
      </w:pPr>
    </w:p>
    <w:p>
      <w:pPr>
        <w:ind w:left="1000" w:right="34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indications for which the product in question is intended are encountered so rarely that the applicant cannot reasonably be expected to provide comprehensive evidence;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present state of scientific knowledge, comprehensive information cannot be provided;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would be contrary to generally accepted principles of medical ethics to collect such information.</w:t>
      </w:r>
    </w:p>
    <w:p>
      <w:pPr>
        <w:spacing w:after="0" w:line="225"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Authorization</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and Promotion</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Regulatory Data Protection and Market Exclusivity</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preclinical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Designation</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95"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a marketing authorization may be granted, for the same therapeutic indication, to a similar drug if:</w:t>
      </w:r>
    </w:p>
    <w:p>
      <w:pPr>
        <w:spacing w:after="0" w:line="131" w:lineRule="exact"/>
        <w:rPr>
          <w:sz w:val="20"/>
          <w:szCs w:val="20"/>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Regulation (EC) No 847/2000 lays down definitions of the concepts “similar drug” and “clinical superiority.”</w:t>
      </w:r>
    </w:p>
    <w:p>
      <w:pPr>
        <w:spacing w:after="0" w:line="22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In order to be eligible for incentives made available by the European Union and by the Member States to support research into, and the development and availability of, orphan drugs, the medicinal product needs to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designated as an orphan drug pursuant to Regulation (EC) No. 141/2000, as amended. Regulation (EC) No. 141/2000, as amended, states that a medicinal product shall be designated as an orphan medicinal product if its manufacturer can establish:</w:t>
      </w:r>
    </w:p>
    <w:p>
      <w:pPr>
        <w:spacing w:after="0" w:line="76" w:lineRule="exact"/>
        <w:rPr>
          <w:sz w:val="20"/>
          <w:szCs w:val="20"/>
          <w:color w:val="auto"/>
        </w:rPr>
      </w:pPr>
    </w:p>
    <w:p>
      <w:pPr>
        <w:ind w:left="1000" w:hanging="547"/>
        <w:spacing w:after="0" w:line="25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93" w:lineRule="exact"/>
        <w:rPr>
          <w:rFonts w:ascii="Arial" w:cs="Arial" w:eastAsia="Arial" w:hAnsi="Arial"/>
          <w:sz w:val="18"/>
          <w:szCs w:val="18"/>
          <w:color w:val="auto"/>
        </w:rPr>
      </w:pPr>
    </w:p>
    <w:p>
      <w:pPr>
        <w:ind w:left="1000" w:right="360" w:hanging="547"/>
        <w:spacing w:after="0" w:line="308" w:lineRule="auto"/>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Small- or Medium-Sized Enterprise Status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In the European Union, manufacturers may benefit from further incentives, including administrative and procedural assistance and fee reductions when they are classified as a small- 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Administrative, regulatory and financial support is available to companies assigned the SME status by the EMA, including:</w:t>
      </w:r>
    </w:p>
    <w:p>
      <w:pPr>
        <w:spacing w:after="0" w:line="131" w:lineRule="exact"/>
        <w:rPr>
          <w:sz w:val="20"/>
          <w:szCs w:val="20"/>
          <w:color w:val="auto"/>
        </w:rPr>
      </w:pPr>
    </w:p>
    <w:p>
      <w:pPr>
        <w:ind w:left="1000" w:hanging="547"/>
        <w:spacing w:after="0"/>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direct assistance by phone, email, teleconference or through briefing meetings on regulatory aspects of the pharmaceutical legislation;</w:t>
      </w:r>
    </w:p>
    <w:p>
      <w:pPr>
        <w:spacing w:after="0" w:line="142" w:lineRule="exact"/>
        <w:rPr>
          <w:rFonts w:ascii="Arial" w:cs="Arial" w:eastAsia="Arial" w:hAnsi="Arial"/>
          <w:sz w:val="17"/>
          <w:szCs w:val="17"/>
          <w:color w:val="auto"/>
        </w:rPr>
      </w:pPr>
    </w:p>
    <w:p>
      <w:pPr>
        <w:ind w:left="1000" w:right="6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fee exemptions and reductions for pre- and post-authorization regulatory procedures, including scientific advice, inspections and pharmaco-vigilance;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assistance with translations of product information into all official European Union languages;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guidance on clinical data publication and a free redaction tool license;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workshops and training sessions.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Development of Medicines for Children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incentives for the development of medicines for children are available in the European Union:</w:t>
      </w:r>
    </w:p>
    <w:p>
      <w:pPr>
        <w:spacing w:after="0" w:line="131" w:lineRule="exact"/>
        <w:rPr>
          <w:sz w:val="20"/>
          <w:szCs w:val="20"/>
          <w:color w:val="auto"/>
        </w:rPr>
      </w:pPr>
    </w:p>
    <w:p>
      <w:pPr>
        <w:ind w:left="1000" w:right="460" w:hanging="547"/>
        <w:spacing w:after="0" w:line="308"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orphan medicines, the incentive is an additional two years of market exclusivity;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20" w:hanging="547"/>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scientific advice and protocol assistance at the EMA are free of charge for questions relating to the development of medicines for children; and</w:t>
      </w:r>
    </w:p>
    <w:p>
      <w:pPr>
        <w:spacing w:after="0" w:line="75" w:lineRule="exact"/>
        <w:rPr>
          <w:rFonts w:ascii="Arial" w:cs="Arial" w:eastAsia="Arial" w:hAnsi="Arial"/>
          <w:sz w:val="18"/>
          <w:szCs w:val="18"/>
          <w:color w:val="auto"/>
        </w:rPr>
      </w:pPr>
    </w:p>
    <w:p>
      <w:pPr>
        <w:ind w:left="1000" w:right="540" w:hanging="547"/>
        <w:spacing w:after="0" w:line="342"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Pediatric Regulation</w:t>
      </w:r>
    </w:p>
    <w:p>
      <w:pPr>
        <w:spacing w:after="0" w:line="117"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8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6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9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We have offices in Waltham, Massachusetts; Zug, Switzerland; and, Leiden, The Netherlands. Our office in Massachusetts is rented on a monthly basis; our Switzerland office is rented on an annual basis; and our office in the incubator at the Bioscience Park in Leiden is sub-leased on a yearly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 2021, we had 14 employees. We believe our relations with our employees are good.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out the number of employees by geography as of February 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1"/>
              </w:rPr>
              <w:t>Geography</w:t>
            </w:r>
          </w:p>
        </w:tc>
        <w:tc>
          <w:tcPr>
            <w:tcW w:w="9400" w:type="dxa"/>
            <w:vAlign w:val="bottom"/>
            <w:vMerge w:val="restart"/>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7"/>
              </w:rPr>
              <w:t>As of February 1,</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9400" w:type="dxa"/>
            <w:vAlign w:val="bottom"/>
            <w:vMerge w:val="continue"/>
          </w:tcPr>
          <w:p>
            <w:pPr>
              <w:spacing w:after="0"/>
              <w:rPr>
                <w:sz w:val="15"/>
                <w:szCs w:val="15"/>
                <w:color w:val="auto"/>
              </w:rPr>
            </w:pPr>
          </w:p>
        </w:tc>
        <w:tc>
          <w:tcPr>
            <w:tcW w:w="108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Switzerland</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We are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with operating subsidiaries in the Netherlands, Switzerland and the United States. We have raised more than $163 million of invested capital from LSP, Kurma Partners, Idinvest Partners, Foresite Capital, Bain Capital Life Sciences, venBio Partners, VenRock Partners, Viking Global Investors, General Atlantic, and Cormorant Asset Management.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our corporate structure immediately following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168910</wp:posOffset>
            </wp:positionV>
            <wp:extent cx="5048885" cy="19888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4888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Senior Management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about our Board and Senior Management upon consummation of this offering.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Initial</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3480" w:type="dxa"/>
            <w:vAlign w:val="bottom"/>
            <w:vMerge w:val="restart"/>
          </w:tcPr>
          <w:p>
            <w:pPr>
              <w:spacing w:after="0"/>
              <w:rPr>
                <w:sz w:val="17"/>
                <w:szCs w:val="17"/>
                <w:color w:val="auto"/>
              </w:rPr>
            </w:pPr>
          </w:p>
        </w:tc>
        <w:tc>
          <w:tcPr>
            <w:tcW w:w="5000" w:type="dxa"/>
            <w:vAlign w:val="bottom"/>
            <w:vMerge w:val="restart"/>
          </w:tcPr>
          <w:p>
            <w:pPr>
              <w:ind w:left="2220"/>
              <w:spacing w:after="0"/>
              <w:rPr>
                <w:sz w:val="20"/>
                <w:szCs w:val="20"/>
                <w:color w:val="auto"/>
              </w:rPr>
            </w:pPr>
            <w:r>
              <w:rPr>
                <w:rFonts w:ascii="Arial" w:cs="Arial" w:eastAsia="Arial" w:hAnsi="Arial"/>
                <w:sz w:val="16"/>
                <w:szCs w:val="16"/>
                <w:b w:val="1"/>
                <w:bCs w:val="1"/>
                <w:color w:val="auto"/>
              </w:rPr>
              <w:t>Position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year of</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3480" w:type="dxa"/>
            <w:vAlign w:val="bottom"/>
            <w:vMerge w:val="continue"/>
          </w:tcPr>
          <w:p>
            <w:pPr>
              <w:spacing w:after="0"/>
              <w:rPr>
                <w:sz w:val="19"/>
                <w:szCs w:val="19"/>
                <w:color w:val="auto"/>
              </w:rPr>
            </w:pPr>
          </w:p>
        </w:tc>
        <w:tc>
          <w:tcPr>
            <w:tcW w:w="5000" w:type="dxa"/>
            <w:vAlign w:val="bottom"/>
            <w:vMerge w:val="continue"/>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Age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appointment</w:t>
            </w:r>
          </w:p>
        </w:tc>
        <w:tc>
          <w:tcPr>
            <w:tcW w:w="480" w:type="dxa"/>
            <w:vAlign w:val="bottom"/>
            <w:gridSpan w:val="2"/>
          </w:tcPr>
          <w:p>
            <w:pPr>
              <w:ind w:left="4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189"/>
        </w:trPr>
        <w:tc>
          <w:tcPr>
            <w:tcW w:w="3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Board</w:t>
            </w:r>
          </w:p>
        </w:tc>
        <w:tc>
          <w:tcPr>
            <w:tcW w:w="5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Berndt Modig</w:t>
            </w:r>
          </w:p>
        </w:tc>
        <w:tc>
          <w:tcPr>
            <w:tcW w:w="5000" w:type="dxa"/>
            <w:vAlign w:val="bottom"/>
          </w:tcPr>
          <w:p>
            <w:pPr>
              <w:spacing w:after="0"/>
              <w:rPr>
                <w:sz w:val="20"/>
                <w:szCs w:val="20"/>
                <w:color w:val="auto"/>
              </w:rPr>
            </w:pPr>
            <w:r>
              <w:rPr>
                <w:rFonts w:ascii="Arial" w:cs="Arial" w:eastAsia="Arial" w:hAnsi="Arial"/>
                <w:sz w:val="18"/>
                <w:szCs w:val="18"/>
                <w:color w:val="auto"/>
              </w:rPr>
              <w:t>Chief Executive Officer and Executive Director</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2015</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Rémi Droller</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Non-Executive Director</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Richard Gaster, M.D., Ph.D.</w:t>
            </w:r>
          </w:p>
        </w:tc>
        <w:tc>
          <w:tcPr>
            <w:tcW w:w="5000" w:type="dxa"/>
            <w:vAlign w:val="bottom"/>
          </w:tcPr>
          <w:p>
            <w:pPr>
              <w:spacing w:after="0"/>
              <w:rPr>
                <w:sz w:val="20"/>
                <w:szCs w:val="20"/>
                <w:color w:val="auto"/>
              </w:rPr>
            </w:pPr>
            <w:r>
              <w:rPr>
                <w:rFonts w:ascii="Arial" w:cs="Arial" w:eastAsia="Arial" w:hAnsi="Arial"/>
                <w:sz w:val="18"/>
                <w:szCs w:val="18"/>
                <w:color w:val="auto"/>
              </w:rPr>
              <w:t>Non-Executive Director</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36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Hans Schikan, PharmD.</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Non-Executive Director</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Martijn Kleijwegt</w:t>
            </w:r>
          </w:p>
        </w:tc>
        <w:tc>
          <w:tcPr>
            <w:tcW w:w="5000" w:type="dxa"/>
            <w:vAlign w:val="bottom"/>
          </w:tcPr>
          <w:p>
            <w:pPr>
              <w:spacing w:after="0"/>
              <w:rPr>
                <w:sz w:val="20"/>
                <w:szCs w:val="20"/>
                <w:color w:val="auto"/>
              </w:rPr>
            </w:pPr>
            <w:r>
              <w:rPr>
                <w:rFonts w:ascii="Arial" w:cs="Arial" w:eastAsia="Arial" w:hAnsi="Arial"/>
                <w:sz w:val="18"/>
                <w:szCs w:val="18"/>
                <w:color w:val="auto"/>
              </w:rPr>
              <w:t>Non-Executive Director</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65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David Meeker, M.D.</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Non-Executive Director</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Robert Glassman, M.D.</w:t>
            </w:r>
          </w:p>
        </w:tc>
        <w:tc>
          <w:tcPr>
            <w:tcW w:w="5000" w:type="dxa"/>
            <w:vAlign w:val="bottom"/>
          </w:tcPr>
          <w:p>
            <w:pPr>
              <w:spacing w:after="0"/>
              <w:rPr>
                <w:sz w:val="20"/>
                <w:szCs w:val="20"/>
                <w:color w:val="auto"/>
              </w:rPr>
            </w:pPr>
            <w:r>
              <w:rPr>
                <w:rFonts w:ascii="Arial" w:cs="Arial" w:eastAsia="Arial" w:hAnsi="Arial"/>
                <w:sz w:val="18"/>
                <w:szCs w:val="18"/>
                <w:color w:val="auto"/>
              </w:rPr>
              <w:t>Non-Executive Director</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59</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2021</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Management</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Berndt Modig</w:t>
            </w:r>
          </w:p>
        </w:tc>
        <w:tc>
          <w:tcPr>
            <w:tcW w:w="500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2015</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Jochen Knolle, Ph.D.</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 and Chief Operating Officer</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Peng Lu, M.D., Ph.D.</w:t>
            </w:r>
          </w:p>
        </w:tc>
        <w:tc>
          <w:tcPr>
            <w:tcW w:w="5000" w:type="dxa"/>
            <w:vAlign w:val="bottom"/>
          </w:tcPr>
          <w:p>
            <w:pPr>
              <w:spacing w:after="0"/>
              <w:rPr>
                <w:sz w:val="20"/>
                <w:szCs w:val="20"/>
                <w:color w:val="auto"/>
              </w:rPr>
            </w:pPr>
            <w:r>
              <w:rPr>
                <w:rFonts w:ascii="Arial" w:cs="Arial" w:eastAsia="Arial" w:hAnsi="Arial"/>
                <w:sz w:val="18"/>
                <w:szCs w:val="18"/>
                <w:color w:val="auto"/>
              </w:rPr>
              <w:t>Chief Medical Officer</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2020</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Anne Lesage, Ph.D.</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Chief Early Development Officer</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Morgan Conn, Ph.D.</w:t>
            </w:r>
          </w:p>
        </w:tc>
        <w:tc>
          <w:tcPr>
            <w:tcW w:w="5000" w:type="dxa"/>
            <w:vAlign w:val="bottom"/>
          </w:tcPr>
          <w:p>
            <w:pPr>
              <w:spacing w:after="0"/>
              <w:rPr>
                <w:sz w:val="20"/>
                <w:szCs w:val="20"/>
                <w:color w:val="auto"/>
              </w:rPr>
            </w:pPr>
            <w:r>
              <w:rPr>
                <w:rFonts w:ascii="Arial" w:cs="Arial" w:eastAsia="Arial" w:hAnsi="Arial"/>
                <w:sz w:val="18"/>
                <w:szCs w:val="18"/>
                <w:color w:val="auto"/>
              </w:rPr>
              <w:t>Chief Business Officer</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2017</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Anna Nijdam, MSc RA</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Finance Director and Principal Accounting Officer</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Unless otherwise indicated, the current business address for members of our Board and Senior Management is Pharvaris B.V., J.H. Oortweg 21, 2333 CH Leiden, The Netherlands.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family relationships or other arrangements exist among any member of our Board or Senior Management.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Senior Management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Structure</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The Board as a collective is responsible for our management, strategy, policy and operations. The executive director manages our day-to-day business and operations and implement our strategy. The non-executive directors focus on the supervision of the policy and functioning of the performance of the duties of all directors and our general state of affairs.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as defined under Dutch law, requires approval of our general meeting.</w:t>
      </w:r>
    </w:p>
    <w:p>
      <w:pPr>
        <w:spacing w:after="0" w:line="192"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Upon completion of this offering, the Board may consist of one or more executive directors and one or more non-executive directors. The Board shall be composed of individuals.</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Under our Articles of Association that will be effective upon consummation of this offering, the directors are appointed by the general meeting upon binding nomination by our Board based on a recommendation of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4"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8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general meeting shall at all times be entitled to suspend or remove a director. Under our Articles of Association that will be effective upon the consummation of this offering, the general meeting may only adopt a resolution to suspend or remove a director by at least a two-thirds majority of the votes cast, provided such majority represents more than half of the issued share capital, unless the resolution is passed at the proposal of the Board, in which latter case a simple majority of the votes cast is sufficient. The Board may also suspend, but may not remove, an executive director. The Articles of Association that will be effective upon consummation of this offering will not contain limitations on the period of a term of appointment nor on the number of consecutive terms, but we will be subject to the Dutch Corporate Governance Code, or DCGC, which provides the following best practice recommendations on the terms for directors’ service:</w:t>
      </w:r>
    </w:p>
    <w:p>
      <w:pPr>
        <w:spacing w:after="0" w:line="100" w:lineRule="exact"/>
        <w:rPr>
          <w:sz w:val="20"/>
          <w:szCs w:val="20"/>
          <w:color w:val="auto"/>
        </w:rPr>
      </w:pPr>
    </w:p>
    <w:p>
      <w:pPr>
        <w:ind w:left="1000" w:right="34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executive directors should be appointed for a maximum period of four years, without limiting the number of consecutive terms executive directors may serve; and</w:t>
      </w:r>
    </w:p>
    <w:p>
      <w:pPr>
        <w:spacing w:after="0" w:line="75" w:lineRule="exact"/>
        <w:rPr>
          <w:rFonts w:ascii="Arial" w:cs="Arial" w:eastAsia="Arial" w:hAnsi="Arial"/>
          <w:sz w:val="18"/>
          <w:szCs w:val="18"/>
          <w:color w:val="auto"/>
        </w:rPr>
      </w:pPr>
    </w:p>
    <w:p>
      <w:pPr>
        <w:ind w:left="1000" w:right="40" w:hanging="547"/>
        <w:spacing w:after="0" w:line="311" w:lineRule="auto"/>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non-executive directors should be appointed for two consecutive periods of no more than four years, after which non-executive directors may be reappointed for a maximum of two consecutive periods of no more than two years, provided that in the event of reappointment after an eight-year term of office the reasons thereof should be disclosed in the Company’s statutory annual Board report.</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summary of the business experience of our Board.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Berndt Modig</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Mr. Modig is a co-founder of the Company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8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Shire plc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6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Mr. Modig also serves as a director, chair of the compensation committee and member of the audit committee of Sio Gene Therapies Inc., as vice chairman and chair of the audit committee of Kiadis Pharma N.V., and as a member of the supervisory board and chair of the audit committee of Centogene N.V., all publicly held pharmaceutical companies. Mr. Modig received a bachelor’s degree in business administration, economics and German from the University of Lund, Sweden, and an MBA from INSEAD, Fontainebleau, France. Mr. Modig 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 certified public accountant (inactive). We believe that Mr. Modig is qualified to serve on our Board because of his extensive international experience in finance and operations, private equity and mergers and acquisitions, and his service on the boards of directors of other biopharmaceutical companies.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Rémi Droller</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Mr. Droller has been a director since April 2016. Mr. Droller has been working as Managing Partner with Kurma Partners since 2010 and is in charge of investments in AM Pharma, Orphazyme, Oxthera (Sweden), ImCheck (France), Stat Dx, Zealand Pharma, Vico Therapeutics, Flamingo Therapeutics and Dynacure. Mr. Droller started at CDC Innovation (now bpi France) from 2000 to 2003, later joining AGF Private Equity (now Idinvest Partners) where he developed the investment activity in the life sciences and made investments such as Novagali Pharma, Prosensa Holding N.V., Vivacta, IntegraGen, and Onxeo.</w:t>
      </w:r>
    </w:p>
    <w:p>
      <w:pPr>
        <w:spacing w:after="0" w:line="18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Mr. Droller holds a Master in Molecular Biology (Paris VI) and Master in Finance and Innovation Management (Masternova – AgroPariTech). We believe that Mr. Droller is qualified to serve on our Board because of his extensive experience as a venture capital investor and his service on the boards of directors of other biopharmaceutical companies.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Richard Gaster, M.D., Ph.D.</w:t>
      </w:r>
    </w:p>
    <w:p>
      <w:pPr>
        <w:spacing w:after="0" w:line="117" w:lineRule="exact"/>
        <w:rPr>
          <w:sz w:val="20"/>
          <w:szCs w:val="20"/>
          <w:color w:val="auto"/>
        </w:rPr>
      </w:pPr>
    </w:p>
    <w:p>
      <w:pPr>
        <w:ind w:right="180" w:firstLine="449"/>
        <w:spacing w:after="0" w:line="293" w:lineRule="auto"/>
        <w:rPr>
          <w:sz w:val="20"/>
          <w:szCs w:val="20"/>
          <w:color w:val="auto"/>
        </w:rPr>
      </w:pPr>
      <w:r>
        <w:rPr>
          <w:rFonts w:ascii="Arial" w:cs="Arial" w:eastAsia="Arial" w:hAnsi="Arial"/>
          <w:sz w:val="16"/>
          <w:szCs w:val="16"/>
          <w:color w:val="auto"/>
        </w:rPr>
        <w:t>Dr. Gaster has been a director since in August 2019. Dr. Gaster currently is a partner at venBio and serves on the boards of Arrakis Therapeutics, NorthSea Therapeutics, Attralus, Stargazer Pharmaceuticals and Aeovian Pharmaceuticals, and served as a board observer for Akero Therapeutics and Harmony Biosciences. Dr. Gaster joined venBio in 2017 with experience as a physician, entrepreneur, and life sciences investor. Prior to joining venBio, Dr. Gaster served as the head of translational medicine at Pliant Therapeutics. Dr. Gaster began his career as a resident physician in Harvard’s Plastic and Reconstructive Surgery Program. Dr. Gaster has published numerous articles in top-tier peer-reviewed journals including Nature Medicine and Nature Nanotechnology, holds more than a dozen patents, and in 2014 was named one of Forbes “30 Under 30” in Science and Healthcare.</w:t>
      </w:r>
    </w:p>
    <w:p>
      <w:pPr>
        <w:spacing w:after="0" w:line="164"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Dr. Gaster holds a BSE in Bioengineering from the University of Pennsylvania where he graduated summa cum laude. Dr. Gaster received his MD and PhD in Bioengineering from Stanford University in the Medical Scientist Training Program. We believe that Mr. Gaster is qualified to serve on our Board because of his experience in the pharmaceutical industry and his service on the boards of directors of other biopharmaceutical companies.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Hans Schikan</w:t>
      </w:r>
    </w:p>
    <w:p>
      <w:pPr>
        <w:spacing w:after="0" w:line="117"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Mr. Schikan is a co-founder of the Company and has been a director since August 28, 2019. Mr. Schikan is the former CEO of Prosensa Holding N.V., a biopharmaceutical company focusing on novel RNA modulating treatments for rare diseases including Duchenne muscular dystrophy.</w:t>
      </w:r>
    </w:p>
    <w:p>
      <w:pPr>
        <w:spacing w:after="0" w:line="124" w:lineRule="exact"/>
        <w:rPr>
          <w:sz w:val="20"/>
          <w:szCs w:val="20"/>
          <w:color w:val="auto"/>
        </w:rPr>
      </w:pPr>
    </w:p>
    <w:p>
      <w:pPr>
        <w:jc w:val="both"/>
        <w:ind w:right="460" w:firstLine="449"/>
        <w:spacing w:after="0" w:line="342"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Chairman of the Board of Complix and InteRNA, Board Member of Vicore Pharma and VectivBio.</w:t>
      </w:r>
    </w:p>
    <w:p>
      <w:pPr>
        <w:spacing w:after="0" w:line="124"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Mr. Schikan is also member of the Top Team of the Dutch Top Sector Life Sciences &amp; Health. Previously, he served on the boards of Sobi, Hansa Biopharma, Asceneuron, Wilson Therapeutics (acquired by Alexion) and Therachon (acquired by Pfizer). Mr. Schikan has a Pharm.D. degree from Utrecht University. We believe that Mr. Schikan is qualified to serve on our Board because of his extensive senior managerial experience in the pharmaceutical and biotechnology industries, his role as CEO of Prosensa Holding N.V. and his service on the boards of directors of other biopharmaceutical companies.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Martijn Kleijwegt</w:t>
      </w:r>
    </w:p>
    <w:p>
      <w:pPr>
        <w:spacing w:after="0" w:line="117"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Mr. Kleijwegt has been a director since April 2016. Mr. Kleijwegt founded LSP in 1998 and is currently a Managing Partner and co-owner of LSP. Mr. Kleijwegt brings over 30 years of hands-on finance and investment experience to the Company. We believe that Mr. Kleijwegt is qualified to serve on our Board because of his experience in the biopharmaceutical industry as a venture capital investor, a founder of Life Sciences Partners and a member of the boards of directors of other biopharmaceutical companies.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David Meeker, M.D.</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 Dr. Meeker holds a medical degree from the University of Vermont Medical School and completed the Advanced Management Program at Harvard Business School in 2000. We believe that Dr. Meeker is qualified to serve on our Board because of his extensive experience in the healthcare industry and as a member of the board of directors of other biopharmaceutical companies.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Robert Glassman, M.D.</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Dr. Glassman has been a director since January 2021. Dr. Glassman is currently the Public Equity Venture Partner at OrbiMed Advisors. Previously, Dr. Glassman had been working as a senior investment banker for 17 years, most recently serving as Vice Chairman at Credit Suisse Securities since 2015. Prior to joining Credit Suisse Securities, Dr. Glassman served as a Managing Director at Bank of America Merrill Lynch between 2010-2015. From 2009-2010, Dr. Glassman served as a private equity partner at OrbiMed Advisors. Earlier in his career, Dr. Glassman was with Merrill Lynch Global Private Equity where he oversaw a very successful healthcare portfolio and at McKinsey &amp; Co. where he consulted for a wide range of clients within their Pharmaceutical and Medical Products practice.</w:t>
      </w:r>
    </w:p>
    <w:p>
      <w:pPr>
        <w:spacing w:after="0" w:line="19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Dr. Glassman was a board certified hematologist-oncologist who remains on the faculty of Weil Cornell as a Clinical Assistant Professor of Medicine. He has co-authored numerous articles in peer-reviewed journals and spoken widely in industry and academic forums on clinical development, reimbursement, and data interpretation. Dr. Glassman received his AB from Harvard College magna cum laude and an MD from Harvard Medical School. He completed his residency in internal medicine at the Hospital of the University of Pennsylvania, and his fellowship in hematology and oncology at Weill Cornell. He also spent several years as a basic science investigator at Rockefeller University in the laboratory of Hidesaburo Hanafusa, where he received Howard Hughes Medical Institute and American Cancer Society awards. We believe that Dr. Glassman is qualified to serve on our Board because of his extensive experience as an investment banker and in the healthcare industry.</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summary of the business experience of members of our Senior Management.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Jochen Knolle, Ph.D.</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Dr. Knolle is a co-founder of the Company and has served as Chief Scientific Officer and Chief Operating Officer since our inception. Dr. Knolle’s experience spans 40 years in the pharmaceutical industry. Dr. Knolle is named as an author of many publications and as an inventor for many patents, including the approved therapeutics Quinapril, a marketed ACE inhibitor and icatibant.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459" w:right="3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From 1978 to 1998, Dr. Knolle worked in several functions in the central pharmaceutical research unit of Hoechst AG and Hoechst-Marion-Roussel (HMR). In 1998, Dr. Knolle left HMR to join Axys Pharmaceuticals (now Celera) in San Francisco, where he served as VP for Medicinal Chemistry and structural biology. From 2001 to 2008, Dr. Knolle was the Chief Scientific Officer and Head of R&amp;D in the management board of Jerini AG in Berlin, Germany. In 2008, Dr. Knolle left the management of Jerini AG and established JCK Consult.</w:t>
      </w:r>
    </w:p>
    <w:p>
      <w:pPr>
        <w:spacing w:after="0" w:line="18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addition to his consultancy activities, Dr. Knolle was a co-founder of Kosa Pharma and 3B Pharmaceuticals and acts as a board member for the Charité Research Organisation GmbH, and Thermosome, and as Senior Advisor for Kurma Partners. Dr. Knolle studied chemistry in Göttingen and Münster. After a post-doc in the laboratory of the Nobel Laureate E.J. Corey at Harvard University, he joined the pharmaceutical unit of Hoechst AG in 1978.</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Peng Lu, M.D., Ph.D.</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Dr. Lu joined the Company in 2020, bringing 15 years of protein therapeutics and small molecule drug development experience including within genetic rare diseases.</w:t>
      </w:r>
    </w:p>
    <w:p>
      <w:pPr>
        <w:spacing w:after="0" w:line="170"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Previously, Dr. Lu served as the Vice President, Global Program Lead for rare diseases at Takeda (via acquisition of Shire). During Dr. Lu’s time at Takeda/Shire, she was instrumental in leading project teams that successfully completed two Phase 3 pivotal HAE studies and achieved global approval of TAKHZYRO (lanadelumab-flyo) for the prevention of HAE attacks in the U.S., EU, and the rest of the world. In addition, she has also led the life-cycle management of TAKHZYRO beyond HAE, looking to broaden indications in other plasma-kallikrein-mediated diseases.</w:t>
      </w:r>
    </w:p>
    <w:p>
      <w:pPr>
        <w:spacing w:after="0" w:line="171" w:lineRule="exact"/>
        <w:rPr>
          <w:sz w:val="20"/>
          <w:szCs w:val="20"/>
          <w:color w:val="auto"/>
        </w:rPr>
      </w:pPr>
    </w:p>
    <w:p>
      <w:pPr>
        <w:ind w:right="320" w:firstLine="449"/>
        <w:spacing w:after="0" w:line="279" w:lineRule="auto"/>
        <w:rPr>
          <w:sz w:val="20"/>
          <w:szCs w:val="20"/>
          <w:color w:val="auto"/>
        </w:rPr>
      </w:pPr>
      <w:r>
        <w:rPr>
          <w:rFonts w:ascii="Arial" w:cs="Arial" w:eastAsia="Arial" w:hAnsi="Arial"/>
          <w:sz w:val="17"/>
          <w:szCs w:val="17"/>
          <w:color w:val="auto"/>
        </w:rPr>
        <w:t>Prior to Takeda/Shire, Dr. Lu held roles in clinical development, translational research and clinical pharmacology with increasing levels of responsibility at AbbVie and Roche/Genentech, where she was responsible for the design and implementation of early and late development clinical strategy across a broad range of indications including autoimmune, respiratory, and genetic diseases leading to multiple approvals. Dr. Lu received her medical degree from Beijing Medical University and Ph.D. from The University of Texas, Austin, in systems biology.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Anne Lesage, Ph.D.</w:t>
      </w:r>
    </w:p>
    <w:p>
      <w:pPr>
        <w:spacing w:after="0" w:line="117"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Dr. Lesage is a co-founder of Pharvaris and has led the translational science, preclinical and non-clinical development since its inception. Dr. Lesage has over 25 years’ experience in drug discovery, preclinical and early development and scientific and strategic project management.</w:t>
      </w:r>
    </w:p>
    <w:p>
      <w:pPr>
        <w:spacing w:after="0" w:line="146" w:lineRule="exact"/>
        <w:rPr>
          <w:sz w:val="20"/>
          <w:szCs w:val="20"/>
          <w:color w:val="auto"/>
        </w:rPr>
      </w:pPr>
    </w:p>
    <w:p>
      <w:pPr>
        <w:ind w:right="200" w:firstLine="449"/>
        <w:spacing w:after="0" w:line="301" w:lineRule="auto"/>
        <w:rPr>
          <w:sz w:val="20"/>
          <w:szCs w:val="20"/>
          <w:color w:val="auto"/>
        </w:rPr>
      </w:pPr>
      <w:r>
        <w:rPr>
          <w:rFonts w:ascii="Arial" w:cs="Arial" w:eastAsia="Arial" w:hAnsi="Arial"/>
          <w:sz w:val="16"/>
          <w:szCs w:val="16"/>
          <w:color w:val="auto"/>
        </w:rPr>
        <w:t>From 1992 until 2010, Dr. Lesage held different leadership positions with increasing responsibility in the neuroscience drug discovery unit at Johnson &amp; Johnson. Dr. Lesage started as project team lead, and moved to head of exploratory research and biology head of psychiatry. Dr. Lesage is an inventor on 9 patents and an author of 45 publications. Dr. Lesage founded GrayMatters Consulting in 2010, and advised early and late stage biotech companies, venture capital organisations, and government agencies and initiatives. In 2013, Dr. Lesage co-founded Kosa Pharma.</w:t>
      </w:r>
    </w:p>
    <w:p>
      <w:pPr>
        <w:spacing w:after="0" w:line="15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Dr. Lesage is trained as a biochemist and holds a Ph.D. in molecular biology. Dr. Lesage studied biochemistry at the University of Ghent, received her Ph.D. in the group of Professor Walter Fiers, and was a post-doctoral fellow in the Child Psychiatry department of Stanford University Medical School and in the CNRS Laboratory of Viral Oncology of Hospital Paul Brousse in Paris.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Morgan Conn, Ph.D.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Conn joined the Company in 2017, with over 15 years of experience in the biopharmaceutical industry.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60"/>
          </w:cols>
          <w:pgMar w:left="32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Previously, Dr. Conn worked at PTC Therapeutics from 2001-2017, initially in Research and subsequently helping to build the Business Development function, holding positions of increasing responsibility including global head and Vice President, Business Development. During this time, Dr. Conn was instrumental to all corporate transactions, including collaborations, licenses, and acquisitions with leading pharma, biotech, and academic organizations, and supported private and public financing events behind the company’s growth from a discovery organization to a global commercial entity. Dr. Conn’s portfolio includes transactions and financings supporting three rare pediatric neuromuscular medicines now commercialized: TRANSLARNA (ataluren), EMFLAZA (deflazacort), and EVRYSDI (risdiplam). In 2017, Dr. Conn founded CallisBio, a consulting firm offering strategic and implementation services in biopharma business and corporate development including transactions and financing.</w:t>
      </w:r>
    </w:p>
    <w:p>
      <w:pPr>
        <w:spacing w:after="0" w:line="177"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Early in his career, Dr. Conn served as an Assistant Professor in Chemistry at Amherst College, with a cross appointment in the Graduate Molecular and Cellular Biology program at the University of Massachusetts (Amherst). Dr. Conn holds a B.Sc. (Hons) in Chemistry and Biochemistry from the University of Toronto, a Ph.D. in Organic Chemistry from the Massachusetts Institute of Technology as both an NSF and NSERC pre-doctoral fellow, and studied as a post-doctoral Research Fellow of the Miller Institute for Basic Research in Science at the University of California, Berkeley.</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Anna Nijdam, MSc RA</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Ms. Nijdam joined the Company in 2020, with over 12 years’ experience in the financial industry as a chartered accountant. From 2008 until 2020, Ms. Nijdam worked in the Assurance Services group at Ernst &amp; Young Accountants LLP in Rotterdam, the Netherlands, where she held various leadership positions, including most recently serving as a Senior Manager. Ms. Nijdam is a member of the Associations Audit Committee of Hockey Club Rotterdam and previously served as a member of the supervisory board of Access to Seeds Foundation. Ms. Nijdam holds a masters in economics from the Erasmus University of Rotterdam and a Register Accountant title (Dutch Certified Public Accountant) from Nivra Nyenrode in the Netherlands.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Our Board is comprised of six members. The members of our Board do not have a retirement age requirement under our Articles of Association that will be effective upon consummation of this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121"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As a “foreign private issuer,” as defined by the SEC, we are permitted to follow certain governance practices of the Netherlands instead of those otherwise required under the Nasdaq Stock Market, or Nasdaq, rules for domestic issuers. We intend to take advantage of the following limited exemptions:</w:t>
      </w:r>
    </w:p>
    <w:p>
      <w:pPr>
        <w:spacing w:after="0" w:line="29" w:lineRule="exact"/>
        <w:rPr>
          <w:sz w:val="20"/>
          <w:szCs w:val="20"/>
          <w:color w:val="auto"/>
        </w:rPr>
      </w:pPr>
    </w:p>
    <w:p>
      <w:pPr>
        <w:ind w:left="1000" w:right="4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and current reports on Form 8-K disclosing significant events within four days of their occurrence.</w:t>
      </w:r>
    </w:p>
    <w:p>
      <w:pPr>
        <w:spacing w:after="0" w:line="75" w:lineRule="exact"/>
        <w:rPr>
          <w:rFonts w:ascii="Arial" w:cs="Arial" w:eastAsia="Arial" w:hAnsi="Arial"/>
          <w:sz w:val="18"/>
          <w:szCs w:val="18"/>
          <w:color w:val="auto"/>
        </w:rPr>
      </w:pPr>
    </w:p>
    <w:p>
      <w:pPr>
        <w:ind w:left="1000" w:right="90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Exemption from Section 16 rules regarding sales of ordinary shares by insiders, which will provide less data in this regard than to shareholders of U.S. companies that are subject to the Exchange Act.</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Exemption from the requirement that we provide in our bylaws for a generally applicable quorum and that such quorum not be less than one-third of the outstanding voting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40" w:hanging="547"/>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Exemption from the requirement that we solicit proxies and provide proxy statements for all meetings of Shareholders and shall provide copies of such proxy solicitation to Nasdaq.</w:t>
      </w:r>
    </w:p>
    <w:p>
      <w:pPr>
        <w:spacing w:after="0" w:line="75" w:lineRule="exact"/>
        <w:rPr>
          <w:rFonts w:ascii="Arial" w:cs="Arial" w:eastAsia="Arial" w:hAnsi="Arial"/>
          <w:sz w:val="18"/>
          <w:szCs w:val="18"/>
          <w:color w:val="auto"/>
        </w:rPr>
      </w:pPr>
    </w:p>
    <w:p>
      <w:pPr>
        <w:ind w:left="1000" w:right="80" w:hanging="547"/>
        <w:spacing w:after="0" w:line="263"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Nasdaq Rule 5615(a)(3) provides that a foreign private issuer may rely on home country corporate governance practices in lieu of certain of the rules in the Nasdaq Rule 5600 Series, Rule 5250(b)(3) and Rule 5250(d).</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intend to take all actions necessary to maintain compliance as a foreign private issuer under the applicable corporate governance requirements of the Sarbanes-Oxley Act, the rules adopted by the SEC and the Nasdaq corporate governance rules and listing standards.</w:t>
      </w:r>
    </w:p>
    <w:p>
      <w:pPr>
        <w:spacing w:after="0" w:line="170"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Our Board will establish an audit committee, a compensation committee and a nomination and corporate governance committee prior to the consummation of this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audit committee, which is expected to consist of Mr. Droller, Mr. Kleijwegt and Mr. Schikan, will assist the Board in overseeing our accounting and financial reporting processes and the audits of our financial statements. Mr. Schikan will serve as Chairman of the committee. In addition, the audit committee will be responsible for the appointment, compensation, retention and oversight of the work of our independent registered public accounting firm. Our Board has determined that Mr. Droller and Mr. Schikan satisfy the “independence” requirements set forth in the Nasdaq listing standards and Rule 10A-3 under the Exchange Act and expects that upon the consummation of this offering Mr. Droller and Mr. Schikan will satisfy such “independence” requirements. Our Board has determined that Mr. Schikan and Mr. Kleijwegt qualify as “audit committee financial experts,” as such term is defined in the rules of the SEC.</w:t>
      </w:r>
    </w:p>
    <w:p>
      <w:pPr>
        <w:spacing w:after="0" w:line="195" w:lineRule="exact"/>
        <w:rPr>
          <w:sz w:val="20"/>
          <w:szCs w:val="20"/>
          <w:color w:val="auto"/>
        </w:rPr>
      </w:pPr>
    </w:p>
    <w:p>
      <w:pPr>
        <w:ind w:right="540" w:firstLine="449"/>
        <w:spacing w:after="0" w:line="263" w:lineRule="auto"/>
        <w:rPr>
          <w:sz w:val="20"/>
          <w:szCs w:val="20"/>
          <w:color w:val="auto"/>
        </w:rPr>
      </w:pPr>
      <w:r>
        <w:rPr>
          <w:rFonts w:ascii="Arial" w:cs="Arial" w:eastAsia="Arial" w:hAnsi="Arial"/>
          <w:sz w:val="18"/>
          <w:szCs w:val="18"/>
          <w:color w:val="auto"/>
        </w:rPr>
        <w:t>We will rely on the phase-in rules of the SEC and Nasdaq with respect to the independence of our audit committee. These rules require that all members of our audit committee must meet the independence standard for audit committee membership within one year of the effectiveness of the registration statement of which this prospectus forms a part.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compensation committee, which is expected to consist of Dr. Glassman, Dr. Meeker and Mr. Schikan, will assist our Board in overseeing compensation for our executive officers and our directors. Mr. Schikan will serve as Chairman of the committee. Our Board has determined that Dr. Glassman, Dr. Meeker and Mr. Schikan satisfy, and upon the consummation of this offering are expected to satisfy, the “independence” requirements under the Exchange Act and the Nasdaq listing standards.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Nomination and Corporate Governance Committee</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nomination and corporate governance committee, which is expected to consist of Mr. Droller, Dr. Gaster and Dr. Meeker, will assist our Board in identifying individuals qualified to become members of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Board consistent with criteria established by our Board and in developing our code of conduct. Dr. Meeker will serve as Chairman of the committee. Our Board has determined that Mr. Droller, Dr. Gaster and Dr. Meeker satisfy, and upon the consummation of this offering are expected to satisfy, the “independence” requirements under the Exchange Act and the Nasdaq listing standards.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We intend to adopt a Code of Business Conduct and Ethics which covers a broad range of matters including the handling of conflicts of interest, compliance issues and other corporate policies such as insider trading and equal opportunity and non-discrimination standards.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Other Benefits of Members of Our Board</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As a foreign private issuer, in accordance with Nasdaq listing requirements, we will comply with home country compensation requirements and certain exemptions thereunder rather than complying with Nasdaq compensation requirements. Dutch law does not provide for limitations with respect to the aggregate annual compensation paid to our directors, provided that such compensation is consistent with our compensation policy. Such compensation policy requires approval by our general meeting by a simple majority of votes cast. The Board determines the compensation of individual directors with due observance of the compensation policy. A proposal with respect to compensation schemes in the form of shares or rights to shares in which directors may participate is subject to approval by our general meeting by a simple majority of votes cast. Such a proposal must set out at least the maximum number of shares or rights to subscribe for shares to be granted to the directors and the criteria for granting or amendment.</w:t>
      </w:r>
    </w:p>
    <w:p>
      <w:pPr>
        <w:spacing w:after="0" w:line="166"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Our compensation policy will authorize our Board to determine the amount, level and structure of the compensation packages of our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Board.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Compensation of our Board and Senior Management</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However, under Dutch law, we are required to disclose the compensation of our chief executive officer, being a member of our Board, on an individual basis.</w:t>
      </w:r>
    </w:p>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aggregate compensation, including benefits in kind, accrued or paid to members of our Board and Senior Management with respect to the year ended December 31, 2020 for services in all capacities was approximately €4,515,158. For the year ended December 31, 2020, we paid Mr. Modig, our Chief Executive Officer and Executive Director, €759,868 in compensation and benefits in kind.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shows the remuneration paid to certain individual members of the Board for the year ended December 31, 2020 in such capacity.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Base salary</w:t>
            </w: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w w:val="95"/>
              </w:rPr>
              <w:t>Total remuneration</w:t>
            </w:r>
          </w:p>
        </w:tc>
      </w:tr>
      <w:tr>
        <w:trPr>
          <w:trHeight w:val="212"/>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Mr. Modig</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404,000</w:t>
            </w:r>
          </w:p>
        </w:tc>
        <w:tc>
          <w:tcPr>
            <w:tcW w:w="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759,868</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Ownership of our Board and Senior Management</w:t>
      </w:r>
    </w:p>
    <w:p>
      <w:pPr>
        <w:spacing w:after="0" w:line="11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table below sets forth the share ownership of our Board and Senior Management as of February 1, 2021. Messrs. Droller, Gaster and Kleijwegt have agreed or are otherwise obligated to transfer all or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portion of the compensation they receive for their service as directors to the shareholders with which they are affiliated. The below table gives effect to the automatic conversion of preferred shares outstanding on February 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Number of</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Ordinary</w:t>
            </w: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of Shares</w:t>
            </w: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2"/>
              </w:rPr>
              <w:t>Voting Rights</w:t>
            </w:r>
          </w:p>
        </w:tc>
        <w:tc>
          <w:tcPr>
            <w:tcW w:w="2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7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Mr. Modig</w:t>
            </w:r>
            <w:r>
              <w:rPr>
                <w:rFonts w:ascii="Arial" w:cs="Arial" w:eastAsia="Arial" w:hAnsi="Arial"/>
                <w:sz w:val="15"/>
                <w:szCs w:val="15"/>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1,200,000</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5.0914%</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Dr. Knolle</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1,200,000</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5.0914%</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Mr. Schikan</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500,000</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Dr. Lesage</w:t>
            </w:r>
            <w:r>
              <w:rPr>
                <w:rFonts w:ascii="Arial" w:cs="Arial" w:eastAsia="Arial" w:hAnsi="Arial"/>
                <w:sz w:val="15"/>
                <w:szCs w:val="15"/>
                <w:color w:val="auto"/>
              </w:rPr>
              <w:t>(2)</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250,000</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1.0607%</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Mr. Droller</w:t>
            </w:r>
            <w:r>
              <w:rPr>
                <w:rFonts w:ascii="Arial" w:cs="Arial" w:eastAsia="Arial" w:hAnsi="Arial"/>
                <w:sz w:val="15"/>
                <w:szCs w:val="15"/>
                <w:color w:val="auto"/>
              </w:rPr>
              <w:t>(3)</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1,339,243</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5.6822%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Mr. Gaster</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Mr. Kleijwegt</w:t>
            </w:r>
            <w:r>
              <w:rPr>
                <w:rFonts w:ascii="Arial" w:cs="Arial" w:eastAsia="Arial" w:hAnsi="Arial"/>
                <w:sz w:val="15"/>
                <w:szCs w:val="15"/>
                <w:color w:val="auto"/>
              </w:rPr>
              <w:t>(4)</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3,607,566</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15.3062%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Dr. Glassman</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Dr. Meeker</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ordinary shares held by Schoodic Management B.V., an entity controlled by Mr. Modig.</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ordinary shares held by GrayMatters Consulting BVBA, an entity controlled by Dr. Lesage.</w:t>
      </w:r>
    </w:p>
    <w:p>
      <w:pPr>
        <w:spacing w:after="0" w:line="9" w:lineRule="exact"/>
        <w:rPr>
          <w:rFonts w:ascii="Arial" w:cs="Arial" w:eastAsia="Arial" w:hAnsi="Arial"/>
          <w:sz w:val="18"/>
          <w:szCs w:val="18"/>
          <w:color w:val="auto"/>
        </w:rPr>
      </w:pPr>
    </w:p>
    <w:p>
      <w:pPr>
        <w:jc w:val="both"/>
        <w:ind w:left="460" w:right="100" w:hanging="452"/>
        <w:spacing w:after="0" w:line="281"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1,339,243 preferred shares which will be automatically converted into 1,339,243 ordinary shares immediately prior to the consummation of this offering. KURMA BIOFUND II is managed by its management company, Kurma Partners S.A and Mr. Droller controls Kurma Partners S.A.</w:t>
      </w:r>
    </w:p>
    <w:p>
      <w:pPr>
        <w:spacing w:after="0" w:line="1" w:lineRule="exact"/>
        <w:rPr>
          <w:rFonts w:ascii="Arial" w:cs="Arial" w:eastAsia="Arial" w:hAnsi="Arial"/>
          <w:sz w:val="16"/>
          <w:szCs w:val="16"/>
          <w:color w:val="auto"/>
        </w:rPr>
      </w:pPr>
    </w:p>
    <w:p>
      <w:pPr>
        <w:ind w:left="460" w:right="100" w:hanging="452"/>
        <w:spacing w:after="0" w:line="265"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3,607,566 preferred shares which will be automatically converted into 3,607,566 ordinary shares immediately prior to the consummation of this offering. The managing director of LSP V Coöperatieve U.A. is LSP V Management B.V. Mr. Kleijwegt is a managing director of LSP V Management B.V. and may be deemed to have voting and investment power over the shares held by LSP V Coöperatieve U.A. Mr. Kleijwegt disclaims beneficial ownership of such shares except to the extent of their pecuniary interest therein.</w:t>
      </w: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ordinary share carries one vote per share.</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Option Ownership of our Board and Senior Management</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table below sets forth the option ownership of our Board and Senior Management as of February 1, 2021. The below table gives effect to the automatic conversion of preferred shares outstanding on February 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Percentage</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Options</w:t>
            </w:r>
          </w:p>
        </w:tc>
        <w:tc>
          <w:tcPr>
            <w:tcW w:w="640" w:type="dxa"/>
            <w:vAlign w:val="bottom"/>
            <w:vMerge w:val="restart"/>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Fully Diluted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Mr. Modig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w:t>
            </w: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Dr. Knolle</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150,000</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0.64%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Dr. Lesage</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150,000</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Dr. Conn</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150,000</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0.64%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Dr. Lu</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440,000</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Dr. Glassman</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27,000</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0.11%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Dr. Meeker</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In 2016, the Company adopted an Equity Incentive Plan, or the Plan in order to advance the interests of the Company and its stakeholders by enhancing the Company’s ability to attract, retain and motivate persons who are expected to make important contributions to the Company and by providing incentives for such persons to exert maximum efforts for the success of the Company and provide a means by which eligible individuals may benefit from increases in the value of the Company’s shares. The Company anticipates amending and restating the Plan in connection with the offering. As of February 1, 2021, there were 1,193,474 shares available for issuance under the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Plan provides for the grant of the following types of Awards: (i) Incentive Stock Options, or ISOs, (ii) Nonstatutory Stock Options, or NSOs,</w:t>
      </w:r>
    </w:p>
    <w:p>
      <w:pPr>
        <w:spacing w:after="0" w:line="35" w:lineRule="exact"/>
        <w:rPr>
          <w:sz w:val="20"/>
          <w:szCs w:val="20"/>
          <w:color w:val="auto"/>
        </w:rPr>
      </w:pPr>
    </w:p>
    <w:p>
      <w:pPr>
        <w:ind w:right="240" w:firstLine="8"/>
        <w:spacing w:after="0" w:line="260" w:lineRule="auto"/>
        <w:tabs>
          <w:tab w:leader="none" w:pos="3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Stock Appreciation Rights, or SARs, (iv) Restricted Stock Awards, or RSAs, (v) RSUs, (vi) Performance Stock Awards, or PSAs, (vii) Performance Cash Awards, or PCAs, and (viii) Other Stock Awards.</w:t>
      </w:r>
    </w:p>
    <w:p>
      <w:pPr>
        <w:spacing w:after="0" w:line="18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As of February 1, 2021, the total number of ISOs and NSOs held by the Board and Senior Management and other employees is 1,572,295 with a weighted average exercise price of €2.22 per share. None of these options have been exercised.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 2021, the total number of RSUs held by Senior Management and other employees is 154,945.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order to incentivize our directors and employees, our Board will adopt the Pharvaris N.V. 2021 Equity Incentive Plan (the “2021 Plan”) for employees, consultants and directors prior to the completion of this offering. The 2021 Plan will become effective upon our conversion from Pharvaris B.V. into Pharvaris N.V., which will occur prior to the consummation of this offering. The 2021 Plan will provide for the grant of options, stock appreciation rights, restricted stock, restricted stock units, performance stock awards, other stock-based awards, performance cash awards and substitute awards intended to help us secure and retain the services of eligible award recipients, provide incentives for such persons to exert maximum efforts for our success and provide a means by which eligible recipients may benefit from increases in the value of our ordinary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to be Offered</w:t>
      </w:r>
    </w:p>
    <w:p>
      <w:pPr>
        <w:spacing w:after="0" w:line="117"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Subject to adjustment in the event of certain transactions or changes of capitalization in accordance with the 2021 Plan, ordinary shares equal to 9% of the Company’s issued share capital as of the date of the consummation of the IPO will initially be reserved for issuance pursuant to awards under the 2021 Plan. The total number of ordinary shares reserved for issuance under the 2021 Plan will be increased on January 1 of each calendar year during the term of the 2021 Plan, by the lesser of (i) 4% of the total number of shares outstanding as of the date of increase or (ii) such number of ordinary shares determined by our board of directors. No more than the number of shares initially reserved under the 2021 Plan multiplied by 1.480244285 may be issued pursuant to incentive stock options. Ordinary shares subject to an award that expires or is canceled, forfeited, exchanged, repurchased, settled in cash or otherwise terminated without delivery of shares and ordinary shares withheld to pay the exercise price of, or to satisfy the withholding obligations with respect to, an award will again be available for delivery pursuant to other awards under the 2021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2021 Plan will be administered by our board of directors, except to the extent our board of directors elects a committee of directors to administer the 2021 Plan (as applicable, the “Committee”). The Committee has broad discretion to administer the 2021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2021 Plan. To the extent the Committee is not our board of directors, our board of directors will retain the authority to take all actions permitted by the Committee under the 2021 Plan.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consultants and directors, and employees, consultants and directors of our affiliates, will be eligible to receive awards under the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Options and SARs</w:t>
      </w:r>
      <w:r>
        <w:rPr>
          <w:rFonts w:ascii="Arial" w:cs="Arial" w:eastAsia="Arial" w:hAnsi="Arial"/>
          <w:sz w:val="16"/>
          <w:szCs w:val="16"/>
          <w:color w:val="auto"/>
        </w:rPr>
        <w:t>. We may grant options to eligible persons, except that incentive stock options may only be granted to persons who are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or employees of one of our subsidiaries (or, in theory, a parent corporation), in accordance with Section 422 of the Code. We may also grant stock appreciation rights (“SARs”). A SAR is the right to receive an amount equal to the excess of the fair market value of one ordinary share on the date of exercise over the grant price of the SAR, payable in shares of common stock, in cash, or in any combination of the two, as determined by the Committee. SARs may be granted in connection with, or independent of, other awards. The exercise price of an option or SAR generally cannot be less than 100% of the fair market value of an ordinary share on the date on which the option or SAR is granted and the option or SAR must not be exercisable for longer than ten years following the date of grant. In the case of an incentive stock option granted to an individual who owns (or is deemed to own) at least 10% of the total combined voting power of all classes of our shares or the shares of our subsidiaries (or, in theory, a parent corporation), the exercise price of the option must be at least 110% of the fair market value of an ordinary share and the option must not be exercisable more than five years from the date of grant. The Committee will have the discretion to determine other terms and conditions of an option or SAR award.</w:t>
      </w:r>
    </w:p>
    <w:p>
      <w:pPr>
        <w:spacing w:after="0" w:line="168"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A restricted stock award is a grant of ordinary shares subject to the restrictions on transferability and risk of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imposed by the Committee. As determined by the Committee and specified in the applicable award agreement, the holder of a restricted stock award may have rights as a shareholder, including the right to vote the ordinary shares subject to the restricted stock award or to receive dividends on the ordinary shares subject to the restricted stock award during the restriction period. In the discretion of the Committee, dividends distributed prior to vesting may be subject to the same restrictions and risk of forfeiture as the restricted shares with respect to which the distribution was made.</w:t>
      </w:r>
    </w:p>
    <w:p>
      <w:pPr>
        <w:spacing w:after="0" w:line="16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An RSU is a right to receive ordinary shares. However, RSUs may be settled in ordinary shares, their cash equivalent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the foregoing, as determined by the Committee. RSUs may be subject to the restrictions, including a risk of forfeiture, imposed by the Committee. Dividend equivalents may be granted in connection with RSUs and may entitle a participant to receive cash or ordinary shares equal in value to dividends or other distributions paid with respect to a specified number of ordinary shares. In the discretion of the Committee, such dividend equivalents may be paid currently or credited to an account for the participant, settled in cash or ordinary shares and subject to the same restrictions and risk of forfeiture as the RSU with respect to which the dividend equivalents are granted.</w:t>
      </w:r>
    </w:p>
    <w:p>
      <w:pPr>
        <w:spacing w:after="0" w:line="17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Other stock awards are awards denominated or payable in, valued in whole or in part by reference to, or otherwise based on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value of our ordinary shares.</w:t>
      </w:r>
    </w:p>
    <w:p>
      <w:pPr>
        <w:spacing w:after="0" w:line="170"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are cash or stock awards that are payable, are granted, vest or may be exercised contingent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attainment of certain performance goals during a specified performance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Transactions</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If any change is made to our capitalization, such as a share split, share combination, share dividend, exchange of shares or other recapitalization, merger or otherwise, which results in an increase or decrease in the number of outstanding ordinary shares, appropriate adjustments will be made by the Committee to the available shares under the 2021 Plan and in the shares subject to an award under the 2021 Plan. The Committee will also have the discretion to make certain adjustments to awards in the event of a change in control, such as accelerating the vesting or exercisability of an award, requiring the surrender of an award, with or without consideration, or making any other adjustment or modification to the award that the Committee determines is appropriate in light of such transaction.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All awards granted under the 2021 Plan will be subject to reduction, cancelation or recoupment under any written clawback policy that we may adopt and that we determine should apply to awards under the 2021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Amendment and Termination</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Our Committee may amend or terminate any award, award agreement or the 2021 Plan at any time; however, shareholder approval will be required for any amendment to the extent necessary to comply with applicable law or exchange listing standards. Notwithstanding the foregoing, no amendment of the 2021 Plan will materially impair a participant’s rights under an outstanding award unless (i) the Company requests the consent of the affected participant, and (ii) such participant consents in writing. The 2021 Plan will remain in effect for a period of ten years (unless earlier terminated by our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Connection with Offering</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connection with this offering, we expect to grant our executive officers and directors stock options to purchase an aggregate of 873,000 ordinary shares in accordance with the terms of the 2016 Plan and the terms and conditions of award agreements evidencing such grants. The exercise price per share will be the initial public offering price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Consulting Agreements with Senior Management</w:t>
      </w:r>
    </w:p>
    <w:p>
      <w:pPr>
        <w:spacing w:after="0" w:line="12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We have entered into written employment or service agreements with each member of our Senior Management. See “Related Party Transactions— Agreements and Arrangements with Senior Management” for additional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Service Contracts</w:t>
      </w:r>
    </w:p>
    <w:p>
      <w:pPr>
        <w:spacing w:after="0" w:line="12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Currently, there are no arrangements or understandings between us, on the one hand, and any of our directors, on the other hand, providing for benefits upon termination of their employment or service as directors of the Company. Following the consummation of this offering, we anticipate entering into service contracts with our non-executive directors that memorialize the terms of their compensation, duties and obligations to the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Under Dutch law, members of the Board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w:t>
      </w:r>
    </w:p>
    <w:p>
      <w:pPr>
        <w:spacing w:after="0" w:line="184"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Members of the Board, Senior Management, certain other of our officers and certain subsidiaries are insured under an insurance policy against damages resulting from their conduct when acting in the capacities as such members or officers.</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320" w:top="459" w:right="3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Corporate Governance</w:t>
      </w:r>
    </w:p>
    <w:p>
      <w:pPr>
        <w:spacing w:after="0" w:line="121"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As a listed Dutch public company with limited liability (</w:t>
      </w:r>
      <w:r>
        <w:rPr>
          <w:rFonts w:ascii="Arial" w:cs="Arial" w:eastAsia="Arial" w:hAnsi="Arial"/>
          <w:sz w:val="17"/>
          <w:szCs w:val="17"/>
          <w:i w:val="1"/>
          <w:iCs w:val="1"/>
          <w:color w:val="auto"/>
        </w:rPr>
        <w:t>naamloze vennootschap</w:t>
      </w:r>
      <w:r>
        <w:rPr>
          <w:rFonts w:ascii="Arial" w:cs="Arial" w:eastAsia="Arial" w:hAnsi="Arial"/>
          <w:sz w:val="17"/>
          <w:szCs w:val="17"/>
          <w:color w:val="auto"/>
        </w:rPr>
        <w:t>), we will be subject to the DCGC. The DCGC contains both principles and best practice provisions for boards of directors, shareholders and general meetings, financial reporting, auditors, disclosure, compliance and enforcement standards. A copy of the DCGC can be found on www.mccg.nl. The DCGC is based on a “comply or explain” principle. Accordingly, as a Dutch company listed on a stock exchange, we will be required to disclose in our statutory annual Board report to what we extent comply with the principles and best practice provisions of the DCGC, and where we do not (for example, because of a conflicting Nasdaq requirement or otherwise), we must state why and to what extent we deviate in our statutory annual Board report. Our most substantial deviations from the DCGC are summarized below, but we cannot exclude the possibility of deviating from additional provisions of the DCGC, including after the date hereof and including in order to follow market practice or governance practices in the United States.</w:t>
      </w:r>
    </w:p>
    <w:p>
      <w:pPr>
        <w:spacing w:after="0" w:line="17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Under our Articles of Association that will be effective upon consummation of this offering, directors are be appointed on the basis of a binding nomination prepared by the Board. This means that the nominee will be appointed to the Board, unless the general meeting overrules the binding nature of the nomination (in which case a new nomination will be prepared for a subsequent general meeting). Our Articles of Association that will be effective upon consummation of this offering will provide that the general meeting can only pass such resolution by at least a two-thirds majority of the votes cast, provided such majority represents more than half of the issued share capital. However, the DCGC recommends that the general meeting should be capable of passing such a resolution by a simple majority of votes cast, representing no more than one-third of the issued share capital.</w:t>
      </w:r>
    </w:p>
    <w:p>
      <w:pPr>
        <w:spacing w:after="0" w:line="164"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Under the Articles of Association that will be effective upon consummation of this offering, directors can only be dismissed by the general meeting by simple majority of votes cast,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7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DCGC recommends against providing equity awards as part of the compensation of a non-executive director. However, we expect to deviate from this recommendation and grant equity awards to our non-executive directors, consistent with U.S. market practice.</w:t>
      </w:r>
    </w:p>
    <w:p>
      <w:pPr>
        <w:spacing w:after="0" w:line="170"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relating to the beneficial ownership of Pharvaris’ ordinary shares as of February 1, 2021, by:</w:t>
      </w:r>
    </w:p>
    <w:p>
      <w:pPr>
        <w:spacing w:after="0" w:line="131" w:lineRule="exact"/>
        <w:rPr>
          <w:sz w:val="20"/>
          <w:szCs w:val="20"/>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ordinary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member of our Board and Senior Management;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members of our Board and Senior Management as a group.</w:t>
      </w:r>
    </w:p>
    <w:p>
      <w:pPr>
        <w:spacing w:after="0" w:line="22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number of ordinary shares beneficially owned by each entity, person and member of Pharvaris’ Board or Senior Management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February 1, 2021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92" w:lineRule="exact"/>
        <w:rPr>
          <w:sz w:val="20"/>
          <w:szCs w:val="20"/>
          <w:color w:val="auto"/>
        </w:rPr>
      </w:pPr>
    </w:p>
    <w:p>
      <w:pPr>
        <w:ind w:right="180" w:firstLine="449"/>
        <w:spacing w:after="0" w:line="271" w:lineRule="auto"/>
        <w:rPr>
          <w:sz w:val="20"/>
          <w:szCs w:val="20"/>
          <w:color w:val="auto"/>
        </w:rPr>
      </w:pPr>
      <w:r>
        <w:rPr>
          <w:rFonts w:ascii="Arial" w:cs="Arial" w:eastAsia="Arial" w:hAnsi="Arial"/>
          <w:sz w:val="17"/>
          <w:szCs w:val="17"/>
          <w:color w:val="auto"/>
        </w:rPr>
        <w:t>The percentage of outstanding ordinary shares is computed on the basis of 23,569,276 ordinary shares outstanding as of February 1, 2021, which reflects automatic conversion of all of our outstanding preferred shares into an aggregate of 18,719,276 ordinary shares immediately prior to the consummation of Pharvaris’ initial public offering. Ordinary shares that a person has the right to acquire within 60 days of February 1, 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the Board and Senior Management as a group. The table below does not reflect the IPO Grants or any ordinary shares that may be purchased in this offering, including through the directed share program described under “Underwriting—Directed Share Program.” Unless otherwise indicated below, the address for each beneficial owner is c/o Pharvaris B.V., J.H. Oortweg 21, 2333 CH Leiden, The Netherlands.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Ordinary Shares 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3"/>
          </w:tcPr>
          <w:p>
            <w:pPr>
              <w:jc w:val="center"/>
              <w:ind w:left="675"/>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50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4"/>
              </w:rPr>
              <w:t>Ordinary Shares Beneficially</w:t>
            </w:r>
          </w:p>
        </w:tc>
        <w:tc>
          <w:tcPr>
            <w:tcW w:w="22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Following the Offering</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22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Assuming No Exercise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5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22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5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to the Offering</w:t>
            </w: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Overallotment Option</w:t>
            </w:r>
          </w:p>
        </w:tc>
        <w:tc>
          <w:tcPr>
            <w:tcW w:w="0" w:type="dxa"/>
            <w:vAlign w:val="bottom"/>
          </w:tcPr>
          <w:p>
            <w:pPr>
              <w:spacing w:after="0"/>
              <w:rPr>
                <w:sz w:val="1"/>
                <w:szCs w:val="1"/>
                <w:color w:val="auto"/>
              </w:rPr>
            </w:pPr>
          </w:p>
        </w:tc>
      </w:tr>
      <w:tr>
        <w:trPr>
          <w:trHeight w:val="11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Percentage</w:t>
            </w:r>
          </w:p>
        </w:tc>
        <w:tc>
          <w:tcPr>
            <w:tcW w:w="50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540" w:type="dxa"/>
            <w:vAlign w:val="bottom"/>
            <w:gridSpan w:val="2"/>
            <w:vMerge w:val="continue"/>
          </w:tcPr>
          <w:p>
            <w:pPr>
              <w:spacing w:after="0"/>
              <w:rPr>
                <w:sz w:val="13"/>
                <w:szCs w:val="13"/>
                <w:color w:val="auto"/>
              </w:rPr>
            </w:pPr>
          </w:p>
        </w:tc>
        <w:tc>
          <w:tcPr>
            <w:tcW w:w="12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of Class</w:t>
            </w:r>
          </w:p>
        </w:tc>
        <w:tc>
          <w:tcPr>
            <w:tcW w:w="124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Beneficial Owner:</w:t>
            </w: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LSP V Coöperatieve U.A.</w:t>
            </w:r>
            <w:r>
              <w:rPr>
                <w:rFonts w:ascii="Arial" w:cs="Arial" w:eastAsia="Arial" w:hAnsi="Arial"/>
                <w:sz w:val="15"/>
                <w:szCs w:val="15"/>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3,607,566</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15.31%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3,607,566</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KURMA BIOFUND II</w:t>
            </w:r>
            <w:r>
              <w:rPr>
                <w:rFonts w:ascii="Arial" w:cs="Arial" w:eastAsia="Arial" w:hAnsi="Arial"/>
                <w:sz w:val="15"/>
                <w:szCs w:val="15"/>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1,339,243</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1,339,243</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Entities affiliated with Foresite Capital</w:t>
            </w:r>
            <w:r>
              <w:rPr>
                <w:rFonts w:ascii="Arial" w:cs="Arial" w:eastAsia="Arial" w:hAnsi="Arial"/>
                <w:sz w:val="15"/>
                <w:szCs w:val="15"/>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3,626,068</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15.38%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3,626,068</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Bain Capital Life Sciences Investors, LLC</w:t>
            </w:r>
            <w:r>
              <w:rPr>
                <w:rFonts w:ascii="Arial" w:cs="Arial" w:eastAsia="Arial" w:hAnsi="Arial"/>
                <w:sz w:val="15"/>
                <w:szCs w:val="15"/>
                <w:color w:val="auto"/>
              </w:rPr>
              <w:t>(4)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2,930,601</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2,930,601</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venBio Global Strategic Fund III, L.P.</w:t>
            </w:r>
            <w:r>
              <w:rPr>
                <w:rFonts w:ascii="Arial" w:cs="Arial" w:eastAsia="Arial" w:hAnsi="Arial"/>
                <w:sz w:val="15"/>
                <w:szCs w:val="15"/>
                <w:color w:val="auto"/>
              </w:rPr>
              <w:t>(5)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2,003,310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8.50%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2,003,310</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Idinvest Partners S.A</w:t>
            </w:r>
            <w:r>
              <w:rPr>
                <w:rFonts w:ascii="Arial" w:cs="Arial" w:eastAsia="Arial" w:hAnsi="Arial"/>
                <w:sz w:val="15"/>
                <w:szCs w:val="15"/>
                <w:color w:val="auto"/>
              </w:rPr>
              <w:t>(6)</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1,455,153</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1,455,153</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Jens Schneider-Mergener</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1,200,000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1,200,000</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Viking Global Opportunities Illiquid Investments Sub-Master LP</w:t>
            </w:r>
            <w:r>
              <w:rPr>
                <w:rFonts w:ascii="Arial" w:cs="Arial" w:eastAsia="Arial" w:hAnsi="Arial"/>
                <w:sz w:val="15"/>
                <w:szCs w:val="15"/>
                <w:color w:val="auto"/>
              </w:rPr>
              <w:t>(7)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1,420,155</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6.03%</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1,420,155</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General Atlantic PH B.V.</w:t>
            </w:r>
            <w:r>
              <w:rPr>
                <w:rFonts w:ascii="Arial" w:cs="Arial" w:eastAsia="Arial" w:hAnsi="Arial"/>
                <w:sz w:val="15"/>
                <w:szCs w:val="15"/>
                <w:color w:val="auto"/>
              </w:rPr>
              <w:t>(8)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1,420,155</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6.03%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1,420,155</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Board and Senior Management:</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Mr. Modig</w:t>
            </w:r>
            <w:r>
              <w:rPr>
                <w:rFonts w:ascii="Arial" w:cs="Arial" w:eastAsia="Arial" w:hAnsi="Arial"/>
                <w:sz w:val="15"/>
                <w:szCs w:val="15"/>
                <w:color w:val="auto"/>
              </w:rPr>
              <w:t>(9)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1,246,875</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5.28%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1,246,875</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Droller</w:t>
            </w:r>
            <w:r>
              <w:rPr>
                <w:rFonts w:ascii="Arial" w:cs="Arial" w:eastAsia="Arial" w:hAnsi="Arial"/>
                <w:sz w:val="15"/>
                <w:szCs w:val="15"/>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1,339,243</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1,339,243</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Dr. Gaster</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Schikan.</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Mr. Kleijwegt</w:t>
            </w:r>
            <w:r>
              <w:rPr>
                <w:rFonts w:ascii="Arial" w:cs="Arial" w:eastAsia="Arial" w:hAnsi="Arial"/>
                <w:sz w:val="15"/>
                <w:szCs w:val="15"/>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3,607,566</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15.31%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3,607,566</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Meeker</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Dr. Glassman</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Knolle</w:t>
            </w:r>
            <w:r>
              <w:rPr>
                <w:rFonts w:ascii="Arial" w:cs="Arial" w:eastAsia="Arial" w:hAnsi="Arial"/>
                <w:sz w:val="15"/>
                <w:szCs w:val="15"/>
                <w:color w:val="auto"/>
              </w:rPr>
              <w:t>(10)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1,246,875</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1,246,875</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Dr. Lu</w:t>
            </w:r>
            <w:r>
              <w:rPr>
                <w:rFonts w:ascii="Arial" w:cs="Arial" w:eastAsia="Arial" w:hAnsi="Arial"/>
                <w:sz w:val="15"/>
                <w:szCs w:val="15"/>
                <w:color w:val="auto"/>
              </w:rPr>
              <w:t>(11)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133,833</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133,833</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Lesage</w:t>
            </w:r>
            <w:r>
              <w:rPr>
                <w:rFonts w:ascii="Arial" w:cs="Arial" w:eastAsia="Arial" w:hAnsi="Arial"/>
                <w:sz w:val="15"/>
                <w:szCs w:val="15"/>
                <w:color w:val="auto"/>
              </w:rPr>
              <w:t>(12)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296,875</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296,875</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Dr. Conn</w:t>
            </w:r>
            <w:r>
              <w:rPr>
                <w:rFonts w:ascii="Arial" w:cs="Arial" w:eastAsia="Arial" w:hAnsi="Arial"/>
                <w:sz w:val="15"/>
                <w:szCs w:val="15"/>
                <w:color w:val="auto"/>
              </w:rPr>
              <w:t>(13)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72,170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72,170</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Nijdam</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All executive officers and board members as a group (12 persons)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8,443,437</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35.30%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8,443,437</w:t>
            </w:r>
          </w:p>
        </w:tc>
        <w:tc>
          <w:tcPr>
            <w:tcW w:w="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total outstanding ordinary shares.</w:t>
      </w:r>
    </w:p>
    <w:p>
      <w:pPr>
        <w:spacing w:after="0" w:line="23" w:lineRule="exact"/>
        <w:rPr>
          <w:sz w:val="20"/>
          <w:szCs w:val="20"/>
          <w:color w:val="auto"/>
        </w:rPr>
      </w:pPr>
    </w:p>
    <w:p>
      <w:pPr>
        <w:ind w:left="460" w:right="10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3,607,566 preferred shares which will be automatically converted into 3,607,566 ordinary shares immediately prior to the consummation of this offering. The managing director of LSP V Coöperatieve U.A. is LSP V Management B.V. The managing directors of LSP V Management B.V. are Martijn Kleijwegt, Rene Kuijten and Joachim Rothe, each of whom may be deemed to have voting and investment power over the shares held by LSP V Coöperatieve U.A. Each of Mr. Kleijwegt, Mr. Kuijten and Mr. Rothe disclaims beneficial ownership of such shares except to the extent of their pecuniary interest therein. The address of LSP V Coöperatieve U.A. is Johannes Vermeerplein 9, 1071 DV Amsterdam, the Netherlands.</w:t>
      </w:r>
    </w:p>
    <w:p>
      <w:pPr>
        <w:spacing w:after="0" w:line="2"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1,339,243 preferred shares which will be automatically converted into 1,339,243 ordinary shares immediately prior to the consummation of this offering. KURMA BIOFUND II is managed by its management company, Kurma Partners S.A. and Mr. Droller controls Kurma Partners S.A. The address of Kurma Partners S.A and Mr. Droller. is 24 Rue Royale, 75008, Paris, France.</w:t>
      </w:r>
    </w:p>
    <w:p>
      <w:pPr>
        <w:spacing w:after="0" w:line="1" w:lineRule="exact"/>
        <w:rPr>
          <w:rFonts w:ascii="Arial" w:cs="Arial" w:eastAsia="Arial" w:hAnsi="Arial"/>
          <w:sz w:val="18"/>
          <w:szCs w:val="18"/>
          <w:color w:val="auto"/>
        </w:rPr>
      </w:pPr>
    </w:p>
    <w:p>
      <w:pPr>
        <w:ind w:left="460" w:right="80" w:hanging="452"/>
        <w:spacing w:after="0" w:line="292"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(i) 3,261,926 preferred shares held by Foresite Capital Fund IV, L.P. (“Foresite IV”), which will be automatically converted into 3,261,926 ordinary shares immediately prior to the consummation of this offering; and (ii) 364,142 preferred shares held by Foresite Capital Fund V, L.P. (“Foresite V” and, together with Foresite IV, “Foresite”), which will be automatically converted into 364,142 ordinary shares immediately prior to the consummation of this offering. Foresite Capital Management IV, LLC (“FCM IV”) is the general partner of Foresite IV and may be deemed to have sole voting and dispositive power over shares held by Foresite IV. Foresite Capital Management V, LLC (“FCM V”) is the general partner of</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Foresite V and may be deemed to have sole voting and dispositive power over shares held by Foresite V. Dr. Jim Tananbaum is the sole managing member of FCM IV and FCM V and may be deemed to have sole voting and dispositive power over share held by Foresite. Each of FCM IV, FCM V and Dr. Tananbaum disclaims beneficial ownership of shares held by Foresite except to the extent of any pecuniary interest therein. The address of Foresite, FCM IV, FCM V and Dr. Tananbaum is 600 Montgomery Street, Suite 4500, San Francisco, CA 94111.</w:t>
      </w:r>
    </w:p>
    <w:p>
      <w:pPr>
        <w:spacing w:after="0" w:line="2" w:lineRule="exact"/>
        <w:rPr>
          <w:sz w:val="20"/>
          <w:szCs w:val="20"/>
          <w:color w:val="auto"/>
        </w:rPr>
      </w:pPr>
    </w:p>
    <w:p>
      <w:pPr>
        <w:ind w:left="460" w:right="160" w:hanging="452"/>
        <w:spacing w:after="0" w:line="281"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(i) 2,658,480 preferred shares held by Bain Capital Life Sciences Fund, L.P. (“BCLS”), which will be automatically converted into 2,658,480 ordinary shares immediately prior to the consummation of this offering; and (ii) 272,121 preferred shares held by BCIP Life Sciences Associates, L.P. (“BCIP LS” and, together with BCLS, the “Bain Capital Life Sciences Entities”), which will be automatically converted into 272,121 ordinary shares immediately prior to the consummation of this offering. Bain Capital Life Sciences Investors, LLC, whose managers are Jeffrey Schwartz and Adam Koppel, is the ultimate general partner of BCLS and governs the investment strategy and decision-making process with respect to investments held by BCIP LS. As a result, each of Bain Capital Life Sciences Investors, LLC, Mr. Schwartz and Dr. Koppel may be deemed to share voting and dispositive power over the shares held by the Bain Capital Life Sciences Entities. The address of the Bain Capital Life Sciences Entities is c/o Bain Capital Life Sciences, LP 200 Clarendon Street, Boston, MA 02116.</w:t>
      </w:r>
    </w:p>
    <w:p>
      <w:pPr>
        <w:spacing w:after="0" w:line="4"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2,003,310 preferred shares which will be automatically converted into 2,003,310 ordinary shares immediately prior to the consummation of this offering. The address of venBio Global Strategic Fund III, L.P. (“venBio”) is 1700 Owens Street Suite 595 San Francisco, CA 94158.</w:t>
      </w:r>
    </w:p>
    <w:p>
      <w:pPr>
        <w:spacing w:after="0" w:line="1" w:lineRule="exact"/>
        <w:rPr>
          <w:rFonts w:ascii="Arial" w:cs="Arial" w:eastAsia="Arial" w:hAnsi="Arial"/>
          <w:sz w:val="16"/>
          <w:szCs w:val="16"/>
          <w:color w:val="auto"/>
        </w:rPr>
      </w:pPr>
    </w:p>
    <w:p>
      <w:pPr>
        <w:ind w:left="460" w:right="100" w:hanging="452"/>
        <w:spacing w:after="0" w:line="265"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(i) 84,410 preferred shares held by Idinvest Patrimoine n°4 IR (“Idinvest I”), which will be automatically converted into 84,410 ordinary shares immediately prior to the consummation of this offering; (ii) 451,409 preferred shares held by Objectif Innovation Patrimoine n°8 (“Idinvest II”), which will be automatically converted into 451,409 ordinary shares immediately prior to the consummation of this offering; (iii) 447,739 preferred shares held by Idinvest Patrimoine n°5 (“Idinvest III”), which will be automatically converted into 447,739 ordinary shares immediately prior to the consummation of this offering; (iv) 239,773 preferred shares held by Idinvest Patrimoine 2015 (“Idinvest IV”), which will be automatically converted into 239,773 ordinary shares immediately prior to the consummation of this offering; (v) 49,328 preferred shares held by Objectif Innovation Patrimoine n°9 (“Idinvest V”), which will be automatically converted into 49,328 ordinary shares immediately prior to the consummation of this offering; (vi) 41,684 preferred shares held by Idinvest Patrimoine n°6 (“Idinvest VI”), which will be automatically converted into 41,684 ordinary shares immediately prior to the consummation of this offering; (vii) 76,460 preferred shares held by Idinvest Patrimoine 2019 (“Idinvest VII”), which will be automatically converted into 76,460 ordinary shares immediately prior to the consummation of this offering; and (viii) 64,350 preferred shares held by Objectif Innovation 2019 (“Idinvest VIII” and, together with Idinvest I, Idinvest II, Idinvest III, Idinvest IV, Idinvest V, Idinvest VI and Idinvest VII, the “Idinvest Entities”), which will be automatically converted into 64,350 ordinary shares immediately prior to the consummation of this offering. The Idinvest Entities are controlled and managed by Idinvest Partners S.A. The address of Idinvest Partners S.A. is 117 Avenue des Champs Elysees, 75008, Paris, France.</w:t>
      </w:r>
    </w:p>
    <w:p>
      <w:pPr>
        <w:spacing w:after="0" w:line="2" w:lineRule="exact"/>
        <w:rPr>
          <w:rFonts w:ascii="Arial" w:cs="Arial" w:eastAsia="Arial" w:hAnsi="Arial"/>
          <w:sz w:val="17"/>
          <w:szCs w:val="17"/>
          <w:color w:val="auto"/>
        </w:rPr>
      </w:pPr>
    </w:p>
    <w:p>
      <w:pPr>
        <w:jc w:val="both"/>
        <w:ind w:left="460" w:right="40" w:hanging="452"/>
        <w:spacing w:after="0" w:line="281"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1,420,155 preferred shares which will be automatically converted into 1,420,155 ordinary shares immediately prior to the consummation of this offering. Viking Global Opportunities Illiquid Investments Sub-Master LP (the “Opportunities Fund”) has the authority to dispose of and vote the shares directly owned by it, which power may be exercised by its general partner, Viking Global Opportunities Portfolio GP LLC (“Opportunities GP”), and by Viking Global Investors LP (“VGI”), which provides managerial services to the Opportunities Fund. O. Andreas Halvorsen, David C.</w:t>
      </w:r>
    </w:p>
    <w:p>
      <w:pPr>
        <w:spacing w:after="0" w:line="2" w:lineRule="exact"/>
        <w:rPr>
          <w:rFonts w:ascii="Arial" w:cs="Arial" w:eastAsia="Arial" w:hAnsi="Arial"/>
          <w:sz w:val="16"/>
          <w:szCs w:val="16"/>
          <w:color w:val="auto"/>
        </w:rPr>
      </w:pPr>
    </w:p>
    <w:p>
      <w:pPr>
        <w:ind w:left="460" w:right="40"/>
        <w:spacing w:after="0" w:line="250" w:lineRule="auto"/>
        <w:rPr>
          <w:rFonts w:ascii="Arial" w:cs="Arial" w:eastAsia="Arial" w:hAnsi="Arial"/>
          <w:sz w:val="16"/>
          <w:szCs w:val="16"/>
          <w:color w:val="auto"/>
        </w:rPr>
      </w:pPr>
      <w:r>
        <w:rPr>
          <w:rFonts w:ascii="Arial" w:cs="Arial" w:eastAsia="Arial" w:hAnsi="Arial"/>
          <w:sz w:val="18"/>
          <w:szCs w:val="18"/>
          <w:color w:val="auto"/>
        </w:rPr>
        <w:t>Ott and Rose Shabet, as Executive Committee members of Viking Global Partners LLC (the general partner of VGI) and Opportunities GP, have shared authority to direct the voting and disposition of investments beneficially owned by VGI and the Opportunities GP. The business address of the Opportunities Fund is c/o Viking Global Investors LP, 55 Railroad Avenue, Greenwich, Connecticut 06830.</w:t>
      </w:r>
    </w:p>
    <w:p>
      <w:pPr>
        <w:spacing w:after="0" w:line="1"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1,420,155 preferred shares which will be automatically converted into 1,420,155 ordinary shares immediately prior to the consummation of this offering. General Atlantic PH B.V. (“GA PH”) is a wholly owned subsidiary of General Atlantic Coöperatief U.A. (“GA Coop UA”). The members that share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spacing w:after="0" w:line="283" w:lineRule="auto"/>
        <w:rPr>
          <w:sz w:val="20"/>
          <w:szCs w:val="20"/>
          <w:color w:val="auto"/>
        </w:rPr>
      </w:pPr>
      <w:r>
        <w:rPr>
          <w:rFonts w:ascii="Arial" w:cs="Arial" w:eastAsia="Arial" w:hAnsi="Arial"/>
          <w:sz w:val="16"/>
          <w:szCs w:val="16"/>
          <w:color w:val="auto"/>
        </w:rPr>
        <w:t>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and General Atlantic Cooperatief, L.P. (“GA Coop LP”).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Limited (“GAP (Bermuda) Limited”) is the general partner of GenPar Bermuda and GA Coop LP. There are nine members of the management committee of GAP (Bermuda) Limited (the “GA Management Committee”). GAP (Bermuda) Limited, GenPar Bermuda, GA Lux, GA GenPar Lux, and the GA Funds (collectively, the “GA Group”) are a “group” within the meaning of Rule 13d-5 of the Exchange Act. The address of GA Coop LP, GAP Bermuda IV, GAP Bermuda EU, GenPar Bermuda, and GAP (Bermuda) Limited is Clarendon House, 2 Church Street, Hamilton HM 11, Bermuda. The address of GA Coop UA is Raamplein 1, 1016 XK, Amsterdam, The Netherlands. The address of GAP Lux, GA GenPar Lux and GA Lux is Luxembourg is 412F, Route d’Esch, L-2086 Luxembourg. Each of the members of the GA Management Committee disclaims ownership of the shares except to the extent that he has a pecuniary interest therein.</w:t>
      </w:r>
    </w:p>
    <w:p>
      <w:pPr>
        <w:spacing w:after="0" w:line="3" w:lineRule="exact"/>
        <w:rPr>
          <w:sz w:val="20"/>
          <w:szCs w:val="20"/>
          <w:color w:val="auto"/>
        </w:rPr>
      </w:pPr>
    </w:p>
    <w:p>
      <w:pPr>
        <w:ind w:left="460" w:right="28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ordinary shares held by Schoodic Management B.V., an entity controlled by Mr. Modig. Consists of 46,875 options that vest within 60 days of February 1, 2021. See “Management—Equity Incentive Plan.”</w:t>
      </w: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46,875 options that vest within 60 days of February 1, 2021. See “Management—Equity Incentive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133,833 options that vest within 60 days of February 1, 2021. See “Management—Equity Incentive Plan.”</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ordinary shares held by GrayMatters Consulting BVBA, an entity controlled by Dr. Lesage. Consists of 46,875 options that vest within 60 days of February 1, 2021. See “Management—Equity Incentive Plan.”</w:t>
      </w:r>
    </w:p>
    <w:p>
      <w:pPr>
        <w:ind w:left="460" w:hanging="452"/>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Consists of 25,295 RSUs that will vest upon consummation of this offering and 46,875 options that vest within 60 days of February 1, 2021.</w:t>
      </w:r>
    </w:p>
    <w:p>
      <w:pPr>
        <w:spacing w:after="0" w:line="222"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As of February 1, 2021, after giving effect to the conversion of all of our preferred shares into ordinary shares, approximately 10.5 million of our outstanding ordinary shares are held by nine record holders in the United States. Upon the consummation of this offering, all ordinary shares will carry one voting right. We are not aware of any arrangement that may, at a subsequent date, result in a change of control of our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is a description of related-party transactions we have entered into since January 1, 2018 with any of the members of the Board, our Senior Management and the holders of more than 5% of our ordinary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Principal Shareholders</w:t>
      </w:r>
    </w:p>
    <w:p>
      <w:pPr>
        <w:spacing w:after="0" w:line="12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August 2019 and July 2020, pursuant to that certain Share Subscription Agreement dated July 26, 2019 as amended on July 29, 2019 (the “2019 Share Subscription Agreement”), we issued to investors in two tranches a total of 7,650,147 Series B preferred shares for an aggregate investment amount of $66,000,000. Under the 2019 Share Subscription Agreement, we issued to Foresite IV a total of 2,897,783 Series B preferred shares for an aggregate investment amount of $25,000,000, to BCLS a total of 1,997,820 Series B preferred shares for an aggregate investment amount of $17,235,757, to BCIP LS a total of 204,496 Series B preferred shares for an aggregate investment amount of $1,764,243, to venBio a total of 1,275,025 Series B preferred shares for an aggregate investment amount of $11,000,000, to Venrock Healthcare Capital Partners III, L.P. (“Venrock I”) a total of 105,374 Series B preferred shares for an aggregate investment amount of $909,090.91, to VHCP Co-Investment Holdings III, LLC (“Venrock II”) a total of 10,537 Series B preferred shares for an aggregate investment amount of $90,909.09, to LSP V Coöperatieve U.A. a total of 811,379 Series B preferred shares for an aggregate investment amount of $7,000,000, to KURMA BIOFUND II a total of 115,911 Series B preferred shares for an aggregate investment amount of $1,000,000, to Idinvest V a total of 49,328 Series B preferred shares for an aggregate investment amount of $410,602.55, to Idinvest VI a total of 41,684 Series B preferred shares for an aggregate investment amount of $346,974.47, to Idinvest VII 76,460 Series B preferred shares for an aggregate investment amount of $674,632.61 and to Idinvest VIII 64,350 Series B preferred shares for an aggregate investment amount of $567,784.72.</w:t>
      </w:r>
    </w:p>
    <w:p>
      <w:pPr>
        <w:spacing w:after="0" w:line="168"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In November 2020, pursuant to the Share Subscription Agreement dated November 3, 2020 (the “2020 Share Subscription Agreement”), we issued to investors a total of 5,826,279 Series C preferred shares for an aggregate investment amount of approximately $80 million. Under the 2020 Share Subscription Agreement, we issued to Foresite IV a total of 364,143 Series C preferred shares for an aggregate investment amount of $5,000,011.12, to Foresite V, a total of 364,142 Series C preferred shares for an aggregate investment amount of $4,999,997.39, to BCLS a total of 660,660 Series C preferred shares for an aggregate investment amount of $9,071,456.39, to BCIP LS a total of 67,625 Series C preferred shares for an aggregate investment amount of $928,552.11, to venBio a total of 728,285 Series C preferred shares for an aggregate investment amount of $10,000,008.51, to Venrock I a total of 197,118 Series C preferred shares for an aggregate investment amount of $ 2,706,607.55, to Venrock II a total of 19,707 Series C preferred shares for an aggregate investment amount of $270,594.85, to Venrock Healthcare Capital Partners Eg, L.P., a total of 220,146 Series C preferred shares for an aggregate investment amount of $3,022,802.71, to Opportunities Fund a total of 1,420,155 Series C preferred shares for an aggregate investment amount of $19,500,006.29, to General Atlantic PH B.V. a total of 1,420,155 Series C preferred shares for an aggregate investment amount of $19,500,006.29, to Cormorant Global Healthcare Master Fund, LP a total of 67,840 Series C preferred shares for an aggregate investment amount of $931,504.26, to Cormorant Private Healthcare Fund III, LP a total of 291,460 Series C Shares for an aggregate investment amount of $4,002,008.11, and to CRMA SPV, L.P. a total of 4,843 Series C Shares for an aggregate investment amount of $66,498.75.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On November 5, 2020, all of the then existing shareholders entered into the Second Amended and Restated Shareholders Agreement (the “Shareholders Agreement”), which governs board composition, transfer restrictions, preemptive rights and registration rights, among other matters. The Shareholders Agreement will terminate immediately prior to the consummation of this offering, other than customary registration rights provisions.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i w:val="1"/>
          <w:iCs w:val="1"/>
          <w:color w:val="auto"/>
        </w:rPr>
        <w:t>Board composition</w:t>
      </w:r>
      <w:r>
        <w:rPr>
          <w:rFonts w:ascii="Arial" w:cs="Arial" w:eastAsia="Arial" w:hAnsi="Arial"/>
          <w:sz w:val="18"/>
          <w:szCs w:val="18"/>
          <w:color w:val="auto"/>
        </w:rPr>
        <w:t>. Our board is to consist of the chief executive officer, two members of appointed by the founders (however, provided that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is a founder, the founders may only appoint one member), two members nominated by the holders of the Series A preferred shares, two members nominated by the holders of the Series B preferred shares and one additional non-executive member appointed by the general meeting with the approval of a majority the board.</w:t>
      </w:r>
    </w:p>
    <w:p>
      <w:pPr>
        <w:spacing w:after="0" w:line="18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Certain transfer restrictions, including a right of first refusal as well as drag-along rights by holders of certain of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are provided for.</w:t>
      </w:r>
    </w:p>
    <w:p>
      <w:pPr>
        <w:spacing w:after="0" w:line="170" w:lineRule="exact"/>
        <w:rPr>
          <w:sz w:val="20"/>
          <w:szCs w:val="20"/>
          <w:color w:val="auto"/>
        </w:rPr>
      </w:pPr>
    </w:p>
    <w:p>
      <w:pPr>
        <w:ind w:right="260" w:firstLine="449"/>
        <w:spacing w:after="0" w:line="296" w:lineRule="auto"/>
        <w:rPr>
          <w:sz w:val="20"/>
          <w:szCs w:val="20"/>
          <w:color w:val="auto"/>
        </w:rPr>
      </w:pPr>
      <w:r>
        <w:rPr>
          <w:rFonts w:ascii="Arial" w:cs="Arial" w:eastAsia="Arial" w:hAnsi="Arial"/>
          <w:sz w:val="16"/>
          <w:szCs w:val="16"/>
          <w:i w:val="1"/>
          <w:iCs w:val="1"/>
          <w:color w:val="auto"/>
        </w:rPr>
        <w:t>Anti-dilution/preemptive rights</w:t>
      </w:r>
      <w:r>
        <w:rPr>
          <w:rFonts w:ascii="Arial" w:cs="Arial" w:eastAsia="Arial" w:hAnsi="Arial"/>
          <w:sz w:val="16"/>
          <w:szCs w:val="16"/>
          <w:color w:val="auto"/>
        </w:rPr>
        <w:t>. Holders of preferred shares have anti-dilution protection in the event we issue shares at a price that is less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 purchase price per preferred share. In the event such shares are issued, we are required to issue to the holders of the Series A preferred shares, Series B preferred shares and Series C preferred shares, unless waived, additional Series A preferred shares, Series B preferred shares and Series C preferred shares. This right does not apply in the event of an underwritten public offering of our shares. All existing shareholders also have preemptive rights in the event of any issuance of new shares. These rights are expected to be waived in connection with this offering.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Senior Management</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Dr. Knolle, who has served as Chief Scientific Officer and Chief Operating Officer since its inception, is a member of the board of Charité Research Organisation GmbH, or Charité CRO. The Company has entered into a service contract with Charité CRO according to which Charité CRO provides services supporting research for the Company. In fiscal years 2019 and 2020, payments to Charité CRO with respect to this service contract amounted to €1,238,355 and €1,025,795, respectively.</w:t>
      </w:r>
    </w:p>
    <w:p>
      <w:pPr>
        <w:spacing w:after="0" w:line="187"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The Company engages several management entities for the purpose of providing key management services to the Company. These management entities are considered related parties, as they provide key management services and the key management personnel exercise key management functions within these entities. Certain key management personnel are also shareholders of the Company. In fiscal years 2019 and 2020 the aggregate amounts payable to these related parties was €55,250 and €398,489, respectively.</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have entered into Management Service Agreements with JCK-Consult/Dr. Knolle and GrayMatters Consulting B.V. dated August 1, 2020 (the “Consulting Agreements”). The Consulting Agreements provide for daily fixed fees up to a maximum amount per annum and an additional discretionary annual fee with a target based on a percentage of the maximum annual fee amount, determined at the discretion of the Company. The Consulting Agreements are for a term of four years but may be earlier terminated by either party without notice. Upon a termination of the agreement by the Company without cause, the consultant is entitled to (i) an amount equal to the expected sum of the services fee for the remaining period until the termination date, up to a specified amount, (ii) any unpaid discretionary fee for the prior year, and (iii) pro rata discretionary fee for the then-current year, subject to approval of the Company. The Consulting Agreements also contain certain restrictive covenants, including a perpetual confidentiality provision and covenants regarding non-solicitation of employees, consultants, independent contractors, suppliers and customers during the term of the agreement and for a period of one year thereafter. In the event a consultant breaches any of these covenants and does not remedy such breach within five business days of receiving written notice, such consultant will be required to pay the Company a lump sum penalty, plus an additional penalty for each day such breach continues.</w:t>
      </w:r>
    </w:p>
    <w:p>
      <w:pPr>
        <w:spacing w:after="0" w:line="168"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have also entered into employment agreements with Mr. Modig (Chief Executive Officer), Dr. Lu (Chief Medical Officer), Ms. Nijdam (Director of Finance) and Dr. Conn (Chief Business Officer) (collectively, the “Employment Agreements”). The Employment Agreements generally provide for base salary, sign-on bonuses, discretionary annual bonuses based on a percentage of base salary and eligibility to receive equity awards and to participate in the Company’s benefits plans. The Employment Agreements for Dr. Lu, Mr. Modig and Dr. Conn also provide that upon a termination by the Company without cause, by the executive for good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reason, or as a result of the executive’s death or disability, the executive is entitled to the following (subject to execution of a general release of claims in favor of the Company): (i) 12 months of base salary, (ii) with respect to Dr. Lu and Dr. Conn, for one year after termination, the right to continue health care benefits under COBRA at active employee rates, (iii) any unpaid discretionary bonus for the prior year and (iv) pro rata discretionary bonus for the current year, subject to Board approval. In addition, the employment agreements with Mr. Modig and Dr. Conn originally entitled each executive to a special bonus upon the consummation of a change in control (or a qualified IPO for Dr. Conn) on or before the 18-month anniversary of each executive’s start date. However, each of Mr. Modig and Dr. Conn entered into an amendment to their employment agreement, whereby each executive agreed to waive, surrender and relinquish all rights to such special bonuses.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We intend to enter into indemnification agreements with the members of our Board. The indemnification agreements and our Articles of Association require us to indemnify the members of our Board against financial losses or damages or any expense reasonable paid or incurred in connection with any threatened, pending, or completed suit, claim, action or legal proceeding, in each case to the extent permitted by law, subject to certain exceptions.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At our request, the underwriters have reserved up to 5% of the ordinary shares offered by this prospectus, for sale at the initial public offering price through a directed share program to certain individuals, including our directors, officers, employees, and certain friends and family members of these persons.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Participation Rights</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entered into letter agreements in November 2020 with General Atlantic and Viking Global Investors, each a beneficial owner of more than 5% of our share capital. The letter agreements require us to use our commercially reasonable efforts to advocate to the managing underwriters of this offering to offer each of General Atlantic and Viking Global Investors the opportunity to purchase a specified dollar value of shares in this offering at the initial offering price. The letter agreements also provide that if General Atlantic and Viking Global Investors are not afforded such opportunity, the Company will offer each of GA and Viking Global Investors the right to purchase the specified value of shares in a private placement. Each of General Atlantic and Viking Global Investors waived such rights prior to the commencement of this offering.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320" w:top="459" w:right="3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were incorporated pursuant to the laws of the Netherlands as Pharvaris B.V. on September 30, 2015. Prior to the listing of our ordinary shares on Nasdaq, we will convert into a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under Dutch law and our legal name will change to Pharvaris N.V.</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are registered with the Trade Register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under number 64239411. Our corporate seat is in Leiden, the Netherlands, and our registered office is also in Leiden, the Netherlands.</w:t>
      </w:r>
    </w:p>
    <w:p>
      <w:pPr>
        <w:spacing w:after="0" w:line="170" w:lineRule="exact"/>
        <w:rPr>
          <w:sz w:val="20"/>
          <w:szCs w:val="20"/>
          <w:color w:val="auto"/>
        </w:rPr>
      </w:pPr>
    </w:p>
    <w:p>
      <w:pPr>
        <w:jc w:val="both"/>
        <w:ind w:right="680" w:firstLine="449"/>
        <w:spacing w:after="0" w:line="263" w:lineRule="auto"/>
        <w:rPr>
          <w:sz w:val="20"/>
          <w:szCs w:val="20"/>
          <w:color w:val="auto"/>
        </w:rPr>
      </w:pPr>
      <w:r>
        <w:rPr>
          <w:rFonts w:ascii="Arial" w:cs="Arial" w:eastAsia="Arial" w:hAnsi="Arial"/>
          <w:sz w:val="18"/>
          <w:szCs w:val="18"/>
          <w:color w:val="auto"/>
        </w:rPr>
        <w:t>The following is a summary of material information relating to our share capital upon and following the consummation of this offering. The summaries of the Articles of Association as set forth in this prospectus are qualified in their entirety by reference to the full text of the Articles of Association included in this registration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Upon the consummation of this offering, our authorized share capital will amount to €14,100,000, divided into 58,750,000 ordinary shares, each with a nominal value of €0.12, and 58,750,000 preferred shares, each with a nominal value of €0.12, and our issued share capital will amount to €3,662,313. We have applied to list our ordinary shares on the Nasdaq Global Market under the symbol “PHVS.”</w:t>
      </w:r>
    </w:p>
    <w:p>
      <w:pPr>
        <w:spacing w:after="0" w:line="184" w:lineRule="exact"/>
        <w:rPr>
          <w:sz w:val="20"/>
          <w:szCs w:val="20"/>
          <w:color w:val="auto"/>
        </w:rPr>
      </w:pPr>
    </w:p>
    <w:p>
      <w:pPr>
        <w:ind w:right="740" w:firstLine="449"/>
        <w:spacing w:after="0" w:line="308" w:lineRule="auto"/>
        <w:rPr>
          <w:sz w:val="20"/>
          <w:szCs w:val="20"/>
          <w:color w:val="auto"/>
        </w:rPr>
      </w:pPr>
      <w:r>
        <w:rPr>
          <w:rFonts w:ascii="Arial" w:cs="Arial" w:eastAsia="Arial" w:hAnsi="Arial"/>
          <w:sz w:val="17"/>
          <w:szCs w:val="17"/>
          <w:color w:val="auto"/>
        </w:rPr>
        <w:t>Under Dutch law, our authorized share capital is the maximum capital that we may issue without amending our Articles of Association. An amendment of our Articles of Association would require a resolution of the general meeting upon proposal by the Board.</w:t>
      </w:r>
    </w:p>
    <w:p>
      <w:pPr>
        <w:spacing w:after="0" w:line="146" w:lineRule="exact"/>
        <w:rPr>
          <w:sz w:val="20"/>
          <w:szCs w:val="20"/>
          <w:color w:val="auto"/>
        </w:rPr>
      </w:pPr>
    </w:p>
    <w:p>
      <w:pPr>
        <w:ind w:right="260" w:firstLine="449"/>
        <w:spacing w:after="0" w:line="311" w:lineRule="auto"/>
        <w:rPr>
          <w:sz w:val="20"/>
          <w:szCs w:val="20"/>
          <w:color w:val="auto"/>
        </w:rPr>
      </w:pPr>
      <w:r>
        <w:rPr>
          <w:rFonts w:ascii="Arial" w:cs="Arial" w:eastAsia="Arial" w:hAnsi="Arial"/>
          <w:sz w:val="16"/>
          <w:szCs w:val="16"/>
          <w:color w:val="auto"/>
        </w:rPr>
        <w:t>Initial settlement of the ordinary shares issued in this offering will take place at the consummation of this offering through The Depository Trust Company, or DTC, in accordance with its customary settlement procedures for equity securities. Each person owning ordinary shares held through DTC must rely on the procedures thereof and on institutions that have accounts therewith to exercise any rights of a holder of the ordinary shares.</w:t>
      </w:r>
    </w:p>
    <w:p>
      <w:pPr>
        <w:spacing w:after="0" w:line="14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Upon the consummation of this offering, our Articles of Association will provide that, for as long as any of our ordinary shares are admitted to trading on Nasdaq, the New York Stock Exchange or on any other regulated stock exchange operating in the United States, the laws of the State of New York shall apply to the property law aspects of the ordinary shares reflected in the register administered by our transfer agent, subject to certain overriding exceptions under the Dutch Civil Code.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and Dutch law</w:t>
      </w:r>
    </w:p>
    <w:p>
      <w:pPr>
        <w:spacing w:after="0" w:line="12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Set forth below is a summary of relevant information concerning our share capital and material provisions of our Articles of Association that will be effective upon the consummation of this offering and applicable Dutch law. This summary does not constitute legal advice regarding those matters and should not be regarded as such.</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main rights of holders of our ordinary shares:</w:t>
      </w:r>
    </w:p>
    <w:p>
      <w:pPr>
        <w:spacing w:after="0" w:line="131" w:lineRule="exact"/>
        <w:rPr>
          <w:sz w:val="20"/>
          <w:szCs w:val="20"/>
          <w:color w:val="auto"/>
        </w:rPr>
      </w:pPr>
    </w:p>
    <w:p>
      <w:pPr>
        <w:ind w:left="1000" w:right="74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holder of ordinary shares is entitled to one vote per share on all matters to be voted on by shareholders generally, including the appointment of directors;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are no cumulative voting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459" w:right="3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311" w:lineRule="auto"/>
        <w:tabs>
          <w:tab w:leader="none" w:pos="10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holders of our ordinary shares are entitled to dividends and other distributions as may be declared from time to time by us out of funds legally available for that purpose, if any, following payment of the preferred dividend if any preferred shares are or have been outstanding (to the extent holders or former holders of preferred shares are entitled to such distribution under our Articles of Association);</w:t>
      </w:r>
    </w:p>
    <w:p>
      <w:pPr>
        <w:spacing w:after="0" w:line="54" w:lineRule="exact"/>
        <w:rPr>
          <w:rFonts w:ascii="Arial" w:cs="Arial" w:eastAsia="Arial" w:hAnsi="Arial"/>
          <w:sz w:val="16"/>
          <w:szCs w:val="16"/>
          <w:color w:val="auto"/>
        </w:rPr>
      </w:pPr>
    </w:p>
    <w:p>
      <w:pPr>
        <w:ind w:left="1000" w:right="20" w:hanging="547"/>
        <w:spacing w:after="0" w:line="259"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our liquidation, dissolution or winding-up, the holders of ordinary shares will be entitled to share ratably in the distribution of all of our assets remaining available for distribution after satisfaction of all our liabilities, following payment of the preferred dividend if any preferred shares are or have been outstanding (to the extent holders or former holders of preferred shares are entitled to such distribution under our Articles of Association); and</w:t>
      </w:r>
    </w:p>
    <w:p>
      <w:pPr>
        <w:spacing w:after="0" w:line="92" w:lineRule="exact"/>
        <w:rPr>
          <w:rFonts w:ascii="Arial" w:cs="Arial" w:eastAsia="Arial" w:hAnsi="Arial"/>
          <w:sz w:val="18"/>
          <w:szCs w:val="18"/>
          <w:color w:val="auto"/>
        </w:rPr>
      </w:pPr>
    </w:p>
    <w:p>
      <w:pPr>
        <w:ind w:left="1000" w:right="120" w:hanging="547"/>
        <w:spacing w:after="0" w:line="263"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holders of ordinary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Company’s Shareholders’ Register</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must keep our shareholders’ register accurate and current. The Board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usufruct (</w:t>
      </w:r>
      <w:r>
        <w:rPr>
          <w:rFonts w:ascii="Arial" w:cs="Arial" w:eastAsia="Arial" w:hAnsi="Arial"/>
          <w:sz w:val="18"/>
          <w:szCs w:val="18"/>
          <w:i w:val="1"/>
          <w:iCs w:val="1"/>
          <w:color w:val="auto"/>
        </w:rPr>
        <w:t>vruchtgebruik</w:t>
      </w:r>
      <w:r>
        <w:rPr>
          <w:rFonts w:ascii="Arial" w:cs="Arial" w:eastAsia="Arial" w:hAnsi="Arial"/>
          <w:sz w:val="18"/>
          <w:szCs w:val="18"/>
          <w:color w:val="auto"/>
        </w:rPr>
        <w:t>) in shares belonging to another or a pledge (</w:t>
      </w:r>
      <w:r>
        <w:rPr>
          <w:rFonts w:ascii="Arial" w:cs="Arial" w:eastAsia="Arial" w:hAnsi="Arial"/>
          <w:sz w:val="18"/>
          <w:szCs w:val="18"/>
          <w:i w:val="1"/>
          <w:iCs w:val="1"/>
          <w:color w:val="auto"/>
        </w:rPr>
        <w:t>pandrecht</w:t>
      </w:r>
      <w:r>
        <w:rPr>
          <w:rFonts w:ascii="Arial" w:cs="Arial" w:eastAsia="Arial" w:hAnsi="Arial"/>
          <w:sz w:val="18"/>
          <w:szCs w:val="18"/>
          <w:color w:val="auto"/>
        </w:rPr>
        <w:t>) in respect of such shares. The ordinary shares offered in this offering will be held through DTC, therefore DTC or its nominee will be recorded in the shareholders’ register as the holder of those ordinary shares.</w:t>
      </w:r>
    </w:p>
    <w:p>
      <w:pPr>
        <w:spacing w:after="0" w:line="188"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Our ordinary shares and preferred shares shall be in registered form (</w:t>
      </w:r>
      <w:r>
        <w:rPr>
          <w:rFonts w:ascii="Arial" w:cs="Arial" w:eastAsia="Arial" w:hAnsi="Arial"/>
          <w:sz w:val="18"/>
          <w:szCs w:val="18"/>
          <w:i w:val="1"/>
          <w:iCs w:val="1"/>
          <w:color w:val="auto"/>
        </w:rPr>
        <w:t>op naam</w:t>
      </w:r>
      <w:r>
        <w:rPr>
          <w:rFonts w:ascii="Arial" w:cs="Arial" w:eastAsia="Arial" w:hAnsi="Arial"/>
          <w:sz w:val="18"/>
          <w:szCs w:val="18"/>
          <w:color w:val="auto"/>
        </w:rPr>
        <w:t>). We may issue share certificates (</w:t>
      </w:r>
      <w:r>
        <w:rPr>
          <w:rFonts w:ascii="Arial" w:cs="Arial" w:eastAsia="Arial" w:hAnsi="Arial"/>
          <w:sz w:val="18"/>
          <w:szCs w:val="18"/>
          <w:i w:val="1"/>
          <w:iCs w:val="1"/>
          <w:color w:val="auto"/>
        </w:rPr>
        <w:t>aandeelbewijzen</w:t>
      </w:r>
      <w:r>
        <w:rPr>
          <w:rFonts w:ascii="Arial" w:cs="Arial" w:eastAsia="Arial" w:hAnsi="Arial"/>
          <w:sz w:val="18"/>
          <w:szCs w:val="18"/>
          <w:color w:val="auto"/>
        </w:rPr>
        <w:t>) for registered shares in such form as may be approved by our Board.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Objectives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the Articles of Association, our main corporate objectives are:</w:t>
      </w:r>
    </w:p>
    <w:p>
      <w:pPr>
        <w:spacing w:after="0" w:line="131" w:lineRule="exact"/>
        <w:rPr>
          <w:sz w:val="20"/>
          <w:szCs w:val="20"/>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discover, develop and commercialize treatments, including for hereditary angioedema;</w:t>
      </w:r>
    </w:p>
    <w:p>
      <w:pPr>
        <w:spacing w:after="0" w:line="130" w:lineRule="exact"/>
        <w:rPr>
          <w:rFonts w:ascii="Arial" w:cs="Arial" w:eastAsia="Arial" w:hAnsi="Arial"/>
          <w:sz w:val="18"/>
          <w:szCs w:val="18"/>
          <w:color w:val="auto"/>
        </w:rPr>
      </w:pPr>
    </w:p>
    <w:p>
      <w:pPr>
        <w:ind w:left="1000" w:right="100" w:hanging="547"/>
        <w:spacing w:after="0" w:line="263"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develop and trade in patents, trademarks, licenses, knowhow, copyrights, data base rights and other intellectual property rights;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participate in, finance or hold any other interest in, or to conduct the management of, other legal entities, partnerships or enterprises;</w:t>
      </w:r>
    </w:p>
    <w:p>
      <w:pPr>
        <w:spacing w:after="0" w:line="142" w:lineRule="exact"/>
        <w:rPr>
          <w:rFonts w:ascii="Arial" w:cs="Arial" w:eastAsia="Arial" w:hAnsi="Arial"/>
          <w:sz w:val="17"/>
          <w:szCs w:val="17"/>
          <w:color w:val="auto"/>
        </w:rPr>
      </w:pPr>
    </w:p>
    <w:p>
      <w:pPr>
        <w:ind w:left="1000" w:right="180" w:hanging="547"/>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the Rights to Own Ordinary Shares</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Our ordinary shares may be issued to individuals, corporations, trusts, estates of deceased individuals, partnerships and unincorporated associations of persons. Our Articles of Association contain no limitation on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80"/>
          </w:cols>
          <w:pgMar w:left="320" w:top="459" w:right="3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rights to own our ordinary shares and no limitation on the rights of nonresidents of the Netherlands or foreign shareholders to hold or exercise voting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consummation of this offering, our preferred shares shall only be issued to the protective foundation, if and when incorporated.</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 on Liability and Indemnification Matters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directors (and other current and former officers and employees as designated by our Board). No indemnification shall be given to an indemnified person:</w:t>
      </w:r>
    </w:p>
    <w:p>
      <w:pPr>
        <w:spacing w:after="0" w:line="93" w:lineRule="exact"/>
        <w:rPr>
          <w:sz w:val="20"/>
          <w:szCs w:val="20"/>
          <w:color w:val="auto"/>
        </w:rPr>
      </w:pPr>
    </w:p>
    <w:p>
      <w:pPr>
        <w:ind w:left="1000" w:right="60" w:hanging="547"/>
        <w:spacing w:after="0" w:line="259"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92" w:lineRule="exact"/>
        <w:rPr>
          <w:rFonts w:ascii="Arial" w:cs="Arial" w:eastAsia="Arial" w:hAnsi="Arial"/>
          <w:sz w:val="18"/>
          <w:szCs w:val="18"/>
          <w:color w:val="auto"/>
        </w:rPr>
      </w:pPr>
    </w:p>
    <w:p>
      <w:pPr>
        <w:ind w:left="1000" w:right="300" w:hanging="547"/>
        <w:spacing w:after="0" w:line="308" w:lineRule="auto"/>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51" w:lineRule="exact"/>
        <w:rPr>
          <w:rFonts w:ascii="Arial" w:cs="Arial" w:eastAsia="Arial" w:hAnsi="Arial"/>
          <w:sz w:val="17"/>
          <w:szCs w:val="17"/>
          <w:color w:val="auto"/>
        </w:rPr>
      </w:pPr>
    </w:p>
    <w:p>
      <w:pPr>
        <w:ind w:left="1000" w:right="260" w:hanging="547"/>
        <w:spacing w:after="0" w:line="259"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92"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70"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Under our Articles of Association, our Board may stipulate additional terms, conditions and restrictions in relation to the indemnification described above.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Shareholders’ Meetings and Consents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meeting</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General meetings may be held in Amsterdam, Arnhem, Assen, The Hague, Haarlem, s-Hertogenbosch, Groningen, Leeuwarden, Lelystad, Leiden,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equity has decreased to an amount equal to or lower than half of its paid-up and called-up share capital, in order to discuss the measures to be taken if so required.</w:t>
      </w:r>
    </w:p>
    <w:p>
      <w:pPr>
        <w:spacing w:after="0" w:line="17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Pursuant to Dutch law, one or more shareholders or others with meeting rights under Dutch law who jointly represent at least one-tenth of the issued share capital may request us to convene a general meeting, setting out in detail the matters to be discussed. If our Board has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Board to convene a general meeting and our Board has not taken the necessary steps so that the general meeting could be held within six weeks after the request.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General meetings can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Board, including the filling of any vacancies in the Board. In addition, the agenda shall include such items as have been included therein by the Board. The agenda shall also include such items requested by one or more shareholders, or others with meeting rights under Dutch law, representing at least 3% of the issued share capital. Requests must be made in writing or by electronic means and received by the Board at least 60 days before the day of the meeting. No resolutions shall be adopted on items other than those that have been included in the agenda.</w:t>
      </w:r>
    </w:p>
    <w:p>
      <w:pPr>
        <w:spacing w:after="0" w:line="178"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68"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general meeting is presided over by the chairman of the Board. If no chairman has been elected or if he or she is not present at the meeting, the general meeting shall be presided over by the vice-Chairman. If no vice-Chairman has been elected or if he or she is not present at the meeting, the general meeting shall be presided over by the chief executive officer. If no chief executive officer has been elected or if he or she is not present at the meeting, the general meeting shall be presided over by another director present at the meeting. If no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Directors may always attend a general meeting. In these meetings, they have an advisory vote. The chairman of the meeting may decide at his or her discretion to admit other persons to the meeting.</w:t>
      </w:r>
    </w:p>
    <w:p>
      <w:pPr>
        <w:spacing w:after="0" w:line="166"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Quorum and voting requirements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Each ordinary share and each preferred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320" w:top="459" w:right="3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78"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Appointment of directors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7"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Duties and liabilities of directors</w:t>
      </w:r>
    </w:p>
    <w:p>
      <w:pPr>
        <w:spacing w:after="0" w:line="117" w:lineRule="exact"/>
        <w:rPr>
          <w:sz w:val="20"/>
          <w:szCs w:val="20"/>
          <w:color w:val="auto"/>
        </w:rPr>
      </w:pPr>
    </w:p>
    <w:p>
      <w:pPr>
        <w:ind w:right="160" w:firstLine="449"/>
        <w:spacing w:after="0" w:line="290" w:lineRule="auto"/>
        <w:rPr>
          <w:sz w:val="20"/>
          <w:szCs w:val="20"/>
          <w:color w:val="auto"/>
        </w:rPr>
      </w:pPr>
      <w:r>
        <w:rPr>
          <w:rFonts w:ascii="Arial" w:cs="Arial" w:eastAsia="Arial" w:hAnsi="Arial"/>
          <w:sz w:val="16"/>
          <w:szCs w:val="16"/>
          <w:color w:val="auto"/>
        </w:rPr>
        <w:t>Under Dutch law, the Board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Amount available for distribution</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We may only make distributions, whether of profits or from our reserves, to our shareholders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any reserves required by Dutch law or by our Articles of Association. Under our Articles of Association,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are carried to reserves. After such reservation, any remaining profit will be at the disposal of the general meeting at the proposal of our Board for distribution on our ordinary shares, subject to the applicable restrictions of Dutch law.</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320" w:top="459" w:right="3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08" w:lineRule="auto"/>
        <w:rPr>
          <w:sz w:val="20"/>
          <w:szCs w:val="20"/>
          <w:color w:val="auto"/>
        </w:rPr>
      </w:pPr>
      <w:r>
        <w:rPr>
          <w:rFonts w:ascii="Arial" w:cs="Arial" w:eastAsia="Arial" w:hAnsi="Arial"/>
          <w:sz w:val="17"/>
          <w:szCs w:val="17"/>
          <w:color w:val="auto"/>
        </w:rPr>
        <w:t>We only make a distribution of dividends to our shareholders after the adoption of our annual accounts demonstrating that such distribution is legally permitted. The Board is permitted, subject to certain requirements, to declare interim dividends without the approval of the general meeting.</w:t>
      </w:r>
    </w:p>
    <w:p>
      <w:pPr>
        <w:spacing w:after="0" w:line="146"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controls</w:t>
      </w:r>
    </w:p>
    <w:p>
      <w:pPr>
        <w:spacing w:after="0" w:line="117" w:lineRule="exact"/>
        <w:rPr>
          <w:sz w:val="20"/>
          <w:szCs w:val="20"/>
          <w:color w:val="auto"/>
        </w:rPr>
      </w:pPr>
    </w:p>
    <w:p>
      <w:pPr>
        <w:jc w:val="both"/>
        <w:ind w:right="160" w:firstLine="449"/>
        <w:spacing w:after="0" w:line="257" w:lineRule="auto"/>
        <w:rPr>
          <w:sz w:val="20"/>
          <w:szCs w:val="20"/>
          <w:color w:val="auto"/>
        </w:rPr>
      </w:pPr>
      <w:r>
        <w:rPr>
          <w:rFonts w:ascii="Arial" w:cs="Arial" w:eastAsia="Arial" w:hAnsi="Arial"/>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 applicable anti-boycott regulations and similar rules. There are no special restrictions in the Articles of Association or Dutch law that limit the right of shareholders who are not citizens or residents of the Netherlands to hold or vote shares.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Squeeze-out procedures</w:t>
      </w:r>
    </w:p>
    <w:p>
      <w:pPr>
        <w:spacing w:after="0" w:line="117"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A shareholder who alone or together with group companies holds at least 95% of our issued share capital for his or her own account may initiate proceedings against the other shareholders jointly for the transfer of their shares to such shareholder. The proceedings are held before the Enterprise Chamber of the Amsterdam Court of Appeal, or the Enterprise Chamber (</w:t>
      </w:r>
      <w:r>
        <w:rPr>
          <w:rFonts w:ascii="Arial" w:cs="Arial" w:eastAsia="Arial" w:hAnsi="Arial"/>
          <w:sz w:val="16"/>
          <w:szCs w:val="16"/>
          <w:i w:val="1"/>
          <w:iCs w:val="1"/>
          <w:color w:val="auto"/>
        </w:rPr>
        <w:t>Ondernemingskamer</w:t>
      </w:r>
      <w:r>
        <w:rPr>
          <w:rFonts w:ascii="Arial" w:cs="Arial" w:eastAsia="Arial" w:hAnsi="Arial"/>
          <w:sz w:val="16"/>
          <w:szCs w:val="16"/>
          <w:color w:val="auto"/>
        </w:rPr>
        <w:t>), and can be instituted by means of a writ of summons served upon each of the other shareholders in accordance with the provisions of the Dutch Code of Civil Procedure (</w:t>
      </w:r>
      <w:r>
        <w:rPr>
          <w:rFonts w:ascii="Arial" w:cs="Arial" w:eastAsia="Arial" w:hAnsi="Arial"/>
          <w:sz w:val="16"/>
          <w:szCs w:val="16"/>
          <w:i w:val="1"/>
          <w:iCs w:val="1"/>
          <w:color w:val="auto"/>
        </w:rPr>
        <w:t>Wetboek van Burgerlijke</w:t>
      </w:r>
      <w:r>
        <w:rPr>
          <w:rFonts w:ascii="Arial" w:cs="Arial" w:eastAsia="Arial" w:hAnsi="Arial"/>
          <w:sz w:val="16"/>
          <w:szCs w:val="16"/>
          <w:color w:val="auto"/>
        </w:rPr>
        <w:t xml:space="preserve"> </w:t>
      </w:r>
      <w:r>
        <w:rPr>
          <w:rFonts w:ascii="Arial" w:cs="Arial" w:eastAsia="Arial" w:hAnsi="Arial"/>
          <w:sz w:val="16"/>
          <w:szCs w:val="16"/>
          <w:i w:val="1"/>
          <w:iCs w:val="1"/>
          <w:color w:val="auto"/>
        </w:rPr>
        <w:t>Rechtsvordering</w:t>
      </w:r>
      <w:r>
        <w:rPr>
          <w:rFonts w:ascii="Arial" w:cs="Arial" w:eastAsia="Arial" w:hAnsi="Arial"/>
          <w:sz w:val="16"/>
          <w:szCs w:val="16"/>
          <w:color w:val="auto"/>
        </w:rPr>
        <w:t>). The Enterprise Chamber may grant the claim for squeeze-out in relation to the other shareholders and will determine the price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Dissolution and Liquidation</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debts, if any preferred shares are or have been outstanding, a liquidation distribution equal to the preferred dividend is first paid out to the holders or former holders of those preferred shares (to the extent they are entitled to such distribution under our Articles of Association). Any remaining assets shall be distributed to the holders of ordinary shares in proportion to their ordinary shares.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Our Articles of Association provide that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This choice of forum provision may limit 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320" w:top="459" w:right="3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Corporate Governance Code</w:t>
      </w:r>
    </w:p>
    <w:p>
      <w:pPr>
        <w:spacing w:after="0" w:line="121"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As a listed Dutch public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we will be subject to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statutory annual reports, filed in the Netherlands, whether they comply with the provisions of the DCGC. If they do not comply with these provisions (for example, because of a conflicting Nasdaq requirement), the Company is required to give the reasons for such noncompliance. See “Risk Factors—Risks Related to Our Ordinary Shares and This Offering—We are not obligated to, and do not, comply with all best practice provisions of the Dutch Corporate Governance Code.”</w:t>
      </w:r>
    </w:p>
    <w:p>
      <w:pPr>
        <w:spacing w:after="0" w:line="195"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We do not comply with all principles and best practice provisions of the DCGC. As of the date of this prospectus, we deviate from the DCGC as summarized below, but cannot exclude the possibility of deviating from additional provisions of the DCGC, including after the date hereof in order to follow market practice or governance practices in the United States.</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will provide that the general meeting can only pass such resolution by a two-thirds majority representing more than half of the issued share capital. However, the DCGC recommends that the general meeting can pass such a resolution by simple majority, representing no more than one-third of the issued share capital.</w:t>
      </w:r>
    </w:p>
    <w:p>
      <w:pPr>
        <w:spacing w:after="0" w:line="17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our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DCGC recommends against providing equity awards as part of the compensation of a non-executive director. However, we expect to deviate from this recommendation and grant equity awards to our non-executive directors, consistent with U.S. market practice.</w:t>
      </w:r>
    </w:p>
    <w:p>
      <w:pPr>
        <w:spacing w:after="0" w:line="170"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color w:val="auto"/>
        </w:rPr>
        <w:t>Our Equity Incentive Plan allows us to set the terms and conditions of equity awards granted thereunder. Under the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80"/>
          </w:cols>
          <w:pgMar w:left="320" w:top="459" w:right="3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Financial Reporting Supervision Act</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On the basis of the Dutch Financial Reporting Supervision Act (</w:t>
      </w:r>
      <w:r>
        <w:rPr>
          <w:rFonts w:ascii="Arial" w:cs="Arial" w:eastAsia="Arial" w:hAnsi="Arial"/>
          <w:sz w:val="18"/>
          <w:szCs w:val="18"/>
          <w:i w:val="1"/>
          <w:iCs w:val="1"/>
          <w:color w:val="auto"/>
        </w:rPr>
        <w:t>Wet toezicht financiële verslaggeving</w:t>
      </w:r>
      <w:r>
        <w:rPr>
          <w:rFonts w:ascii="Arial" w:cs="Arial" w:eastAsia="Arial" w:hAnsi="Arial"/>
          <w:sz w:val="18"/>
          <w:szCs w:val="18"/>
          <w:color w:val="auto"/>
        </w:rPr>
        <w:t>), or the FRSA, the Dutch Authority for the Financial Markets (</w:t>
      </w:r>
      <w:r>
        <w:rPr>
          <w:rFonts w:ascii="Arial" w:cs="Arial" w:eastAsia="Arial" w:hAnsi="Arial"/>
          <w:sz w:val="18"/>
          <w:szCs w:val="18"/>
          <w:i w:val="1"/>
          <w:iCs w:val="1"/>
          <w:color w:val="auto"/>
        </w:rPr>
        <w:t>Stichting Autoriteit Financiële Markten</w:t>
      </w:r>
      <w:r>
        <w:rPr>
          <w:rFonts w:ascii="Arial" w:cs="Arial" w:eastAsia="Arial" w:hAnsi="Arial"/>
          <w:sz w:val="18"/>
          <w:szCs w:val="18"/>
          <w:color w:val="auto"/>
        </w:rPr>
        <w:t>), or AFM supervises the application of financial reporting standards by Dutch companies whose securities are listed on a Dutch or foreign stock exchange.</w:t>
      </w:r>
    </w:p>
    <w:p>
      <w:pPr>
        <w:spacing w:after="0" w:line="184"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Pursuant to the FRSA, the AFM has an independent right to (i) request an explanation from us regarding our application of the applicable financial reporting standards if, based on publicly known facts or circumstances, it has reason to doubt that the Company’s financial reporting meets such standards and (ii) recommend to us the making available of further explanations. If we do not comply with such a request or recommendation, the AFM may request that the Enterprise Chamber of the Amsterdam Court of Appeal (</w:t>
      </w:r>
      <w:r>
        <w:rPr>
          <w:rFonts w:ascii="Arial" w:cs="Arial" w:eastAsia="Arial" w:hAnsi="Arial"/>
          <w:sz w:val="17"/>
          <w:szCs w:val="17"/>
          <w:i w:val="1"/>
          <w:iCs w:val="1"/>
          <w:color w:val="auto"/>
        </w:rPr>
        <w:t>Ondernemingskamer</w:t>
      </w:r>
      <w:r>
        <w:rPr>
          <w:rFonts w:ascii="Arial" w:cs="Arial" w:eastAsia="Arial" w:hAnsi="Arial"/>
          <w:sz w:val="17"/>
          <w:szCs w:val="17"/>
          <w:color w:val="auto"/>
        </w:rPr>
        <w:t>)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Dutch Corporate Law and U.S. Corporate Law</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Duties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We have a one-tier board structure consisting of one or more executive directors and one or more non-executive directors.</w:t>
      </w:r>
    </w:p>
    <w:p>
      <w:pPr>
        <w:spacing w:after="0" w:line="23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Under Dutch law, the board of directors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of directors.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of directors regarding a material change in our identity or character requires approval of the general meeting.</w:t>
      </w:r>
    </w:p>
    <w:p>
      <w:pPr>
        <w:spacing w:after="0" w:line="165"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board of directors bears the ultimate responsibility for managing the business and affairs of a corporation. In discharging this</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Director terms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The DCGC provides the following best practice recommendations on the terms for directors’ service:</w:t>
      </w:r>
    </w:p>
    <w:p>
      <w:pPr>
        <w:spacing w:after="0" w:line="131" w:lineRule="exact"/>
        <w:rPr>
          <w:sz w:val="20"/>
          <w:szCs w:val="20"/>
          <w:color w:val="auto"/>
        </w:rPr>
      </w:pPr>
    </w:p>
    <w:p>
      <w:pPr>
        <w:ind w:left="1000" w:right="340" w:hanging="547"/>
        <w:spacing w:after="0" w:line="277"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Executive directors should be appointed for a maximum period of four years, without limiting the number of consecutive terms executive directors may serve.</w:t>
      </w:r>
    </w:p>
    <w:p>
      <w:pPr>
        <w:spacing w:after="0" w:line="75" w:lineRule="exact"/>
        <w:rPr>
          <w:rFonts w:ascii="Arial" w:cs="Arial" w:eastAsia="Arial" w:hAnsi="Arial"/>
          <w:sz w:val="18"/>
          <w:szCs w:val="18"/>
          <w:color w:val="auto"/>
        </w:rPr>
      </w:pPr>
    </w:p>
    <w:p>
      <w:pPr>
        <w:ind w:left="1000" w:right="40" w:hanging="547"/>
        <w:spacing w:after="0" w:line="311" w:lineRule="auto"/>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in the event of reappointment after an eight-year term of office the reasons for such reappointment should be disclosed in the Company’s statutory annual Board report.</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general meeting shall at all times be entitled to suspend or remove a director. Under our Articles of Association, the general meeting may only adopt a resolution to suspend or remove such director by at least a two-thirds majority of the votes cast, provided such majority represents more than half of the issued share capital, unless the resolution is passed at the proposal of the board of directors, in which case a simple majority of the votes cast is sufficient.</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provides for a one-year term for directors, but permits directorships to be divided into</w:t>
      </w:r>
      <w:r>
        <w:rPr>
          <w:rFonts w:ascii="Arial" w:cs="Arial" w:eastAsia="Arial" w:hAnsi="Arial"/>
          <w:sz w:val="18"/>
          <w:szCs w:val="18"/>
          <w:i w:val="1"/>
          <w:iCs w:val="1"/>
          <w:color w:val="auto"/>
        </w:rPr>
        <w:t xml:space="preserve"> </w:t>
      </w:r>
      <w:r>
        <w:rPr>
          <w:rFonts w:ascii="Arial" w:cs="Arial" w:eastAsia="Arial" w:hAnsi="Arial"/>
          <w:sz w:val="18"/>
          <w:szCs w:val="18"/>
          <w:color w:val="auto"/>
        </w:rPr>
        <w:t>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Director vacancies</w:t>
      </w:r>
    </w:p>
    <w:p>
      <w:pPr>
        <w:spacing w:after="0" w:line="117"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Our Board can temporarily fill vacancies in its midst caused by temporary absence or incapacity of directors without requiring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vote. If all of our directors are absent or incapacitated, our management shall be attributed to the person who most recently ceased to hold office as the chairman of our Board. If such former chairman would be unwilling or unable to accept that position, our management would be attributed to the person who most recently ceased to hold office as our chief executive officer. If such former chief executive officer would also be unwilling or unable to accept that position, our management would be attributed to one or more persons whom the general meeting would designate for that purpose. The person(s) charged with our management in this manner, may designate one or more persons to be charged with our management instead of, or together with, such person(s).</w:t>
      </w:r>
    </w:p>
    <w:p>
      <w:pPr>
        <w:spacing w:after="0" w:line="19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Under Dutch law, directors are appointed and reappointed by the general meeting, on a recommendation of our nomination and corporate governance committee. Under our Articles of Association, directors are appointed by the general meeting upon the binding nomination by our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8" w:lineRule="exact"/>
        <w:rPr>
          <w:sz w:val="20"/>
          <w:szCs w:val="20"/>
          <w:color w:val="auto"/>
        </w:rPr>
      </w:pPr>
    </w:p>
    <w:p>
      <w:pPr>
        <w:ind w:right="320" w:firstLine="449"/>
        <w:spacing w:after="0" w:line="29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Delaware General Corporation Law provides that vacancies and newly created directorships may be filled by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then in office (even though less than a quorum) unless (i) otherwise provided in the certificate of incorporation or bylaws of the corporation or</w:t>
      </w:r>
    </w:p>
    <w:p>
      <w:pPr>
        <w:ind w:right="100" w:firstLine="8"/>
        <w:spacing w:after="0" w:line="260"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Conflict-of-interest transactions</w:t>
      </w:r>
    </w:p>
    <w:p>
      <w:pPr>
        <w:spacing w:after="0" w:line="11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and our Articles of Association, our directors shall not take part in any discussion or decision-making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case, each director is entitled to participate in the discussion and decision-making process and to cast a vote.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DCGC provides the following best practice recommendations in relation to conflicts of interests:</w:t>
      </w:r>
    </w:p>
    <w:p>
      <w:pPr>
        <w:spacing w:after="0" w:line="131" w:lineRule="exact"/>
        <w:rPr>
          <w:sz w:val="20"/>
          <w:szCs w:val="20"/>
          <w:color w:val="auto"/>
        </w:rPr>
      </w:pPr>
    </w:p>
    <w:p>
      <w:pPr>
        <w:ind w:left="1000" w:right="560" w:hanging="547"/>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director should report any potential conflict of interest in a transaction that is of material significance to the Company and/or to such director to the other directors without delay, providing all relevant information in relation to the conflict;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of directors should then decide, outside the presence of the director concerned, whether there is a conflict of interest;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transactions in which there is a conflict of interest with a director should be agreed on arms’ length terms; and</w:t>
      </w:r>
    </w:p>
    <w:p>
      <w:pPr>
        <w:spacing w:after="0" w:line="130" w:lineRule="exact"/>
        <w:rPr>
          <w:rFonts w:ascii="Arial" w:cs="Arial" w:eastAsia="Arial" w:hAnsi="Arial"/>
          <w:sz w:val="18"/>
          <w:szCs w:val="18"/>
          <w:color w:val="auto"/>
        </w:rPr>
      </w:pPr>
    </w:p>
    <w:p>
      <w:pPr>
        <w:jc w:val="both"/>
        <w:ind w:left="1000" w:hanging="547"/>
        <w:spacing w:after="0" w:line="263"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decision to enter into such a transaction in which there is a conflict of interest with a director that is of material significance to the Company and/or to such director shall require the approval of the board of directors, and such transactions should be disclosed in the Company’s annual board report.</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transactions involving a Delaware corporation and an interested director of that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would not be voidable if:</w:t>
      </w:r>
    </w:p>
    <w:p>
      <w:pPr>
        <w:spacing w:after="0" w:line="76" w:lineRule="exact"/>
        <w:rPr>
          <w:sz w:val="20"/>
          <w:szCs w:val="20"/>
          <w:color w:val="auto"/>
        </w:rPr>
      </w:pPr>
    </w:p>
    <w:p>
      <w:pPr>
        <w:ind w:left="1000" w:right="460" w:hanging="547"/>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material facts are disclosed or known as to the director’s relationship or interest and the transaction is specifically approved in good faith by vote of the majority of shares entitled to vote thereon; or</w:t>
      </w:r>
    </w:p>
    <w:p>
      <w:pPr>
        <w:spacing w:after="0" w:line="75"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Proxy voting by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An absent director may issue a proxy for a specific board meeting but only to another director in writing or by electronic means.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In accordance with Dutch law and our Articles of Association, each issued ordinary share and each issued preferred share confers</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cast one vote at the general meeting. Each holder of shares may cast as many votes as it holds shares. No votes may be cast on shares that are held by us or our direct or indirect subsidiaries or on shares for which we or our subsidiaries hold depository receipts. Nonetheless,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459" w:right="3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holders of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w:t>
      </w:r>
    </w:p>
    <w:p>
      <w:pPr>
        <w:spacing w:after="0" w:line="17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accordance with our Articles of Association, 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77" w:lineRule="exact"/>
        <w:rPr>
          <w:sz w:val="20"/>
          <w:szCs w:val="20"/>
          <w:color w:val="auto"/>
        </w:rPr>
      </w:pPr>
    </w:p>
    <w:p>
      <w:pPr>
        <w:ind w:right="320" w:firstLine="449"/>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Pursuant to our Articles of Association, extraordinary general meetings will be held whenever required under Dutch law or</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our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our Board has not taken the steps necessary to ensure that such meeting can be held within six weeks after the request, the requesting party or parties may, on their application, be authorized by the competent Dutch court in preliminary relief proceedings to convene a general meeting.</w:t>
      </w:r>
    </w:p>
    <w:p>
      <w:pPr>
        <w:spacing w:after="0" w:line="16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the Board at least 60 days before the day of the meeting.</w:t>
      </w:r>
    </w:p>
    <w:p>
      <w:pPr>
        <w:spacing w:after="0" w:line="187" w:lineRule="exact"/>
        <w:rPr>
          <w:sz w:val="20"/>
          <w:szCs w:val="20"/>
          <w:color w:val="auto"/>
        </w:rPr>
      </w:pPr>
    </w:p>
    <w:p>
      <w:pPr>
        <w:jc w:val="both"/>
        <w:ind w:right="380" w:firstLine="449"/>
        <w:spacing w:after="0" w:line="311" w:lineRule="auto"/>
        <w:rPr>
          <w:sz w:val="20"/>
          <w:szCs w:val="20"/>
          <w:color w:val="auto"/>
        </w:rPr>
      </w:pPr>
      <w:r>
        <w:rPr>
          <w:rFonts w:ascii="Arial" w:cs="Arial" w:eastAsia="Arial" w:hAnsi="Arial"/>
          <w:sz w:val="16"/>
          <w:szCs w:val="16"/>
          <w:color w:val="auto"/>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66"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Delaware law does not specifically grant stockholders the right to bring business before an annual or special meeting. Delaware law</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Under Dutch law, shareholders’ resolutions may be adopted in writing without holding a meeting of shareholders, provided that</w:t>
      </w:r>
    </w:p>
    <w:p>
      <w:pPr>
        <w:spacing w:after="0" w:line="46" w:lineRule="exact"/>
        <w:rPr>
          <w:sz w:val="20"/>
          <w:szCs w:val="20"/>
          <w:color w:val="auto"/>
        </w:rPr>
      </w:pPr>
    </w:p>
    <w:p>
      <w:pPr>
        <w:ind w:right="420" w:firstLine="8"/>
        <w:spacing w:after="0" w:line="253" w:lineRule="auto"/>
        <w:tabs>
          <w:tab w:leader="none" w:pos="2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93"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Subject to certain exceptions, Dutch law does not recognize the concept of appraisal or dissenters’ rights. However, Dutch law does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92"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 judicially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fair value of the stockholder’s shares, in connection with certain mergers and consolidations.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In the event a third-party is liable to a Dutch company, only the Company itself can bring a civil action against that party. The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459"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6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 stockholder may bring a derivative action on behalf of the corporation to enforce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when issuing shares, a public company with limited liability such as ours may not subscribe for newly issued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in its own capital. Such company may, however, subject to certain restrictions of Dutch law and its Articles of Association, acquire shares in its own capital. A listed public company with limited liability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paid-up and called-up share capital plus any reserves required by Dutch law or its Articles of Association and (ii) the aggregate nominal value of shares of the company which the company acquires, holds or on which the company holds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 current issued share capital. Such company may only acquire its own shares if its general meeting has granted the board of directors the authority to effect such acquisitions.</w:t>
      </w:r>
    </w:p>
    <w:p>
      <w:pPr>
        <w:spacing w:after="0" w:line="181"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Prior to the consummation of this offering, our Board will be authorized, for a period of 18 months after our conversion into Pharvaris N.V., to cause the repurchase of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ordinary shares are acquired by us with the intention of transferring such ordinary shares to our employees under an applicable employee stock purchase plan.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9"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Our Board will also be authorized, for a period of 18 months after our conversion into Pharvaris N.V. to cause the repurchase of preferred shares, for a price which is higher than nil and does not exceed the nominal value thereof.</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 corporation may generally purchase or redeem its own shares unless the capital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17"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Under Dutch law, various protective measures are possible and permissible within the boundaries set by Dutch law and Dutch case</w:t>
      </w:r>
      <w:r>
        <w:rPr>
          <w:rFonts w:ascii="Arial" w:cs="Arial" w:eastAsia="Arial" w:hAnsi="Arial"/>
          <w:sz w:val="16"/>
          <w:szCs w:val="16"/>
          <w:i w:val="1"/>
          <w:iCs w:val="1"/>
          <w:color w:val="auto"/>
        </w:rPr>
        <w:t xml:space="preserve"> </w:t>
      </w:r>
      <w:r>
        <w:rPr>
          <w:rFonts w:ascii="Arial" w:cs="Arial" w:eastAsia="Arial" w:hAnsi="Arial"/>
          <w:sz w:val="16"/>
          <w:szCs w:val="16"/>
          <w:color w:val="auto"/>
        </w:rPr>
        <w:t>law. We have adopted several provisions that may have the effect of making a takeover of our Company more difficult or less attractive, including:</w:t>
      </w:r>
    </w:p>
    <w:p>
      <w:pPr>
        <w:spacing w:after="0" w:line="29" w:lineRule="exact"/>
        <w:rPr>
          <w:sz w:val="20"/>
          <w:szCs w:val="20"/>
          <w:color w:val="auto"/>
        </w:rPr>
      </w:pPr>
    </w:p>
    <w:p>
      <w:pPr>
        <w:ind w:left="1000" w:right="80" w:hanging="547"/>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authorization of a class of preferred shares that may be issued to a protective foundation pursuant to a call option to that effect, see “Risk Factors—Dutch corporate law and our Articles of Association contain or may contain provisions that may discourage, delay or prevent a takeover attempt, which could adversely affect the price of our ordinary shares”;</w:t>
      </w:r>
    </w:p>
    <w:p>
      <w:pPr>
        <w:spacing w:after="0" w:line="89"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provision that our directors may only be removed at the general meeting by a two-thirds majority of votes cast representing more than half of our issued share capital if such removal is not proposed by our Board;</w:t>
      </w:r>
    </w:p>
    <w:p>
      <w:pPr>
        <w:spacing w:after="0" w:line="75" w:lineRule="exact"/>
        <w:rPr>
          <w:rFonts w:ascii="Arial" w:cs="Arial" w:eastAsia="Arial" w:hAnsi="Arial"/>
          <w:sz w:val="18"/>
          <w:szCs w:val="18"/>
          <w:color w:val="auto"/>
        </w:rPr>
      </w:pPr>
    </w:p>
    <w:p>
      <w:pPr>
        <w:ind w:left="1000" w:right="240" w:hanging="547"/>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89"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provision which allows the former chairman of our Board or our former chief executive officer to be charged with our management if all of our directors are absent or incapacitated; and</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requirements that certain matters, including an amendment of our Articles of Association, may only be brought to our shareholders for a vote upon a proposal by our Board.</w:t>
      </w:r>
    </w:p>
    <w:p>
      <w:pPr>
        <w:spacing w:after="0" w:line="170"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In addition, Dutch law allows for staggered multi-year terms of our directors, as a result of which only part of our directors may be subject to appointment or re-appointment in any one year.</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In addition to other aspects of Delaware law governing fiduciary duties of directors during a potential takeover, the Delaware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Law also contains provisions that protect Delaware companies from hostile takeovers and from actions following the takeover by prohibiting some transactions once an acquirer has gained a significant holding in the corporation.</w:t>
      </w:r>
    </w:p>
    <w:p>
      <w:pPr>
        <w:spacing w:after="0" w:line="184"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71" w:lineRule="exact"/>
        <w:rPr>
          <w:sz w:val="20"/>
          <w:szCs w:val="20"/>
          <w:color w:val="auto"/>
        </w:rPr>
      </w:pPr>
    </w:p>
    <w:p>
      <w:pPr>
        <w:ind w:left="1000" w:right="12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320" w:top="459" w:right="3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20" w:hanging="547"/>
        <w:spacing w:after="0" w:line="263"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9" w:lineRule="exact"/>
        <w:rPr>
          <w:rFonts w:ascii="Arial" w:cs="Arial" w:eastAsia="Arial" w:hAnsi="Arial"/>
          <w:sz w:val="18"/>
          <w:szCs w:val="18"/>
          <w:color w:val="auto"/>
        </w:rPr>
      </w:pPr>
    </w:p>
    <w:p>
      <w:pPr>
        <w:ind w:left="1000" w:right="360" w:hanging="547"/>
        <w:spacing w:after="0" w:line="308"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Access to Books and Records</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The board of directors provides the general meeting, within a reasonable amount of time with all information that the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for the exercise of their powers, unless this would be contrary to an overriding interest of our Company. If the board of directors invokes such an overriding interest, it must give reasons.</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for any proper purpose certain of the corporation’s books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during the corporation’s usual hours of business.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right="280" w:firstLine="449"/>
        <w:spacing w:after="0" w:line="311" w:lineRule="auto"/>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Under our Articles of Association, the general meeting shall at all times be entitled to suspend or dismiss a director.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may only adopt a resolution to suspend or dismiss a director by at least a two-thirds majority of the votes cast, if such majority represents more than half of the issued share capital, unless the proposal was made by the board of directors, in which latter case a simple majority is sufficient.</w:t>
      </w:r>
    </w:p>
    <w:p>
      <w:pPr>
        <w:spacing w:after="0" w:line="14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director or the entire board of directors may be removed, with or without cause,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Shares</w:t>
      </w:r>
    </w:p>
    <w:p>
      <w:pPr>
        <w:spacing w:after="0" w:line="121"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Under Dutch law, a company’s general meeting is the corporate body authorized to resolve on the issuance of shares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granting of rights to subscribe for shares. The general meeting can delegate such authority to another corporate body of the company, such as the board of directors, for a period not exceeding five years; this authorization may only be extended from time to time for a maximum period of five years.</w:t>
      </w:r>
    </w:p>
    <w:p>
      <w:pPr>
        <w:spacing w:after="0" w:line="149"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color w:val="auto"/>
        </w:rPr>
        <w:t>Prior to the consummation of this offering, our Board will be authorized, for a period of five years after our conversion into Pharvaris N.V., to issue shares or grant rights to subscribe for shares up to our authorized share capital from time to time. We may not subscribe for our own shares on issue.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issuance of shares requires the board of directors to adopt a resolution or resolutions, authorizing the issuance, pursuant to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vested in the board of directors by the provisions of the Company’s certificate of incorporation.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in the event of an issuance of ordinary shares, each shareholder will have a pro rata preemptive right in</w:t>
      </w:r>
      <w:r>
        <w:rPr>
          <w:rFonts w:ascii="Arial" w:cs="Arial" w:eastAsia="Arial" w:hAnsi="Arial"/>
          <w:sz w:val="17"/>
          <w:szCs w:val="17"/>
          <w:i w:val="1"/>
          <w:iCs w:val="1"/>
          <w:color w:val="auto"/>
        </w:rPr>
        <w:t xml:space="preserve"> </w:t>
      </w:r>
      <w:r>
        <w:rPr>
          <w:rFonts w:ascii="Arial" w:cs="Arial" w:eastAsia="Arial" w:hAnsi="Arial"/>
          <w:sz w:val="17"/>
          <w:szCs w:val="17"/>
          <w:color w:val="auto"/>
        </w:rPr>
        <w:t>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 of directors. Our preferred shares carry no preemptive rights.</w:t>
      </w:r>
    </w:p>
    <w:p>
      <w:pPr>
        <w:spacing w:after="0" w:line="17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board of directors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the board of directors as the authorized body to do so requires a majority of not less than two-thirds of the votes cast, if less than one-half of our issued share capital is represented at the meeting.</w:t>
      </w:r>
    </w:p>
    <w:p>
      <w:pPr>
        <w:spacing w:after="0" w:line="18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Prior to the consummation of this offering, our Board will be authorized, for a period of five years after our conversion into Pharvaris N.V. to limit or exclude preemptive rights in relation to an issuance of shares or a grant of rights to subscribe for shares that the Board is authorized to resolve upon. See above under “—Issuance of Shares.”</w:t>
      </w:r>
    </w:p>
    <w:p>
      <w:pPr>
        <w:spacing w:after="0" w:line="184" w:lineRule="exact"/>
        <w:rPr>
          <w:sz w:val="20"/>
          <w:szCs w:val="20"/>
          <w:color w:val="auto"/>
        </w:rPr>
      </w:pPr>
    </w:p>
    <w:p>
      <w:pPr>
        <w:ind w:right="20" w:firstLine="449"/>
        <w:spacing w:after="0" w:line="30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stockholders have no preemptive rights to subscribe for additional issues of stock or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convertible into such stock unless, and to the extent that, such rights are expressly provided for in the certificate of incorporation.</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Dutch law provides that dividends may be distributed after adoption of the annual accounts by the general meeting from which it</w:t>
      </w:r>
      <w:r>
        <w:rPr>
          <w:rFonts w:ascii="Arial" w:cs="Arial" w:eastAsia="Arial" w:hAnsi="Arial"/>
          <w:sz w:val="16"/>
          <w:szCs w:val="16"/>
          <w:i w:val="1"/>
          <w:iCs w:val="1"/>
          <w:color w:val="auto"/>
        </w:rPr>
        <w:t xml:space="preserve"> </w:t>
      </w:r>
      <w:r>
        <w:rPr>
          <w:rFonts w:ascii="Arial" w:cs="Arial" w:eastAsia="Arial" w:hAnsi="Arial"/>
          <w:sz w:val="16"/>
          <w:szCs w:val="16"/>
          <w:color w:val="auto"/>
        </w:rPr>
        <w:t>appears that such dividend distribution is allowed. Moreover, dividends may be distributed only to the extent the shareholders’ equity exceeds the amount of the paid-up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paid-up and called-up issued share capital plus any reserves as described above as apparent from our financial statements. Under Dutch law, the Articles of Association may prescribe that the board of directors decide what portion of the profits are to be held as reserves.</w:t>
      </w:r>
    </w:p>
    <w:p>
      <w:pPr>
        <w:spacing w:after="0" w:line="16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Under the Articles of Association, first,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Any remaining profit is carried to the reserve as the board of directors determines. After reservation by the board of directors of any profit, the remaining profit will be at the disposal of the general meeting at the proposal of our Board for distribution on our ordinary shares, subject to the applicable restrictions of Dutch law. We only make a distribution of dividends to our shareholders after the adoption of our annual accounts demonstrating that such distribution is legally permitted. The board of directors is permitted, subject to certain requirements, to declare interim dividends without the approval of the general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board of directors.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4"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subject to any restrictions contained in the corporation’s certificate of incorporation,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 Vote on Certain Reorganizations</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Under Dutch law, the general meeting must approve resolutions of the board of directors relating to a significant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identity or the character of the Company or the business of the Company, which includes:</w:t>
      </w:r>
    </w:p>
    <w:p>
      <w:pPr>
        <w:spacing w:after="0" w:line="76" w:lineRule="exact"/>
        <w:rPr>
          <w:sz w:val="20"/>
          <w:szCs w:val="20"/>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third-party;</w:t>
      </w:r>
    </w:p>
    <w:p>
      <w:pPr>
        <w:spacing w:after="0" w:line="130" w:lineRule="exact"/>
        <w:rPr>
          <w:rFonts w:ascii="Arial" w:cs="Arial" w:eastAsia="Arial" w:hAnsi="Arial"/>
          <w:sz w:val="18"/>
          <w:szCs w:val="18"/>
          <w:color w:val="auto"/>
        </w:rPr>
      </w:pPr>
    </w:p>
    <w:p>
      <w:pPr>
        <w:ind w:left="1000" w:right="260" w:hanging="547"/>
        <w:spacing w:after="0" w:line="26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89" w:lineRule="exact"/>
        <w:rPr>
          <w:rFonts w:ascii="Arial" w:cs="Arial" w:eastAsia="Arial" w:hAnsi="Arial"/>
          <w:sz w:val="18"/>
          <w:szCs w:val="18"/>
          <w:color w:val="auto"/>
        </w:rPr>
      </w:pPr>
    </w:p>
    <w:p>
      <w:pPr>
        <w:jc w:val="both"/>
        <w:ind w:left="1000" w:right="60" w:hanging="547"/>
        <w:spacing w:after="0" w:line="311" w:lineRule="auto"/>
        <w:tabs>
          <w:tab w:leader="none" w:pos="1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49" w:lineRule="exact"/>
        <w:rPr>
          <w:sz w:val="20"/>
          <w:szCs w:val="20"/>
          <w:color w:val="auto"/>
        </w:rPr>
      </w:pPr>
    </w:p>
    <w:p>
      <w:pPr>
        <w:ind w:right="300" w:firstLine="449"/>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w:t>
      </w:r>
    </w:p>
    <w:p>
      <w:pPr>
        <w:ind w:firstLine="8"/>
        <w:spacing w:after="0" w:line="253" w:lineRule="auto"/>
        <w:tabs>
          <w:tab w:leader="none" w:pos="26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and our Articles of Association, we must adopt a compensation policy for our Board. Such compensation policy</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adopted by the general meeting upon the proposal of the board of directors. The board of directors determines the compensation of individual directors with due observance of the compensation policy. Our executive directors may not participate in the discussions or decision-making regarding the compensation of executive directors. A proposal by the board of directors with respect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459" w:right="3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schemes in the form of shares or rights to shares is submitted by the board of directors to the general meeting for its approval. This proposal must set out at least the maximum number of shares or rights to subscribe for shares to be granted to the board of directors and the criteria for granting or amendment.</w:t>
      </w:r>
    </w:p>
    <w:p>
      <w:pPr>
        <w:spacing w:after="0" w:line="184"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the stockholders do not generally have the right to approve the compensation policy for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the senior management of the corporation, although certain aspects of executive compensation may be subject to stockholder vote due to the provisions of U.S. federal securities and tax law, as well as exchange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adopted a code of ethics applicable to the board of directors and all employees.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ordinary shares on the Nasdaq Global Market under the symbol “PHVS.”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U.S. transfer agent and registrar for the ordinary shares is American Stock Transfer &amp; Trust Company, LLC.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ELIGIBLE FOR FUTURE SALE</w:t>
      </w:r>
    </w:p>
    <w:p>
      <w:pPr>
        <w:spacing w:after="0" w:line="229"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Prior to this offering, no public market existed for our ordinary shares. Future sales of ordinary shares in the public market after this offering, and the availability of ordinary shares for future sale, could adversely affect the market price of our ordinary shares prevailing from time to time. As described below, a significant number of currently outstanding ordinary shares will not be available for sale shortly after this offering due to contractual restrictions on transfers of ordinary shares. However, future sales of substantial numbers of our ordinary shares, or the perception that these sales could occur, could adversely affect prevailing market prices for our ordinary shares and could impair our future ability to raise equity capital.</w:t>
      </w:r>
    </w:p>
    <w:p>
      <w:pPr>
        <w:spacing w:after="0" w:line="16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Based on the number of ordinary shares outstanding on September 30, 2020, after giving effect to the closing of the Series C financing and upon completion of this offering and the conversion of all of our preferred shares into ordinary shares, 30,519,276 ordinary shares will be outstanding, assuming no exercise of outstanding options or the underwriters’ over-allotment option. All of the ordinary shares sold in this offering will be freely tradable without restrictions or further registration under the Securities Act, except for any ordinary shares sold to our “affiliates,” as that term is defined under Rule 144 under the Securities Act. 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promulgated under the Securities Act.</w:t>
      </w:r>
    </w:p>
    <w:p>
      <w:pPr>
        <w:spacing w:after="0" w:line="17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Additionally, of the options to purchase 1,572,295 ordinary shares outstanding as of January 1, 2021 and assuming no outstanding options or warrants are exercised and no exercise of the underwriters’ overallotment option, 409,795 options exercisable for 409,795 ordinary shares will be vested and eligible for sale 180 days after the date of this prospectus subject to Dutch law.</w:t>
      </w:r>
    </w:p>
    <w:p>
      <w:pPr>
        <w:spacing w:after="0" w:line="184"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Under the lock-up agreements described below and the provisions of Rules 144 and 701 under the Securities Act, and assuming no exercise of the underwriters’ overallotment option, these restricted securities will be available for sale in the public market as follows:</w:t>
      </w:r>
    </w:p>
    <w:p>
      <w:pPr>
        <w:spacing w:after="0" w:line="76" w:lineRule="exact"/>
        <w:rPr>
          <w:sz w:val="20"/>
          <w:szCs w:val="20"/>
          <w:color w:val="auto"/>
        </w:rPr>
      </w:pPr>
    </w:p>
    <w:p>
      <w:pPr>
        <w:ind w:left="1000" w:hanging="547"/>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approximately 6,950,000 ordinary shares will be eligible for immediate sale on the date of this prospectus; and</w:t>
      </w:r>
    </w:p>
    <w:p>
      <w:pPr>
        <w:spacing w:after="0" w:line="130"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30,519,276 ordinary shares will be eligible for sale upon the expiration of the lock-up and market standoff agreements 180 days after the date of this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ordinary shares held by our affiliates will remain subject to volume, manner of sale, and other resale limitations set forth in Rule 144, as described below and subject to Dutch law.</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following the expiration of the lock-up period, certain shareholders will have the right, subject to certain conditions, to require us to register the sale of their ordinary shares under federal securities laws. See “Related Party Transactions—Shareholders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In general, non-affiliate and affiliates, are entitled to sell their securities without registration with the SEC under an exemption from registration provided by Rule 144 under the Securities Act.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Non-Affiliates</w:t>
      </w:r>
    </w:p>
    <w:p>
      <w:pPr>
        <w:spacing w:after="0" w:line="11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76" w:lineRule="exact"/>
        <w:rPr>
          <w:sz w:val="20"/>
          <w:szCs w:val="20"/>
          <w:color w:val="auto"/>
        </w:rPr>
      </w:pPr>
    </w:p>
    <w:p>
      <w:pPr>
        <w:ind w:left="1000" w:right="40" w:hanging="547"/>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during the first year the person has held the shares, we are current in our Exchange Act reporting at the time of sale.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459" w:right="3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92" w:lineRule="exact"/>
        <w:rPr>
          <w:sz w:val="20"/>
          <w:szCs w:val="20"/>
          <w:color w:val="auto"/>
        </w:rPr>
      </w:pPr>
    </w:p>
    <w:p>
      <w:pPr>
        <w:ind w:left="1000" w:hanging="547"/>
        <w:spacing w:after="0" w:line="263"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 of the number of ordinary shares then outstanding, which will equal approximately 305,193 shares immediately after the consummation of this offering based on the number of ordinary shares outstanding as of September 30, 2020, after giving effect to the closing of the Series C financing and the conversion of all of our preferred shares into ordinary shares; or</w:t>
      </w:r>
    </w:p>
    <w:p>
      <w:pPr>
        <w:spacing w:after="0" w:line="89"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during the four calendar weeks preceding the filing of a notice on Form 144 with respect to the sale.</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 month holding period of Rule 144.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Rule 701 under the Securities Act, as in effect on the date of this prospectus, permits resales of ordinary shares in reliance upon Rule 144 but without compliance with certain restrictions of Rule 144, including the holding period requirement. Most of our employees, executive officers or directors who purchased ordinary shares under a written compensatory plan or contract may be entitled to rely on the resale provisions of Rule 701, but all holders of Rule 701 ordinary shares are required to wait until 90 days after the date of this prospectus before selling their ordinary shares subject also to Dutch law. However, all Rule 701 ordinary shares are subject to lockup agreements as described below and in the section of this prospectus titled “Underwriting” and will not become eligible for sale until the expiration of the restrictions set forth in those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to Purchase Ordinary Shares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intend to file a registration statement on Form S-8 under the U.S. Securities Act to register all ordinary shares issued or issuable pursuant to the exercise of outstanding options and other equity awards to purchase ordinary shares shortly after the date of this prospectus. This registration statement will become effective immediately upon filing. Ordinary shares covered by this registration statement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jc w:val="both"/>
        <w:ind w:right="60" w:firstLine="449"/>
        <w:spacing w:after="0" w:line="311" w:lineRule="auto"/>
        <w:rPr>
          <w:sz w:val="20"/>
          <w:szCs w:val="20"/>
          <w:color w:val="auto"/>
        </w:rPr>
      </w:pPr>
      <w:r>
        <w:rPr>
          <w:rFonts w:ascii="Arial" w:cs="Arial" w:eastAsia="Arial" w:hAnsi="Arial"/>
          <w:sz w:val="16"/>
          <w:szCs w:val="16"/>
          <w:color w:val="auto"/>
        </w:rPr>
        <w:t>Regulation S provides generally that sales made in offshore transactions are not subject to the registration or prospectus-delivery requirements of the Securities Act. Accordingly, restricted securities may be sold in offshore transactions in compliance with Regulation S. Offshore transactions are issuances of securities by an issuer, underwriters, affiliates of the issuer and individuals, outside of the United States. As such, the sale of shares by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459"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us, or our shareholders, outside of the United States could be an “offshore” transaction and not subject to the Securities Act registration requirements, in certain circumstances and subject to specified conditions.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the members of our Board, our Senior Management and certain of our other existing security holders have agreed, subject to specified exceptions, for a period of 180 days after the date of this prospectus without the prior written consent of Morgan Stanley &amp; Co. LLC, BofA Securities, Inc. and SVB Leerink LLC, not to directly or indirectly:</w:t>
      </w:r>
    </w:p>
    <w:p>
      <w:pPr>
        <w:spacing w:after="0" w:line="89" w:lineRule="exact"/>
        <w:rPr>
          <w:sz w:val="20"/>
          <w:szCs w:val="20"/>
          <w:color w:val="auto"/>
        </w:rPr>
      </w:pPr>
    </w:p>
    <w:p>
      <w:pPr>
        <w:ind w:left="1000" w:right="20" w:hanging="547"/>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or establish an open “put equivalent position” within the meaning of Rule 16a-1(h) under the Exchange Act;</w:t>
      </w:r>
    </w:p>
    <w:p>
      <w:pPr>
        <w:spacing w:after="0" w:line="75"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otherwise dispose of any ordinary shares or securities exchangeable or exercisable for or convertible into ordinary shares currently or hereafter owned either of record or beneficially; or</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restriction terminates after the close of trading of our ordinary shares on and including the 180th day after the date of this prospectus.</w:t>
      </w:r>
    </w:p>
    <w:p>
      <w:pPr>
        <w:spacing w:after="0" w:line="23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Morgan Stanley &amp; Co. LLC, BofA Securities, Inc. and SVB Leerink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ordinary shares prior to the expiration of the lock-up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200" w:firstLine="449"/>
        <w:spacing w:after="0" w:line="301" w:lineRule="auto"/>
        <w:rPr>
          <w:sz w:val="20"/>
          <w:szCs w:val="20"/>
          <w:color w:val="auto"/>
        </w:rPr>
      </w:pPr>
      <w:r>
        <w:rPr>
          <w:rFonts w:ascii="Arial" w:cs="Arial" w:eastAsia="Arial" w:hAnsi="Arial"/>
          <w:sz w:val="16"/>
          <w:szCs w:val="16"/>
          <w:color w:val="auto"/>
        </w:rPr>
        <w:t>At our request, the underwriters have reserved up to 5% of the ordinary shares offered by this prospectus, for sale at the initial public offering price through a directed share program to certain individuals, including our directors, officers, employees, and certain friends and family members of these persons. Shares purchased through the directed share program will not be subject to lockup restrictions with the underwriters, except in the case of shares purchased by any of our directors, officers or employees. For additional information, see the section titled “Underwriting—Directed Share Program.”</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AND DUTCH INCOME TAX CONSIDERATIONS</w:t>
      </w:r>
    </w:p>
    <w:p>
      <w:pPr>
        <w:spacing w:after="0" w:line="229"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The information presented under the caption “—Material U.S. Federal Income Tax Considerations to U.S. Holders” below is a discussion of material U.S. federal income tax considerations to a U.S. Holder (as defined below) of investing in our ordinary shares. The information presented under the caption “—Dutch Tax Consequences” is a discussion of the material Dutch tax consequences of investing in our ordinary shares.</w:t>
      </w:r>
    </w:p>
    <w:p>
      <w:pPr>
        <w:spacing w:after="0" w:line="165"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You should consult your tax advisor regarding the applicable tax consequences to you of investing in our ordinary shares under the laws of the United States (federal, state and local), the Netherlands, and any other applicable jurisdiction.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12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following is a discussion of the material U.S. federal income tax consequences to the U.S. Holders, as defined below, of owning and disposing of our ordinary shares. It does not describe all tax considerations that may be relevant to a particular person’s decision to acquire our ordinary shares. This discussion applies only to a U.S. Holder that purchases our ordinary shares in connection with this offering and holds such ordinary shares as capital assets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83" w:lineRule="exact"/>
        <w:rPr>
          <w:sz w:val="20"/>
          <w:szCs w:val="20"/>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or expatriated entities subject to Section 7874 of the Code;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holding ordinary shares as part of a hedging transaction, straddle, wash sale, conversion transaction or other integrated transaction or persons entering into a constructive sale with respect to ordinary shares;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entities classified as partnerships for U.S. federal income tax purposes or other pass-through entities or investors in such entities;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persons directly or indirectly acquiring ordinary shares in connection with the performance of services;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are subject to Section 451(b) of the Code;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ordinary shares (by vote or value);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 corporations, regulated investment companies, real estate investment trusts, real estate mortgage investment conduits;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w:t>
      </w:r>
    </w:p>
    <w:p>
      <w:pPr>
        <w:spacing w:after="0" w:line="225"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the U.S. federal income tax treatment of a partner will generally depend on the status of the partner and the activities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of the partner and the partnership. Partnerships holding ordinary shares and partners in such partnerships should consult their tax advisers as to the particular U.S. federal income tax consequences of owning and disposing of ordinary shares.</w:t>
      </w:r>
    </w:p>
    <w:p>
      <w:pPr>
        <w:spacing w:after="0" w:line="170"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00" w:right="320" w:hanging="547"/>
        <w:spacing w:after="0" w:line="263"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84" w:lineRule="exact"/>
        <w:rPr>
          <w:sz w:val="20"/>
          <w:szCs w:val="20"/>
          <w:color w:val="auto"/>
        </w:rPr>
      </w:pPr>
    </w:p>
    <w:p>
      <w:pPr>
        <w:ind w:right="340" w:firstLine="449"/>
        <w:spacing w:after="0" w:line="257" w:lineRule="auto"/>
        <w:rPr>
          <w:sz w:val="20"/>
          <w:szCs w:val="20"/>
          <w:color w:val="auto"/>
        </w:rPr>
      </w:pPr>
      <w:r>
        <w:rPr>
          <w:rFonts w:ascii="Arial" w:cs="Arial" w:eastAsia="Arial" w:hAnsi="Arial"/>
          <w:sz w:val="18"/>
          <w:szCs w:val="18"/>
          <w:color w:val="auto"/>
        </w:rPr>
        <w:t>THIS SUMMARY IS FOR GENERAL INFORMATION PURPOSES ONLY, AND IS NOT INTENDED TO BE, AND SHOULD NOT BE CONSTRUED TO BE, LEGAL OR TAX ADVICE TO ANY PARTICULAR HOLDER. PROSPECTIVE INVESTORS ARE URGED TO CONSULT THEIR TAX ADVISORS WITH REGARD TO THE APPLICATION OF THE U.S. FEDERAL INCOME TAX LAWS, AS WELL AS THE APPLICATION OF U.S. NON-INCOME TAX LAWS AND THE LAWS OF ANY STATE, LOCAL OR NON-U.S. JURISDICTION, IN LIGHT OF THEIR PARTICULAR SITUATION.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As discussed above under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not be eligible for the dividends-received deduction generally available to U.S. corporations under the United States Internal Revenue Code.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our expectations about the nature and amount of our income, assets and activities and the expected price of our ordinary shares in this offering, we do not believe we were a PFIC in 2019 and we do not expect to be a PFIC for our current taxable year or in the foreseeable future. In addition, we may, directly or indirectly, hold equity interests in other PFICs, or Lower-tier PFICs. Whether we or any of our subsidiaries will be a PFIC in 2020 or any future year is a factual determination that must be made annually at the close of each taxable year, and, thus, is subject to significant uncertainty, because among other things (i) a determination of whether a company is a PFIC must be made annually after the end of each taxable year and will depend on the composition of our income and assets and the market value of our assets from time to time and (ii) we will hold a substantial amount of cash following this offering, we cannot assure you that we will not be a PFIC for the current or any future taxable year. Accordingly, there can be no assurance that we will not be a PFIC in 2020 or any future taxable year and our United States tax counsel expresses no opinion regarding our PFIC status for any prior, current or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46"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w:t>
      </w:r>
    </w:p>
    <w:p>
      <w:pPr>
        <w:ind w:right="280" w:firstLine="8"/>
        <w:spacing w:after="0" w:line="260" w:lineRule="auto"/>
        <w:tabs>
          <w:tab w:leader="none" w:pos="2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disposition of shares of a Lower-tier PFIC, in each case as if the U.S. Holder held such shares directly, even if the U.S. Holder has not received the proceeds of those distributions or dispositions.</w:t>
      </w:r>
    </w:p>
    <w:p>
      <w:pPr>
        <w:spacing w:after="0" w:line="18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81" w:lineRule="exact"/>
        <w:rPr>
          <w:sz w:val="20"/>
          <w:szCs w:val="20"/>
          <w:color w:val="auto"/>
        </w:rPr>
      </w:pPr>
    </w:p>
    <w:p>
      <w:pPr>
        <w:ind w:right="100" w:firstLine="449"/>
        <w:spacing w:after="0" w:line="268" w:lineRule="auto"/>
        <w:rPr>
          <w:sz w:val="20"/>
          <w:szCs w:val="20"/>
          <w:color w:val="auto"/>
        </w:rPr>
      </w:pPr>
      <w:r>
        <w:rPr>
          <w:rFonts w:ascii="Arial" w:cs="Arial" w:eastAsia="Arial" w:hAnsi="Arial"/>
          <w:sz w:val="17"/>
          <w:szCs w:val="17"/>
          <w:color w:val="auto"/>
        </w:rPr>
        <w:t xml:space="preserve">A U.S. Holder can avoid certain of the adverse rules described above by making a mark-to-market election with respect to its ordinary shares,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ordinary shares are “marketable.” Ordinary shares will be marketable if they are “regularly traded” on a “qualified exchange”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84"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7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60" w:firstLine="449"/>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right="580" w:firstLine="8"/>
        <w:spacing w:after="0" w:line="260" w:lineRule="auto"/>
        <w:tabs>
          <w:tab w:leader="none" w:pos="2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The amount of any backup withholding from a payment to a U.S. Holder will be allowed as a credit against the U.S. Holder’s U.S. federal income tax liability and may entitle it to a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timely furnished to the IRS.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117"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9220"/>
        <w:spacing w:after="0"/>
        <w:rPr>
          <w:sz w:val="20"/>
          <w:szCs w:val="20"/>
          <w:color w:val="auto"/>
        </w:rPr>
      </w:pPr>
      <w:r>
        <w:rPr>
          <w:rFonts w:ascii="Arial" w:cs="Arial" w:eastAsia="Arial" w:hAnsi="Arial"/>
          <w:sz w:val="15"/>
          <w:szCs w:val="15"/>
          <w:b w:val="1"/>
          <w:bCs w:val="1"/>
          <w:color w:val="auto"/>
        </w:rPr>
        <w:t>Dutch Tax Consequences</w:t>
      </w:r>
    </w:p>
    <w:p>
      <w:pPr>
        <w:spacing w:after="0" w:line="156" w:lineRule="exact"/>
        <w:rPr>
          <w:sz w:val="20"/>
          <w:szCs w:val="20"/>
          <w:color w:val="auto"/>
        </w:rPr>
      </w:pPr>
    </w:p>
    <w:p>
      <w:pPr>
        <w:jc w:val="right"/>
        <w:ind w:right="9220"/>
        <w:spacing w:after="0"/>
        <w:rPr>
          <w:sz w:val="20"/>
          <w:szCs w:val="20"/>
          <w:color w:val="auto"/>
        </w:rPr>
      </w:pPr>
      <w:r>
        <w:rPr>
          <w:rFonts w:ascii="Arial" w:cs="Arial" w:eastAsia="Arial" w:hAnsi="Arial"/>
          <w:sz w:val="18"/>
          <w:szCs w:val="18"/>
          <w:b w:val="1"/>
          <w:bCs w:val="1"/>
          <w:i w:val="1"/>
          <w:iCs w:val="1"/>
          <w:color w:val="auto"/>
        </w:rPr>
        <w:t>Scope of Discussion</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To the extent this section consists of a statement as to matters of Dutch tax law, this section is the opinion of our Dutch counsel, NautaDutilh N.V., and outlines certain material Dutch tax consequences of the acquisition, holding and disposal of our ordinary shares. It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This section is based on the tax laws of the Netherlands, published regulations thereunder and published authoritative case law, all as in effect on the date hereof, and all of which are subject to change, possibly with retroactive effect. Where this section refers to “the Netherlands” or “Dutch” it refers only to the part of the Kingdom of the Netherlands located in Europe.</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THIS DISCUSSION IS FOR GENERAL INFORMATION PURPOSES ONLY AND IS NOT DUTCH TAX ADVICE OR A COMPLETE DESCRIPTION OF ALL DUTCH TAX CONSEQUENCES RELATING TO THE ACQUISITION, HOLDING AND DISPOSAL OF THE SHARES. HOLDERS OR PROSPECTIVE HOLDERS OF ORDINARY SHARES SHOULD CONSULT THEIR OWN TAX ADVISORS REGARDING THE DUTCH TAX CONSEQUENCES RELATING TO THE ACQUISITION, HOLDING AND DISPOSAL OF THE ORDINARY SHARES IN LIGHT OF THEIR PARTICULAR CIRCUMSTANCES.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131" w:lineRule="exact"/>
        <w:rPr>
          <w:sz w:val="20"/>
          <w:szCs w:val="20"/>
          <w:color w:val="auto"/>
        </w:rPr>
      </w:pPr>
    </w:p>
    <w:p>
      <w:pPr>
        <w:ind w:left="1000" w:right="40" w:hanging="317"/>
        <w:spacing w:after="0" w:line="289"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holders of our ordinary shares if such holders, and in the case of individuals, such holder’s partner or certain of its relatives by blood or marriage in the direct line (including foster children), have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w:t>
      </w:r>
      <w:r>
        <w:rPr>
          <w:rFonts w:ascii="Arial" w:cs="Arial" w:eastAsia="Arial" w:hAnsi="Arial"/>
          <w:sz w:val="16"/>
          <w:szCs w:val="16"/>
          <w:color w:val="auto"/>
        </w:rPr>
        <w:t xml:space="preserve"> </w:t>
      </w:r>
      <w:r>
        <w:rPr>
          <w:rFonts w:ascii="Arial" w:cs="Arial" w:eastAsia="Arial" w:hAnsi="Arial"/>
          <w:sz w:val="16"/>
          <w:szCs w:val="16"/>
          <w:i w:val="1"/>
          <w:iCs w:val="1"/>
          <w:color w:val="auto"/>
        </w:rPr>
        <w:t>aanmerkelijk belang</w:t>
      </w:r>
      <w:r>
        <w:rPr>
          <w:rFonts w:ascii="Arial" w:cs="Arial" w:eastAsia="Arial" w:hAnsi="Arial"/>
          <w:sz w:val="16"/>
          <w:szCs w:val="16"/>
          <w:color w:val="auto"/>
        </w:rPr>
        <w:t>) in us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speaking, a holder of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in a company is considered to hold a substantial interest in such company, if such holder alone or, in the case of individuals, together with such holder’s partner (as defined in the Dutch Income Tax Act 2001),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71" w:lineRule="exact"/>
        <w:rPr>
          <w:rFonts w:ascii="Arial" w:cs="Arial" w:eastAsia="Arial" w:hAnsi="Arial"/>
          <w:sz w:val="16"/>
          <w:szCs w:val="16"/>
          <w:color w:val="auto"/>
        </w:rPr>
      </w:pPr>
    </w:p>
    <w:p>
      <w:pPr>
        <w:ind w:left="1000" w:hanging="367"/>
        <w:spacing w:after="0" w:line="25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holders of our ordinary shares, if the ordinary shares held by such holders qualify or qualified as a participation (</w:t>
      </w:r>
      <w:r>
        <w:rPr>
          <w:rFonts w:ascii="Arial" w:cs="Arial" w:eastAsia="Arial" w:hAnsi="Arial"/>
          <w:sz w:val="18"/>
          <w:szCs w:val="18"/>
          <w:i w:val="1"/>
          <w:iCs w:val="1"/>
          <w:color w:val="auto"/>
        </w:rPr>
        <w:t>deelneming</w:t>
      </w:r>
      <w:r>
        <w:rPr>
          <w:rFonts w:ascii="Arial" w:cs="Arial" w:eastAsia="Arial" w:hAnsi="Arial"/>
          <w:sz w:val="18"/>
          <w:szCs w:val="18"/>
          <w:color w:val="auto"/>
        </w:rPr>
        <w:t>) for purposes of the Dutch Corporate Income Tax Act 1969 (</w:t>
      </w:r>
      <w:r>
        <w:rPr>
          <w:rFonts w:ascii="Arial" w:cs="Arial" w:eastAsia="Arial" w:hAnsi="Arial"/>
          <w:sz w:val="18"/>
          <w:szCs w:val="18"/>
          <w:i w:val="1"/>
          <w:iCs w:val="1"/>
          <w:color w:val="auto"/>
        </w:rPr>
        <w:t>Wet op de vennootschapsbelasting 1969</w:t>
      </w:r>
      <w:r>
        <w:rPr>
          <w:rFonts w:ascii="Arial" w:cs="Arial" w:eastAsia="Arial" w:hAnsi="Arial"/>
          <w:sz w:val="18"/>
          <w:szCs w:val="18"/>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93" w:lineRule="exact"/>
        <w:rPr>
          <w:rFonts w:ascii="Arial" w:cs="Arial" w:eastAsia="Arial" w:hAnsi="Arial"/>
          <w:sz w:val="18"/>
          <w:szCs w:val="18"/>
          <w:color w:val="auto"/>
        </w:rPr>
      </w:pPr>
    </w:p>
    <w:p>
      <w:pPr>
        <w:ind w:left="1000" w:right="20" w:hanging="417"/>
        <w:spacing w:after="0" w:line="25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pension funds, investment institutions (</w:t>
      </w:r>
      <w:r>
        <w:rPr>
          <w:rFonts w:ascii="Arial" w:cs="Arial" w:eastAsia="Arial" w:hAnsi="Arial"/>
          <w:sz w:val="18"/>
          <w:szCs w:val="18"/>
          <w:i w:val="1"/>
          <w:iCs w:val="1"/>
          <w:color w:val="auto"/>
        </w:rPr>
        <w:t>fiscale beleggingsinstellingen</w:t>
      </w:r>
      <w:r>
        <w:rPr>
          <w:rFonts w:ascii="Arial" w:cs="Arial" w:eastAsia="Arial" w:hAnsi="Arial"/>
          <w:sz w:val="18"/>
          <w:szCs w:val="18"/>
          <w:color w:val="auto"/>
        </w:rPr>
        <w:t>), exempt investment institutions (</w:t>
      </w:r>
      <w:r>
        <w:rPr>
          <w:rFonts w:ascii="Arial" w:cs="Arial" w:eastAsia="Arial" w:hAnsi="Arial"/>
          <w:sz w:val="18"/>
          <w:szCs w:val="18"/>
          <w:i w:val="1"/>
          <w:iCs w:val="1"/>
          <w:color w:val="auto"/>
        </w:rPr>
        <w:t>vrijgestelde beleggingsinstellingen</w:t>
      </w:r>
      <w:r>
        <w:rPr>
          <w:rFonts w:ascii="Arial" w:cs="Arial" w:eastAsia="Arial" w:hAnsi="Arial"/>
          <w:sz w:val="18"/>
          <w:szCs w:val="18"/>
          <w:color w:val="auto"/>
        </w:rPr>
        <w:t>) (as defined in the Dutch Corporate Income Tax Act 1969) and other entities that are, in whole or in part, not subject to or exempt from Dutch corporate income tax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60"/>
          </w:cols>
          <w:pgMar w:left="320" w:top="459"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60" w:hanging="396"/>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holders who may be deemed an owner of ordinary shares for Dutch tax purposes pursuant to specific statutory attribution rules in Dutch tax law;</w:t>
      </w:r>
    </w:p>
    <w:p>
      <w:pPr>
        <w:spacing w:after="0" w:line="75" w:lineRule="exact"/>
        <w:rPr>
          <w:rFonts w:ascii="Arial" w:cs="Arial" w:eastAsia="Arial" w:hAnsi="Arial"/>
          <w:sz w:val="18"/>
          <w:szCs w:val="18"/>
          <w:color w:val="auto"/>
        </w:rPr>
      </w:pPr>
    </w:p>
    <w:p>
      <w:pPr>
        <w:ind w:left="1000" w:hanging="346"/>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holders who are for Dutch tax purposes taxable as a corporate entity and resident of Aruba, Curaçao or Sint Maarten; and</w:t>
      </w:r>
    </w:p>
    <w:p>
      <w:pPr>
        <w:spacing w:after="0" w:line="130" w:lineRule="exact"/>
        <w:rPr>
          <w:rFonts w:ascii="Arial" w:cs="Arial" w:eastAsia="Arial" w:hAnsi="Arial"/>
          <w:sz w:val="18"/>
          <w:szCs w:val="18"/>
          <w:color w:val="auto"/>
        </w:rPr>
      </w:pPr>
    </w:p>
    <w:p>
      <w:pPr>
        <w:ind w:left="1000" w:right="500" w:hanging="407"/>
        <w:spacing w:after="0" w:line="263"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holders of our ordinary shares who are individuals for whom the ordinary shares or any benefit derived from the ordinary shares are a remuneration or deemed to be a remuneration for activities performed by such holders or certain individuals related to such holders (as defined in the Dutch Income Tax Act 2001).</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620" w:firstLine="449"/>
        <w:spacing w:after="0" w:line="342"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131" w:lineRule="exact"/>
        <w:rPr>
          <w:sz w:val="20"/>
          <w:szCs w:val="20"/>
          <w:color w:val="auto"/>
        </w:rPr>
      </w:pPr>
    </w:p>
    <w:p>
      <w:pPr>
        <w:ind w:left="1000" w:right="200" w:hanging="547"/>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75" w:lineRule="exact"/>
        <w:rPr>
          <w:rFonts w:ascii="Arial" w:cs="Arial" w:eastAsia="Arial" w:hAnsi="Arial"/>
          <w:sz w:val="18"/>
          <w:szCs w:val="18"/>
          <w:color w:val="auto"/>
        </w:rPr>
      </w:pPr>
    </w:p>
    <w:p>
      <w:pPr>
        <w:ind w:left="1000" w:right="200" w:hanging="547"/>
        <w:spacing w:after="0" w:line="263"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liquidation proceeds, proceeds of redemption of our ordinary shares, or proceeds of the repurchase of ordinary shares by us or one of our subsidiaries or other affiliated entities to the extent such proceeds exceed the average paid-in capital of those ordinary shares as recognized for purposes of Dutch dividend withholding tax;</w:t>
      </w:r>
    </w:p>
    <w:p>
      <w:pPr>
        <w:spacing w:after="0" w:line="89" w:lineRule="exact"/>
        <w:rPr>
          <w:rFonts w:ascii="Arial" w:cs="Arial" w:eastAsia="Arial" w:hAnsi="Arial"/>
          <w:sz w:val="18"/>
          <w:szCs w:val="18"/>
          <w:color w:val="auto"/>
        </w:rPr>
      </w:pPr>
    </w:p>
    <w:p>
      <w:pPr>
        <w:ind w:left="1000" w:right="80" w:hanging="547"/>
        <w:spacing w:after="0" w:line="308"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 amount equal to the par value of our ordinary shares issued or an increase of the par value of ordinary shares, to the extent that it does not appear that a contribution, recognized for purposes of Dutch dividend withholding tax, has been made or will be made; and</w:t>
      </w:r>
    </w:p>
    <w:p>
      <w:pPr>
        <w:spacing w:after="0" w:line="51" w:lineRule="exact"/>
        <w:rPr>
          <w:rFonts w:ascii="Arial" w:cs="Arial" w:eastAsia="Arial" w:hAnsi="Arial"/>
          <w:sz w:val="17"/>
          <w:szCs w:val="17"/>
          <w:color w:val="auto"/>
        </w:rPr>
      </w:pPr>
    </w:p>
    <w:p>
      <w:pPr>
        <w:ind w:left="1000" w:right="180" w:hanging="547"/>
        <w:spacing w:after="0" w:line="286"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partial repayment of the paid-in capital, recognized for purposes of Dutch dividend withholding tax, if and to the extent that we have net profits (</w:t>
      </w:r>
      <w:r>
        <w:rPr>
          <w:rFonts w:ascii="Arial" w:cs="Arial" w:eastAsia="Arial" w:hAnsi="Arial"/>
          <w:sz w:val="17"/>
          <w:szCs w:val="17"/>
          <w:i w:val="1"/>
          <w:iCs w:val="1"/>
          <w:color w:val="auto"/>
        </w:rPr>
        <w:t>zuivere winst</w:t>
      </w:r>
      <w:r>
        <w:rPr>
          <w:rFonts w:ascii="Arial" w:cs="Arial" w:eastAsia="Arial" w:hAnsi="Arial"/>
          <w:sz w:val="17"/>
          <w:szCs w:val="17"/>
          <w:color w:val="auto"/>
        </w:rPr>
        <w:t>), unless (i) the general meeting has resolved in advance to make such repayment and (ii) the par value of the ordinary shares concerned has been reduced by an equal amount by way of an amendment of the Articles of Association.</w:t>
      </w:r>
    </w:p>
    <w:p>
      <w:pPr>
        <w:spacing w:after="0" w:line="16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Individuals and corporate legal entities who are resident or deemed to be resident of the Netherlands for Dutch tax purposes (“Dutch Resident Individuals” and “Dutch Resident Entities,” as the case may be), generally are entitled to an exemption of or a credit for any Dutch dividend withholding tax against their income tax or corporate income tax liability and to a refund of any residual Dutch dividend withholding tax. The same generally applies to holders of ordinary shares that are neither resident nor deemed to be resident of the Netherlands if the ordinary shares are attributable to a Dutch permanent establishment of such non-resident holder.</w:t>
      </w:r>
    </w:p>
    <w:p>
      <w:pPr>
        <w:spacing w:after="0" w:line="18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or a double taxation convention in effect between the Netherlands and such other country.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Remittance to the Dutch tax authorities</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In general, we will be required to remit all amounts withheld as Dutch dividend withholding tax to the Dutch tax authorities. However, under certain circumstances, we are allowed to reduce the amount to be remitted to the Dutch tax authorities by the lesser of:</w:t>
      </w:r>
    </w:p>
    <w:p>
      <w:pPr>
        <w:spacing w:after="0" w:line="76" w:lineRule="exact"/>
        <w:rPr>
          <w:sz w:val="20"/>
          <w:szCs w:val="20"/>
          <w:color w:val="auto"/>
        </w:rPr>
      </w:pPr>
    </w:p>
    <w:p>
      <w:pPr>
        <w:ind w:left="5480" w:right="2900" w:hanging="5027"/>
        <w:spacing w:after="0" w:line="449" w:lineRule="auto"/>
        <w:tabs>
          <w:tab w:leader="none" w:pos="99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3% of the portion of the distribution paid by us that is subject to Dutch dividend withholding tax; and 185</w:t>
      </w:r>
    </w:p>
    <w:p>
      <w:pPr>
        <w:sectPr>
          <w:pgSz w:w="11900" w:h="16838" w:orient="portrait"/>
          <w:cols w:equalWidth="0" w:num="1">
            <w:col w:w="11200"/>
          </w:cols>
          <w:pgMar w:left="320" w:top="459" w:right="3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547"/>
        <w:spacing w:after="0" w:line="286" w:lineRule="auto"/>
        <w:tabs>
          <w:tab w:leader="none" w:pos="10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3% of the dividends and profit distributions, before deduction of foreign withholding taxes, received by us from qualifying foreign subsidiaries in the current calendar year (up to the date of the distribution) and the two preceding calendar years, as far as such dividends and profit distributions have not yet been taken into account for purposes of establishing the above mentioned reduction.</w:t>
      </w:r>
    </w:p>
    <w:p>
      <w:pPr>
        <w:spacing w:after="0" w:line="16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Although this reduces the amount of Dutch dividend withholding tax that we are required to remit to the Dutch tax authorities, it does not reduce the amount of tax that we are required to withhold on dividends distributed.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stripping</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Pursuant to legislation to counteract “dividend stripping”, a reduction, exemption, credit or refund of Dutch dividend withholding tax is denied if the recipient of the dividend is not the beneficial owner as described in the Dutch Dividend Withholding Tax Act 1965 (</w:t>
      </w:r>
      <w:r>
        <w:rPr>
          <w:rFonts w:ascii="Arial" w:cs="Arial" w:eastAsia="Arial" w:hAnsi="Arial"/>
          <w:sz w:val="18"/>
          <w:szCs w:val="18"/>
          <w:i w:val="1"/>
          <w:iCs w:val="1"/>
          <w:color w:val="auto"/>
        </w:rPr>
        <w:t>Wet op de dividendbelasting 1965</w:t>
      </w:r>
      <w:r>
        <w:rPr>
          <w:rFonts w:ascii="Arial" w:cs="Arial" w:eastAsia="Arial" w:hAnsi="Arial"/>
          <w:sz w:val="18"/>
          <w:szCs w:val="18"/>
          <w:color w:val="auto"/>
        </w:rPr>
        <w:t>).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Holders of Ordinary Shares Resident in the Netherlands: Individuals</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If the holder of our ordinary shares is an individual resident or deemed to be resident of the Netherlands for Dutch income tax purposes (a “Dutch Resident Individual”), any payment on the ordinary shares or any gain or loss realized on the disposal or deemed disposal of the ordinary shares is taxable at the progressive Dutch income tax rates (with a maximum of 49.50% in 2021), if:</w:t>
      </w:r>
    </w:p>
    <w:p>
      <w:pPr>
        <w:spacing w:after="0" w:line="89" w:lineRule="exact"/>
        <w:rPr>
          <w:sz w:val="20"/>
          <w:szCs w:val="20"/>
          <w:color w:val="auto"/>
        </w:rPr>
      </w:pPr>
    </w:p>
    <w:p>
      <w:pPr>
        <w:ind w:left="1000" w:right="320" w:hanging="317"/>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ordinary shares are attributable to an enterprise from which the holder of ordinary shares derives a share of the profit,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as a person who has a co-entitlement to the net worth (</w:t>
      </w:r>
      <w:r>
        <w:rPr>
          <w:rFonts w:ascii="Arial" w:cs="Arial" w:eastAsia="Arial" w:hAnsi="Arial"/>
          <w:sz w:val="18"/>
          <w:szCs w:val="18"/>
          <w:i w:val="1"/>
          <w:iCs w:val="1"/>
          <w:color w:val="auto"/>
        </w:rPr>
        <w:t>medegerechtigd tot het vermogen</w:t>
      </w:r>
      <w:r>
        <w:rPr>
          <w:rFonts w:ascii="Arial" w:cs="Arial" w:eastAsia="Arial" w:hAnsi="Arial"/>
          <w:sz w:val="18"/>
          <w:szCs w:val="18"/>
          <w:color w:val="auto"/>
        </w:rPr>
        <w:t>) of such enterprise without being a shareholder (as defined in the Dutch Income Tax Act 2001); or</w:t>
      </w:r>
    </w:p>
    <w:p>
      <w:pPr>
        <w:spacing w:after="0" w:line="89" w:lineRule="exact"/>
        <w:rPr>
          <w:rFonts w:ascii="Arial" w:cs="Arial" w:eastAsia="Arial" w:hAnsi="Arial"/>
          <w:sz w:val="18"/>
          <w:szCs w:val="18"/>
          <w:color w:val="auto"/>
        </w:rPr>
      </w:pPr>
    </w:p>
    <w:p>
      <w:pPr>
        <w:ind w:left="1000" w:hanging="367"/>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holder of ordinary shares is considered to perform activities with respect to the ordinary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derives benefits from the Shares that are taxable as benefits from other activities (</w:t>
      </w:r>
      <w:r>
        <w:rPr>
          <w:rFonts w:ascii="Arial" w:cs="Arial" w:eastAsia="Arial" w:hAnsi="Arial"/>
          <w:sz w:val="18"/>
          <w:szCs w:val="18"/>
          <w:i w:val="1"/>
          <w:iCs w:val="1"/>
          <w:color w:val="auto"/>
        </w:rPr>
        <w:t>resultaat uit overige</w:t>
      </w:r>
      <w:r>
        <w:rPr>
          <w:rFonts w:ascii="Arial" w:cs="Arial" w:eastAsia="Arial" w:hAnsi="Arial"/>
          <w:sz w:val="18"/>
          <w:szCs w:val="18"/>
          <w:color w:val="auto"/>
        </w:rPr>
        <w:t xml:space="preserve"> </w:t>
      </w:r>
      <w:r>
        <w:rPr>
          <w:rFonts w:ascii="Arial" w:cs="Arial" w:eastAsia="Arial" w:hAnsi="Arial"/>
          <w:sz w:val="18"/>
          <w:szCs w:val="18"/>
          <w:i w:val="1"/>
          <w:iCs w:val="1"/>
          <w:color w:val="auto"/>
        </w:rPr>
        <w:t>werkzaamheden</w:t>
      </w:r>
      <w:r>
        <w:rPr>
          <w:rFonts w:ascii="Arial" w:cs="Arial" w:eastAsia="Arial" w:hAnsi="Arial"/>
          <w:sz w:val="18"/>
          <w:szCs w:val="18"/>
          <w:color w:val="auto"/>
        </w:rPr>
        <w:t>).</w:t>
      </w:r>
    </w:p>
    <w:p>
      <w:pPr>
        <w:spacing w:after="0" w:line="184" w:lineRule="exact"/>
        <w:rPr>
          <w:sz w:val="20"/>
          <w:szCs w:val="20"/>
          <w:color w:val="auto"/>
        </w:rPr>
      </w:pPr>
    </w:p>
    <w:p>
      <w:pPr>
        <w:jc w:val="both"/>
        <w:ind w:right="160" w:firstLine="449"/>
        <w:spacing w:after="0" w:line="301" w:lineRule="auto"/>
        <w:rPr>
          <w:sz w:val="20"/>
          <w:szCs w:val="20"/>
          <w:color w:val="auto"/>
        </w:rPr>
      </w:pPr>
      <w:r>
        <w:rPr>
          <w:rFonts w:ascii="Arial" w:cs="Arial" w:eastAsia="Arial" w:hAnsi="Arial"/>
          <w:sz w:val="16"/>
          <w:szCs w:val="16"/>
          <w:color w:val="auto"/>
        </w:rPr>
        <w:t>If the above-mentioned conditions (i) and (ii) do not apply to the individual holder of our ordinary shares, such holder will be taxed annually on a deemed return (with a maximum of 5.69% in 2021) on the individual’s net investment assets (</w:t>
      </w:r>
      <w:r>
        <w:rPr>
          <w:rFonts w:ascii="Arial" w:cs="Arial" w:eastAsia="Arial" w:hAnsi="Arial"/>
          <w:sz w:val="16"/>
          <w:szCs w:val="16"/>
          <w:i w:val="1"/>
          <w:iCs w:val="1"/>
          <w:color w:val="auto"/>
        </w:rPr>
        <w:t>rendementsgrondslag</w:t>
      </w:r>
      <w:r>
        <w:rPr>
          <w:rFonts w:ascii="Arial" w:cs="Arial" w:eastAsia="Arial" w:hAnsi="Arial"/>
          <w:sz w:val="16"/>
          <w:szCs w:val="16"/>
          <w:color w:val="auto"/>
        </w:rPr>
        <w:t>) for the year, insofar the individual’s net investment assets for the year exceed a statutory threshold (</w:t>
      </w:r>
      <w:r>
        <w:rPr>
          <w:rFonts w:ascii="Arial" w:cs="Arial" w:eastAsia="Arial" w:hAnsi="Arial"/>
          <w:sz w:val="16"/>
          <w:szCs w:val="16"/>
          <w:i w:val="1"/>
          <w:iCs w:val="1"/>
          <w:color w:val="auto"/>
        </w:rPr>
        <w:t>heffingvrij vermogen</w:t>
      </w:r>
      <w:r>
        <w:rPr>
          <w:rFonts w:ascii="Arial" w:cs="Arial" w:eastAsia="Arial" w:hAnsi="Arial"/>
          <w:sz w:val="16"/>
          <w:szCs w:val="16"/>
          <w:color w:val="auto"/>
        </w:rPr>
        <w:t>). The deemed return on the individual’s net investment assets for the year is taxed at a rate of 31%. Actual income, gains or losses in respect of the ordinary shares are as such not subject to Dutch income tax.</w:t>
      </w:r>
    </w:p>
    <w:p>
      <w:pPr>
        <w:spacing w:after="0" w:line="157" w:lineRule="exact"/>
        <w:rPr>
          <w:sz w:val="20"/>
          <w:szCs w:val="20"/>
          <w:color w:val="auto"/>
        </w:rPr>
      </w:pPr>
    </w:p>
    <w:p>
      <w:pPr>
        <w:jc w:val="both"/>
        <w:ind w:right="380" w:firstLine="449"/>
        <w:spacing w:after="0" w:line="259" w:lineRule="auto"/>
        <w:rPr>
          <w:sz w:val="20"/>
          <w:szCs w:val="20"/>
          <w:color w:val="auto"/>
        </w:rPr>
      </w:pPr>
      <w:r>
        <w:rPr>
          <w:rFonts w:ascii="Arial" w:cs="Arial" w:eastAsia="Arial" w:hAnsi="Arial"/>
          <w:sz w:val="18"/>
          <w:szCs w:val="18"/>
          <w:color w:val="auto"/>
        </w:rPr>
        <w:t>The net investment assets for the year are the fair market value of the investment assets less the allowable liabilities on 1 January of the relevant calendar year. Our ordinary shares are included as investment assets. For the net investment assets on 1 January 2021, the deemed return ranges from 1.90% up to 5.69% (depending on the aggregate amount of the net investment assets of the individual on 1 January 2021). The deemed return will be adjusted annually on the basis of historic market yields.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320" w:top="459"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Holders of Ordinary Shares Resident in the Netherlands: Corporate Entities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Generally speaking, if the holder of ordinary shares is an entity that is a resident or deemed to be resident of the Netherlands for Dutch corporate income tax purposes (a “Dutch Resident Entity”), any payment under the ordinary shares or any gain or loss realized on the disposal or deemed disposal of the ordinary shares is subject to Dutch corporate income tax at a rate of 15% with respect to taxable profits up to €245,000 and 25% with respect to taxable profits in excess of that amount (rates and brackets for 2021).</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Holders of Ordinary Shares Resident Outside the Netherlands</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A holder of our ordinary shares that is neither a Dutch Resident Entity nor a Dutch Resident Individual will not be subject to Dutch taxes on income or capital gains in respect of any payment under our ordinary shares or in respect of any gain or loss realized on the disposal or deemed disposal of the ordinary shares, provided that:</w:t>
      </w:r>
    </w:p>
    <w:p>
      <w:pPr>
        <w:spacing w:after="0" w:line="89" w:lineRule="exact"/>
        <w:rPr>
          <w:sz w:val="20"/>
          <w:szCs w:val="20"/>
          <w:color w:val="auto"/>
        </w:rPr>
      </w:pPr>
    </w:p>
    <w:p>
      <w:pPr>
        <w:ind w:left="1000" w:right="20" w:hanging="317"/>
        <w:spacing w:after="0" w:line="259"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92" w:lineRule="exact"/>
        <w:rPr>
          <w:rFonts w:ascii="Arial" w:cs="Arial" w:eastAsia="Arial" w:hAnsi="Arial"/>
          <w:sz w:val="18"/>
          <w:szCs w:val="18"/>
          <w:color w:val="auto"/>
        </w:rPr>
      </w:pPr>
    </w:p>
    <w:p>
      <w:pPr>
        <w:ind w:left="1000" w:hanging="367"/>
        <w:spacing w:after="0" w:line="263"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other activities in the Netherlands.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Holders of Ordinary Shares Resident in the Netherlands</w:t>
      </w:r>
    </w:p>
    <w:p>
      <w:pPr>
        <w:spacing w:after="0" w:line="11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8"/>
          <w:szCs w:val="18"/>
          <w:i w:val="1"/>
          <w:iCs w:val="1"/>
          <w:color w:val="auto"/>
        </w:rPr>
        <w:t>’</w:t>
      </w:r>
      <w:r>
        <w:rPr>
          <w:rFonts w:ascii="Arial" w:cs="Arial" w:eastAsia="Arial" w:hAnsi="Arial"/>
          <w:sz w:val="18"/>
          <w:szCs w:val="18"/>
          <w:color w:val="auto"/>
        </w:rPr>
        <w:t>s death.</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Holders of Ordinary Shares Resident Outside the Netherlands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76" w:lineRule="exact"/>
        <w:rPr>
          <w:sz w:val="20"/>
          <w:szCs w:val="20"/>
          <w:color w:val="auto"/>
        </w:rPr>
      </w:pPr>
    </w:p>
    <w:p>
      <w:pPr>
        <w:ind w:left="1000" w:right="100" w:hanging="317"/>
        <w:spacing w:after="0" w:line="263"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89" w:lineRule="exact"/>
        <w:rPr>
          <w:rFonts w:ascii="Arial" w:cs="Arial" w:eastAsia="Arial" w:hAnsi="Arial"/>
          <w:sz w:val="18"/>
          <w:szCs w:val="18"/>
          <w:color w:val="auto"/>
        </w:rPr>
      </w:pPr>
    </w:p>
    <w:p>
      <w:pPr>
        <w:ind w:left="1000" w:right="440" w:hanging="367"/>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70"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Dutch value added tax will arise in respect of any payment in consideration for the holding or disposal of our ordinary shares.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Dutch registration tax, transfer tax, stamp duty or any other similar documentary tax or duty will be payable in the Netherlands in respect of any payment in consideration for the holding or disposal of our ordinary shares.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Residency</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 holder of our ordinary shares will not be treated as a resident, or a deemed resident, of the Netherlands by reason only of the acquisition, or the holding, of our ordinary shares or the performance by us under our ordinary shares.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JUDGMENTS</w:t>
      </w:r>
    </w:p>
    <w:p>
      <w:pPr>
        <w:spacing w:after="0" w:line="229"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The ability of shareholders in certain countries other than the Netherlands, in particular in the United States, to bring an action against us may be limited under Dutch law. We are incorporated under the laws of the Netherlands and have our statutory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Leiden, the Netherlands.</w:t>
      </w:r>
    </w:p>
    <w:p>
      <w:pPr>
        <w:spacing w:after="0" w:line="12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8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Arial" w:cs="Arial" w:eastAsia="Arial" w:hAnsi="Arial"/>
          <w:sz w:val="17"/>
          <w:szCs w:val="17"/>
          <w:i w:val="1"/>
          <w:iCs w:val="1"/>
          <w:color w:val="auto"/>
        </w:rPr>
        <w:t>Wetboek van Burgerlijke Rechtsvordering</w:t>
      </w:r>
      <w:r>
        <w:rPr>
          <w:rFonts w:ascii="Arial" w:cs="Arial" w:eastAsia="Arial" w:hAnsi="Arial"/>
          <w:sz w:val="17"/>
          <w:szCs w:val="17"/>
          <w:color w:val="auto"/>
        </w:rPr>
        <w:t>). Based on the foregoing, there can be no assurance that U.S. investors will be able to enforce any judgments obtained in U.S. courts in civil and commercial matters, including judgments under the U.S. federal securities laws.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BofA Securities, Inc. and SVB Leerink LLC are acting as representatives, have severally agreed to purchase, and we have agreed to sell to them, severally, the number of shares indicated below:</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120" w:type="dxa"/>
            <w:vAlign w:val="bottom"/>
            <w:vMerge w:val="restart"/>
          </w:tcPr>
          <w:p>
            <w:pPr>
              <w:spacing w:after="0"/>
              <w:rPr>
                <w:sz w:val="14"/>
                <w:szCs w:val="14"/>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7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Kempen &amp; Co U.S.A., Inc.</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6,950,000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ordinary shares subject to their acceptance of the shares from us and subject to prior sale. The underwriting agreement provides that the obligations of the several underwriters to pay for and accept delivery of the ordinary shares offered by this prospectus are subject to the approval of certain legal matters by their counsel and to certain other conditions. The underwriters are obligated to take and pay for all of the ordinary shares offered by this prospectus if any such shares are taken. However, the underwriters are not required to take or pay for the shares covered by the underwriters’ over-allotment option described below.</w:t>
      </w:r>
    </w:p>
    <w:p>
      <w:pPr>
        <w:spacing w:after="0" w:line="192"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Certain of the underwriters may offer and sell the ordinary shares through one or more of their respective affiliates or other registered broker-dealers or selling agents.</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underwriters initially propose to offer part of the ordinary shares directly to the public at the offering price listed on the cover page of this</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prospectus and part to certain dealers at a price that represents a concession not in excess of $ per share under the public offering price. After the initial offering of the ordinary shares, the offering price and other selling terms may from time to time be varied by the representatives.</w:t>
      </w:r>
    </w:p>
    <w:p>
      <w:pPr>
        <w:spacing w:after="0" w:line="16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1,042,500 additional ordinary shares at the public offering price listed on the cover page of this prospectus, less underwriting discounts and commissions. The underwriters may exercise this option solely for the purpose of covering over-allotments, if any, made in connection with the offering of the ordinary shares offered by this prospectus.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spacing w:after="0" w:line="17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1,042,500 ordinary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Per</w:t>
            </w:r>
          </w:p>
        </w:tc>
        <w:tc>
          <w:tcPr>
            <w:tcW w:w="7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8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7"/>
              </w:rPr>
              <w:t>No Exercise</w:t>
            </w:r>
          </w:p>
        </w:tc>
        <w:tc>
          <w:tcPr>
            <w:tcW w:w="82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Full Exercise</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7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16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16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2800" w:type="dxa"/>
            <w:vAlign w:val="bottom"/>
          </w:tcPr>
          <w:p>
            <w:pPr>
              <w:jc w:val="right"/>
              <w:ind w:right="1810"/>
              <w:spacing w:after="0"/>
              <w:rPr>
                <w:sz w:val="20"/>
                <w:szCs w:val="20"/>
                <w:color w:val="auto"/>
              </w:rPr>
            </w:pPr>
            <w:r>
              <w:rPr>
                <w:rFonts w:ascii="Arial" w:cs="Arial" w:eastAsia="Arial" w:hAnsi="Arial"/>
                <w:sz w:val="18"/>
                <w:szCs w:val="18"/>
                <w:color w:val="auto"/>
              </w:rPr>
              <w:t>190</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$2.5 million. We have agreed to reimburse the underwriters for expenses relating to clearance of this offering with the Financial Industry Regulatory Authority up to $35,000.</w:t>
      </w:r>
    </w:p>
    <w:p>
      <w:pPr>
        <w:spacing w:after="0" w:line="12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ordinary shares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ordinary shares on the Nasdaq Global Market under the symbol “PHVS.”</w:t>
      </w:r>
    </w:p>
    <w:p>
      <w:pPr>
        <w:spacing w:after="0" w:line="22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have agreed that, without the prior written consent of the representatives on behalf of the underwriters, we will not, and will not publicly disclose an intention to, during the period ending 180 days after the date of this prospectus (the restricted period):</w:t>
      </w:r>
    </w:p>
    <w:p>
      <w:pPr>
        <w:spacing w:after="0" w:line="76" w:lineRule="exact"/>
        <w:rPr>
          <w:sz w:val="20"/>
          <w:szCs w:val="20"/>
          <w:color w:val="auto"/>
        </w:rPr>
      </w:pPr>
    </w:p>
    <w:p>
      <w:pPr>
        <w:jc w:val="both"/>
        <w:ind w:left="1000" w:right="240" w:hanging="547"/>
        <w:spacing w:after="0" w:line="263"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w:t>
      </w:r>
    </w:p>
    <w:p>
      <w:pPr>
        <w:spacing w:after="0" w:line="89"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ordinary shares or any securities convertible into or exercisable or exchangeable for ordinary shares; or</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whether any such transaction described above is to be settled by delivery of ordinary shares or such other securities, in cash or otherwise.</w:t>
      </w:r>
    </w:p>
    <w:p>
      <w:pPr>
        <w:spacing w:after="0" w:line="22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The restrictions described in the immediately preceding paragraph do not apply to us in certain circumstances, subject to certain limitations and conditions set forth in the underwriting agreement, including:</w:t>
      </w:r>
    </w:p>
    <w:p>
      <w:pPr>
        <w:spacing w:after="0" w:line="62" w:lineRule="exact"/>
        <w:rPr>
          <w:sz w:val="20"/>
          <w:szCs w:val="20"/>
          <w:color w:val="auto"/>
        </w:rPr>
      </w:pPr>
    </w:p>
    <w:p>
      <w:pPr>
        <w:ind w:left="1080" w:hanging="19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issuance and sale of the ordinary shares in this offering;</w:t>
      </w:r>
    </w:p>
    <w:p>
      <w:pPr>
        <w:spacing w:after="0" w:line="117" w:lineRule="exact"/>
        <w:rPr>
          <w:rFonts w:ascii="Arial" w:cs="Arial" w:eastAsia="Arial" w:hAnsi="Arial"/>
          <w:sz w:val="18"/>
          <w:szCs w:val="18"/>
          <w:color w:val="auto"/>
        </w:rPr>
      </w:pPr>
    </w:p>
    <w:p>
      <w:pPr>
        <w:ind w:left="460" w:right="360" w:firstLine="428"/>
        <w:spacing w:after="0" w:line="277" w:lineRule="auto"/>
        <w:tabs>
          <w:tab w:leader="none" w:pos="108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issuance of our ordinary shares upon the exercise of an option, award, restricted stock unit or warrant or the conversion of a security outstanding on the date of this prospectus;</w:t>
      </w:r>
    </w:p>
    <w:p>
      <w:pPr>
        <w:spacing w:after="0" w:line="62" w:lineRule="exact"/>
        <w:rPr>
          <w:rFonts w:ascii="Arial" w:cs="Arial" w:eastAsia="Arial" w:hAnsi="Arial"/>
          <w:sz w:val="18"/>
          <w:szCs w:val="18"/>
          <w:color w:val="auto"/>
        </w:rPr>
      </w:pPr>
    </w:p>
    <w:p>
      <w:pPr>
        <w:ind w:left="460" w:right="100" w:firstLine="428"/>
        <w:spacing w:after="0" w:line="257" w:lineRule="auto"/>
        <w:tabs>
          <w:tab w:leader="none" w:pos="107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shareholder, officer or director of the Company pursuant to Rule 10b5-1 under the Exchange Act for the transfer of ordinary shares, provided that (i) such plan does not provide for the transfer of ordinary shares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may be made under such plan during the restricted period;</w:t>
      </w:r>
    </w:p>
    <w:p>
      <w:pPr>
        <w:spacing w:after="0" w:line="79" w:lineRule="exact"/>
        <w:rPr>
          <w:rFonts w:ascii="Arial" w:cs="Arial" w:eastAsia="Arial" w:hAnsi="Arial"/>
          <w:sz w:val="18"/>
          <w:szCs w:val="18"/>
          <w:color w:val="auto"/>
        </w:rPr>
      </w:pPr>
    </w:p>
    <w:p>
      <w:pPr>
        <w:ind w:left="1080" w:hanging="19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filing by us of any registration statement on Form S-8 (or any successor form) with the SEC;</w:t>
      </w:r>
    </w:p>
    <w:p>
      <w:pPr>
        <w:spacing w:after="0" w:line="117" w:lineRule="exact"/>
        <w:rPr>
          <w:rFonts w:ascii="Arial" w:cs="Arial" w:eastAsia="Arial" w:hAnsi="Arial"/>
          <w:sz w:val="18"/>
          <w:szCs w:val="18"/>
          <w:color w:val="auto"/>
        </w:rPr>
      </w:pPr>
    </w:p>
    <w:p>
      <w:pPr>
        <w:ind w:left="460" w:right="240" w:firstLine="428"/>
        <w:spacing w:after="0" w:line="263" w:lineRule="auto"/>
        <w:tabs>
          <w:tab w:leader="none" w:pos="107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sales of ordinary shares on behalf of our officers named in the registration statement of which this prospectus forms a part to satisfy the withholding taxes payable upon the vesting, exercise or settlement of such officer’s equity awards pursuant to employee benefit plans described in this prospectus; or</w:t>
      </w:r>
    </w:p>
    <w:p>
      <w:pPr>
        <w:spacing w:after="0" w:line="75" w:lineRule="exact"/>
        <w:rPr>
          <w:rFonts w:ascii="Arial" w:cs="Arial" w:eastAsia="Arial" w:hAnsi="Arial"/>
          <w:sz w:val="18"/>
          <w:szCs w:val="18"/>
          <w:color w:val="auto"/>
        </w:rPr>
      </w:pPr>
    </w:p>
    <w:p>
      <w:pPr>
        <w:jc w:val="both"/>
        <w:ind w:left="460" w:right="140" w:firstLine="428"/>
        <w:spacing w:after="0" w:line="296" w:lineRule="auto"/>
        <w:tabs>
          <w:tab w:leader="none" w:pos="105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sale or issuance of or entry into an agreement to sell or issue ordinary shares or securities convertible into or exercisable for ordinary shares in connection with any (i) mergers, (ii) acquisition of securities, businesses, property, technologies or other assets, (iii) joint ventures, (iv) strategic alliances, commercial relationships or other collaborations, or (v) the assumption of employee benefit plans in connection with mergers or acquisitions; provided that the aggregate number of ordinary shares or securities convertible into or exercisable for ordinary shares that we may sell or issue or agree to sell or issue shall not exceed 10% of the total number of ordinary shares immediately following the completion of this offering.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459"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Our directors and officers and the holders of substantially all of our outstanding stock and stock options have agreed that, without the prior written consent of the representatives on behalf of the underwriters, they will not, and will not publicly disclose an intention to, during the period ending 180 days after the date of this prospectus (the restricted period):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(2) enter into any swap or other arrangement that transfers to another, in whole or in part, any of the economic consequences of ownership of the ordinary shares, or (3) make any demand for or exercise any right with respect to the registration of any ordinary shares or any security convertible into or exercisable or exchangeable for ordinary shares. These restrictions do not apply in certain circumstances, subject to certain limitations and conditions set forth in the lock-up agreements, including:</w:t>
      </w:r>
    </w:p>
    <w:p>
      <w:pPr>
        <w:spacing w:after="0" w:line="57" w:lineRule="exact"/>
        <w:rPr>
          <w:sz w:val="20"/>
          <w:szCs w:val="20"/>
          <w:color w:val="auto"/>
        </w:rPr>
      </w:pPr>
    </w:p>
    <w:p>
      <w:pPr>
        <w:ind w:left="1080" w:hanging="19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registration of the offer and sale of ordinary shares pursuant to the underwriting agreement;</w:t>
      </w:r>
    </w:p>
    <w:p>
      <w:pPr>
        <w:spacing w:after="0" w:line="117" w:lineRule="exact"/>
        <w:rPr>
          <w:rFonts w:ascii="Arial" w:cs="Arial" w:eastAsia="Arial" w:hAnsi="Arial"/>
          <w:sz w:val="18"/>
          <w:szCs w:val="18"/>
          <w:color w:val="auto"/>
        </w:rPr>
      </w:pPr>
    </w:p>
    <w:p>
      <w:pPr>
        <w:ind w:left="460" w:right="220" w:firstLine="428"/>
        <w:spacing w:after="0" w:line="263" w:lineRule="auto"/>
        <w:tabs>
          <w:tab w:leader="none" w:pos="108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transactions relating to ordinary shares or other securities acquired in this offering (other than any issuer-directed shares purchased in this offering), in a private placement from us consummated concurrently with the completion of this offering or open market transactions after the completion of this offering;</w:t>
      </w:r>
    </w:p>
    <w:p>
      <w:pPr>
        <w:spacing w:after="0" w:line="75" w:lineRule="exact"/>
        <w:rPr>
          <w:rFonts w:ascii="Arial" w:cs="Arial" w:eastAsia="Arial" w:hAnsi="Arial"/>
          <w:sz w:val="18"/>
          <w:szCs w:val="18"/>
          <w:color w:val="auto"/>
        </w:rPr>
      </w:pPr>
    </w:p>
    <w:p>
      <w:pPr>
        <w:ind w:left="460" w:right="120" w:firstLine="428"/>
        <w:spacing w:after="0" w:line="277" w:lineRule="auto"/>
        <w:tabs>
          <w:tab w:leader="none" w:pos="107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transfers of ordinary shares or any security convertible into ordinary shares as a bona fide gift or gifts or by will, testamentary document or intestate succession;</w:t>
      </w:r>
    </w:p>
    <w:p>
      <w:pPr>
        <w:spacing w:after="0" w:line="62" w:lineRule="exact"/>
        <w:rPr>
          <w:rFonts w:ascii="Arial" w:cs="Arial" w:eastAsia="Arial" w:hAnsi="Arial"/>
          <w:sz w:val="18"/>
          <w:szCs w:val="18"/>
          <w:color w:val="auto"/>
        </w:rPr>
      </w:pPr>
    </w:p>
    <w:p>
      <w:pPr>
        <w:ind w:left="460" w:right="740" w:firstLine="428"/>
        <w:spacing w:after="0" w:line="277" w:lineRule="auto"/>
        <w:tabs>
          <w:tab w:leader="none" w:pos="108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distributions of ordinary shares or any security convertible into ordinary shares to limited partners, members, trust beneficiaries or stockholders of such director, officer or holder;</w:t>
      </w:r>
    </w:p>
    <w:p>
      <w:pPr>
        <w:spacing w:after="0" w:line="62" w:lineRule="exact"/>
        <w:rPr>
          <w:rFonts w:ascii="Arial" w:cs="Arial" w:eastAsia="Arial" w:hAnsi="Arial"/>
          <w:sz w:val="18"/>
          <w:szCs w:val="18"/>
          <w:color w:val="auto"/>
        </w:rPr>
      </w:pPr>
    </w:p>
    <w:p>
      <w:pPr>
        <w:ind w:left="460" w:right="340" w:firstLine="428"/>
        <w:spacing w:after="0" w:line="311" w:lineRule="auto"/>
        <w:tabs>
          <w:tab w:leader="none" w:pos="107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such director, officer or holder is a corporation, partnership, limited liability company, trust or other business entity, to any direct or indirect affiliate (as defined in Rule 405 promulgated under the Securities Act) of such party or any investment fund or other entity controlled or managed by, or under common control or management with, such party or any investment fund or other entity that controls such party;</w:t>
      </w:r>
    </w:p>
    <w:p>
      <w:pPr>
        <w:spacing w:after="0" w:line="40" w:lineRule="exact"/>
        <w:rPr>
          <w:rFonts w:ascii="Arial" w:cs="Arial" w:eastAsia="Arial" w:hAnsi="Arial"/>
          <w:sz w:val="16"/>
          <w:szCs w:val="16"/>
          <w:color w:val="auto"/>
        </w:rPr>
      </w:pPr>
    </w:p>
    <w:p>
      <w:pPr>
        <w:ind w:left="1060" w:hanging="172"/>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solely by operation of law, pursuant to a qualified domestic order or in connection with a divorce settlement;</w:t>
      </w:r>
    </w:p>
    <w:p>
      <w:pPr>
        <w:spacing w:after="0" w:line="117" w:lineRule="exact"/>
        <w:rPr>
          <w:rFonts w:ascii="Arial" w:cs="Arial" w:eastAsia="Arial" w:hAnsi="Arial"/>
          <w:sz w:val="18"/>
          <w:szCs w:val="18"/>
          <w:color w:val="auto"/>
        </w:rPr>
      </w:pPr>
    </w:p>
    <w:p>
      <w:pPr>
        <w:ind w:left="460" w:right="160" w:firstLine="428"/>
        <w:spacing w:after="0" w:line="263" w:lineRule="auto"/>
        <w:tabs>
          <w:tab w:leader="none" w:pos="108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undersigned or the immediate family of such party (for purposes of this agreement “immediate family” shall mean any relationship by blood, marriage or adoption, not more remote than first cousin), provided that any such transfer shall not involve a disposition for value;</w:t>
      </w:r>
    </w:p>
    <w:p>
      <w:pPr>
        <w:spacing w:after="0" w:line="75" w:lineRule="exact"/>
        <w:rPr>
          <w:rFonts w:ascii="Arial" w:cs="Arial" w:eastAsia="Arial" w:hAnsi="Arial"/>
          <w:sz w:val="18"/>
          <w:szCs w:val="18"/>
          <w:color w:val="auto"/>
        </w:rPr>
      </w:pPr>
    </w:p>
    <w:p>
      <w:pPr>
        <w:ind w:left="460" w:right="160" w:firstLine="428"/>
        <w:spacing w:after="0" w:line="257" w:lineRule="auto"/>
        <w:tabs>
          <w:tab w:leader="none" w:pos="108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facilitating the establishment of a trading plan on behalf of a shareholder, officer or director of us pursuant to Rule 10b5-1 under the Exchange Act for the transfer of ordinary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the transfer of ordinary shares during the restricted period and to the extent a public announcement or filing under the Exchange Act, if any, is required of or voluntarily made by or on behalf of such party or us regarding the establishment of such plan, such announcement or filing shall include a statement to the effect that no transfer of ordinary shares may be made under such plan during the restricted period;</w:t>
      </w:r>
    </w:p>
    <w:p>
      <w:pPr>
        <w:spacing w:after="0" w:line="79" w:lineRule="exact"/>
        <w:rPr>
          <w:rFonts w:ascii="Arial" w:cs="Arial" w:eastAsia="Arial" w:hAnsi="Arial"/>
          <w:sz w:val="18"/>
          <w:szCs w:val="18"/>
          <w:color w:val="auto"/>
        </w:rPr>
      </w:pPr>
    </w:p>
    <w:p>
      <w:pPr>
        <w:ind w:left="460" w:right="60" w:firstLine="428"/>
        <w:spacing w:after="0" w:line="272" w:lineRule="auto"/>
        <w:tabs>
          <w:tab w:leader="none" w:pos="104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transfers to us of ordinary shares or any security convertible into ordinary shares in connection with the “net” or “cashless” exercise of options or warrants or the vesting, exercise or settlement of any other equity-based award during the restricted period, in each case, granted pursuant to our equity incentive plans described in this prospectus, including any ordinary shares withheld by us or any of our subsidiaries to pay the applicable exercise price or tax withholding associated with such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 the restrictions contained in this agreement shall apply to ordinary shares issued upon such exercise, conversion, vesting or settlement and (ii) for any options or other awards that expire, vest or become settled during the restricted period while we are unable to transfer shares for purposes of satisfying any tax or other governmental withholding obligations, the restrictions contained in this agreement shall not apply to shares sold or otherwise withheld for that purpose;</w:t>
      </w:r>
    </w:p>
    <w:p>
      <w:pPr>
        <w:spacing w:after="0" w:line="69" w:lineRule="exact"/>
        <w:rPr>
          <w:rFonts w:ascii="Arial" w:cs="Arial" w:eastAsia="Arial" w:hAnsi="Arial"/>
          <w:sz w:val="17"/>
          <w:szCs w:val="17"/>
          <w:color w:val="auto"/>
        </w:rPr>
      </w:pPr>
    </w:p>
    <w:p>
      <w:pPr>
        <w:ind w:left="460" w:right="40" w:firstLine="428"/>
        <w:spacing w:after="0" w:line="263" w:lineRule="auto"/>
        <w:tabs>
          <w:tab w:leader="none" w:pos="10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made to all holders of our securities involving a change of control of us and approved by our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tender offer, merger, consolidation or other such transaction is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320" w:top="459" w:right="3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80"/>
        <w:spacing w:after="0" w:line="257" w:lineRule="auto"/>
        <w:rPr>
          <w:sz w:val="20"/>
          <w:szCs w:val="20"/>
          <w:color w:val="auto"/>
        </w:rPr>
      </w:pPr>
      <w:r>
        <w:rPr>
          <w:rFonts w:ascii="Arial" w:cs="Arial" w:eastAsia="Arial" w:hAnsi="Arial"/>
          <w:sz w:val="18"/>
          <w:szCs w:val="18"/>
          <w:color w:val="auto"/>
        </w:rPr>
        <w:t>not completed, such securities held by the undersigned shall remain subject to the provisions of this agreement (for purposes hereof “change of control” shall mean the transfer, whether by tender offer, merger, consolidation, spin-off or other such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the outstanding voting securities of us (or the surviving entity));</w:t>
      </w:r>
    </w:p>
    <w:p>
      <w:pPr>
        <w:spacing w:after="0" w:line="80" w:lineRule="exact"/>
        <w:rPr>
          <w:sz w:val="20"/>
          <w:szCs w:val="20"/>
          <w:color w:val="auto"/>
        </w:rPr>
      </w:pPr>
    </w:p>
    <w:p>
      <w:pPr>
        <w:ind w:left="460" w:right="720" w:firstLine="428"/>
        <w:spacing w:after="0" w:line="277" w:lineRule="auto"/>
        <w:tabs>
          <w:tab w:leader="none" w:pos="108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us pursuant to arrangements under which we have the option to repurchase such party’s ordinary shares, which arrangements are described in this prospectus; and</w:t>
      </w:r>
    </w:p>
    <w:p>
      <w:pPr>
        <w:spacing w:after="0" w:line="62" w:lineRule="exact"/>
        <w:rPr>
          <w:rFonts w:ascii="Arial" w:cs="Arial" w:eastAsia="Arial" w:hAnsi="Arial"/>
          <w:sz w:val="18"/>
          <w:szCs w:val="18"/>
          <w:color w:val="auto"/>
        </w:rPr>
      </w:pPr>
    </w:p>
    <w:p>
      <w:pPr>
        <w:ind w:left="1040" w:hanging="152"/>
        <w:spacing w:after="0"/>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transfers made with the prior written consent of the representatives, on behalf of the underwriters.</w:t>
      </w:r>
    </w:p>
    <w:p>
      <w:pPr>
        <w:spacing w:after="0" w:line="22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representatives, in their sole discretion, may release the ordinary shares and other securities subject to the lock-up agreements described above in whole or in part at any time.</w:t>
      </w:r>
    </w:p>
    <w:p>
      <w:pPr>
        <w:spacing w:after="0" w:line="17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6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ordinary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0" w:firstLine="449"/>
        <w:spacing w:after="0" w:line="308" w:lineRule="auto"/>
        <w:rPr>
          <w:sz w:val="20"/>
          <w:szCs w:val="20"/>
          <w:color w:val="auto"/>
        </w:rPr>
      </w:pPr>
      <w:r>
        <w:rPr>
          <w:rFonts w:ascii="Arial" w:cs="Arial" w:eastAsia="Arial" w:hAnsi="Arial"/>
          <w:sz w:val="17"/>
          <w:szCs w:val="17"/>
          <w:color w:val="auto"/>
        </w:rPr>
        <w:t>The address of Morgan Stanley &amp; Co. LLC is 1585 Broadway New York, New York 10036. The address of BofA Securities, Inc. is One Bryant Park, New York, New York 10036. The address of SVB Leerink LLC is 1301 Avenue of the Americas, 12th Floor, New York, New York 10019.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459"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ordinary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At our request, the underwriters have reserved up to 5% of the ordinary shares offered by this prospectus, for sale at the initial public offering price through a directed share program to certain individuals, including our directors, officers, employees, and certain friends and family members of these persons. The sales will be made at our direction by Morgan Stanley &amp; Co. LLC and its affiliates through a directed share program. The number of ordinary shares available for sale to the general public in this offering will be reduced to the extent that these individuals purchase such reserved shares. Any reserved shares that are not so purchased will be offered by the underwriters to the general public on the same terms as the other ordinary shares offered by this prospectus. Shares purchased through the directed share program will not be subject to lockup restrictions with the underwriters, except in the case of shares purchased by any of our directors, officers or employees. We have agreed to indemnify Morgan Stanley &amp; Co. LLC and its affiliates against certain liabilities and expenses, including liabilities under the Securities Act, in connection with the sales of the shares reserved for the directed share program.</w:t>
      </w:r>
    </w:p>
    <w:p>
      <w:pPr>
        <w:spacing w:after="0" w:line="269" w:lineRule="exact"/>
        <w:rPr>
          <w:sz w:val="20"/>
          <w:szCs w:val="20"/>
          <w:color w:val="auto"/>
        </w:rPr>
      </w:pPr>
    </w:p>
    <w:p>
      <w:pPr>
        <w:jc w:val="center"/>
        <w:ind w:right="9700"/>
        <w:spacing w:after="0"/>
        <w:rPr>
          <w:sz w:val="20"/>
          <w:szCs w:val="20"/>
          <w:color w:val="auto"/>
        </w:rPr>
      </w:pPr>
      <w:r>
        <w:rPr>
          <w:rFonts w:ascii="Arial" w:cs="Arial" w:eastAsia="Arial" w:hAnsi="Arial"/>
          <w:sz w:val="16"/>
          <w:szCs w:val="16"/>
          <w:b w:val="1"/>
          <w:bCs w:val="1"/>
          <w:color w:val="auto"/>
        </w:rPr>
        <w:t>Selling Restrictions</w:t>
      </w:r>
    </w:p>
    <w:p>
      <w:pPr>
        <w:spacing w:after="0" w:line="144" w:lineRule="exact"/>
        <w:rPr>
          <w:sz w:val="20"/>
          <w:szCs w:val="20"/>
          <w:color w:val="auto"/>
        </w:rPr>
      </w:pPr>
    </w:p>
    <w:p>
      <w:pPr>
        <w:jc w:val="center"/>
        <w:ind w:right="97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ordinary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320" w:top="459" w:right="3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This prospectus and any other document or material in connection with the offer or sale, or invitation for subscription or purchase, of our ordinary shares is not a prospectus for the purposes of the Prospectus Regulation (as defined below). This prospectus and any other document or material in connection with the offer or sale, or invitation for subscription or purchase, of our ordinary shares and any offer if made subsequently is directed only at persons in any Member State of the European Economic Area (the “EEA” and each such member state, a “Member State”) who are “qualified investors” within the meaning of Article 2(e) of the Prospectus Regulation. This prospectus and any other document or material in connection with the offer or sale, or invitation for subscription or purchase, of our ordinary shares has been prepared on the basis that any offer of ordinary shares in that Member State will be made pursuant to an exemption under the Prospectus Regulation from the requirement to publish a prospectus for offers of ordinary shares. Accordingly any person making or intending to make an offer in that Relevant State of ordinary shares which are the subject of the offering contemplated in this prospectus and any other document or material in connection with the offer or sale, or invitation for subscription or purchase, of our ordinary shares may only do so in circumstances in which no obligation arises for us or any of the underwriters to publish a prospectus pursuant to Article 3 of the Prospectus Regulation in relation to such offer. Neither us nor the underwriters have authorized, nor do they authorize, the making of any offer of ordinary shares in circumstances in which an obligation arises for us or the underwriters to publish a prospectus for such offer.</w:t>
      </w:r>
    </w:p>
    <w:p>
      <w:pPr>
        <w:spacing w:after="0" w:line="168"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In relation to each Member State, no securities which are the subject of the offering contemplated by this prospectus and any other document or material in connection with the offer or sale, or invitation for subscription or purchase, of our ordinary shares to the public may be made in that Member State other than:</w:t>
      </w:r>
    </w:p>
    <w:p>
      <w:pPr>
        <w:spacing w:after="0" w:line="89" w:lineRule="exact"/>
        <w:rPr>
          <w:sz w:val="20"/>
          <w:szCs w:val="20"/>
          <w:color w:val="auto"/>
        </w:rPr>
      </w:pPr>
    </w:p>
    <w:p>
      <w:pPr>
        <w:ind w:left="1000" w:hanging="422"/>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00" w:right="300" w:hanging="432"/>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00" w:hanging="422"/>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in the Prospectus Regulation or in circumstances in which the prior consent of the representatives has been obtained to each such proposed offer or resale.</w:t>
      </w:r>
    </w:p>
    <w:p>
      <w:pPr>
        <w:spacing w:after="0" w:line="161"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and the expression “Prospectus Regulation” means Regulation (EU) 2017/1129 (as amended).</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This prospectus and any other document or material in connection with the offer or sale, or invitation for subscription or purchase, of our ordinary shares may not be distributed or circulated to any person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459" w:right="3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and any other document or material in connection with the offer or sale, or invitation for subscription or purchase, of our ordinary shares is directed only at relevant persons. Other persons should not act on this prospectus and any other document or material in connection with the offer or sale, or invitation for subscription or purchase, of our ordinary shares. This prospectus and any other document or material in connection with the offer or sale, or invitation for subscription or purchase, of our ordinary shares is confidential and is being supplied to you solely for your information and may not be reproduced, redistributed or passed on to any other person or published, in whole or in part, for any other purpose.</w:t>
      </w:r>
    </w:p>
    <w:p>
      <w:pPr>
        <w:spacing w:after="0" w:line="15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ordinary shares may only be communicated or caused to be communicated in circumstances in which Section 21(1) of the United Kingdom’s Financial Services and Markets Act 2000, as amended (the “FSMA”) does not apply to us.</w:t>
      </w:r>
    </w:p>
    <w:p>
      <w:pPr>
        <w:spacing w:after="0" w:line="143"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ordinary shares in, from or otherwise involving the United Kingdom.</w:t>
      </w:r>
    </w:p>
    <w:p>
      <w:pPr>
        <w:spacing w:after="0" w:line="130"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In relation to the United Kingdom, no securities which are the subject of the offering contemplated by this prospectus and any other document or material in connection with the offer or sale, or invitation for subscription or purchase, of our ordinary shares to the public may be made in the United Kingdom other than:</w:t>
      </w:r>
    </w:p>
    <w:p>
      <w:pPr>
        <w:spacing w:after="0" w:line="89" w:lineRule="exact"/>
        <w:rPr>
          <w:sz w:val="20"/>
          <w:szCs w:val="20"/>
          <w:color w:val="auto"/>
        </w:rPr>
      </w:pPr>
    </w:p>
    <w:p>
      <w:pPr>
        <w:ind w:left="1000" w:right="300" w:hanging="422"/>
        <w:spacing w:after="0" w:line="342" w:lineRule="auto"/>
        <w:tabs>
          <w:tab w:leader="none" w:pos="10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Article 2 of Regulation (EU) 2017/1129 as it forms part of domestic law by virtue of the European Union (Withdrawal) Act 2018, as amended by the European Union (Withdrawal Agreement) Act 2020 (“EUWA”);</w:t>
      </w:r>
    </w:p>
    <w:p>
      <w:pPr>
        <w:spacing w:after="0" w:line="29" w:lineRule="exact"/>
        <w:rPr>
          <w:rFonts w:ascii="Arial" w:cs="Arial" w:eastAsia="Arial" w:hAnsi="Arial"/>
          <w:sz w:val="16"/>
          <w:szCs w:val="16"/>
          <w:color w:val="auto"/>
        </w:rPr>
      </w:pPr>
    </w:p>
    <w:p>
      <w:pPr>
        <w:ind w:left="1000" w:hanging="432"/>
        <w:spacing w:after="0" w:line="308" w:lineRule="auto"/>
        <w:tabs>
          <w:tab w:leader="none" w:pos="10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Article 2 of Regulation (EU) 2017/1129 as it forms part of domestic law by virtue of the EUWA) in the United Kingdom subject to obtaining the prior consent of the representatives; or</w:t>
      </w:r>
    </w:p>
    <w:p>
      <w:pPr>
        <w:spacing w:after="0" w:line="51" w:lineRule="exact"/>
        <w:rPr>
          <w:rFonts w:ascii="Arial" w:cs="Arial" w:eastAsia="Arial" w:hAnsi="Arial"/>
          <w:sz w:val="17"/>
          <w:szCs w:val="17"/>
          <w:color w:val="auto"/>
        </w:rPr>
      </w:pPr>
    </w:p>
    <w:p>
      <w:pPr>
        <w:ind w:left="1000" w:hanging="422"/>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98"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provided that no such offer of no such offer of shares shall require us or any of the representatives to publish a prospectus pursuant to section 85 of the FSMA or supplement a prospectus pursuant to Article 23 of Regulation (EU) 2017/1129 as it forms part of domestic law by virtue of the EUWA.</w:t>
      </w:r>
    </w:p>
    <w:p>
      <w:pPr>
        <w:spacing w:after="0" w:line="83"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For the purposes of this provision, the expression “offer of shares to the public” in relation to any shares means the communication in any form and by any means of sufficient information on the terms of the offer and the shares to be offered so as to enable an investor to decide to purchase or subscribe for the shares.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Our ordinary shares have not been and will not be offered or sold in Hong Kong by means of any document other than (i) in circumstances which do not constitute an offer to the public within the meaning of the Companies (Winding Up and Miscellaneous Provisions)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(Winding Up and Miscellaneous Provisions) Ordinance (Cap.32, Laws of Hong Kong). No advertisement, invitation or document relating to our ordinary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320" w:top="459" w:right="3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than with respect to our ordinary shares which are or are intended to be disposed of only to persons outside Hong Kong or only to “professional investors” within the meaning of the Securities and Futures Ordinance (Cap.571, Laws of Hong Kong) and any rules made thereunder.</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ordinary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ordinary shares to any person within the State of Israel, other than to Qualified Investors and up to 35 Addressed Investors.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or the FIEL, has been made or will be made with respect to the solicitation of the application for the acquisition of the ordinary shares.</w:t>
      </w:r>
    </w:p>
    <w:p>
      <w:pPr>
        <w:spacing w:after="0" w:line="10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This prospectus has not been and will not be registered as a prospectus under the Securities and Futures Act, Chapter 289 of Singapore (the “SFA”) by the Monetary Authority of Singapore, and the offer of our ordinary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459" w:right="3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shares in Singapore is made primarily pursuant to the exemptions under Section 274 and 275 of the SFA. Accordingly, this prospectus and any other document or material in connection with the offer or sale, or invitation for subscription or purchase, of our ordinary shares may not be circulated or distributed, nor may our ordinary shares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w:t>
      </w:r>
    </w:p>
    <w:p>
      <w:pPr>
        <w:spacing w:after="0" w:line="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is a condition of the offer that where our ordinary shares are subscribed for or acquired pursuant to an offer made in reliance on Section 275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SFA by a Relevant Person which is:</w:t>
      </w:r>
    </w:p>
    <w:p>
      <w:pPr>
        <w:spacing w:after="0" w:line="103" w:lineRule="exact"/>
        <w:rPr>
          <w:sz w:val="20"/>
          <w:szCs w:val="20"/>
          <w:color w:val="auto"/>
        </w:rPr>
      </w:pPr>
    </w:p>
    <w:p>
      <w:pPr>
        <w:ind w:left="460" w:firstLine="428"/>
        <w:spacing w:after="0" w:line="277" w:lineRule="auto"/>
        <w:tabs>
          <w:tab w:leader="none" w:pos="11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ind w:left="460" w:right="60" w:firstLine="428"/>
        <w:spacing w:after="0" w:line="277" w:lineRule="auto"/>
        <w:tabs>
          <w:tab w:leader="none" w:pos="11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our ordinary shares except:</w:t>
      </w:r>
    </w:p>
    <w:p>
      <w:pPr>
        <w:spacing w:after="0" w:line="76" w:lineRule="exact"/>
        <w:rPr>
          <w:sz w:val="20"/>
          <w:szCs w:val="20"/>
          <w:color w:val="auto"/>
        </w:rPr>
      </w:pPr>
    </w:p>
    <w:p>
      <w:pPr>
        <w:ind w:left="460" w:right="300" w:firstLine="428"/>
        <w:spacing w:after="0" w:line="277" w:lineRule="auto"/>
        <w:tabs>
          <w:tab w:leader="none" w:pos="10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 Institutional Investor, an Accredited Investor, a Relevant Person, or which arises from an offer referred to in Section 275(1A) of the SFA (in the case of that corporation) or Section 276(4)(i)(B) of the SFA (in the case of that trust);</w:t>
      </w:r>
    </w:p>
    <w:p>
      <w:pPr>
        <w:spacing w:after="0" w:line="170" w:lineRule="exact"/>
        <w:rPr>
          <w:rFonts w:ascii="Arial" w:cs="Arial" w:eastAsia="Arial" w:hAnsi="Arial"/>
          <w:sz w:val="18"/>
          <w:szCs w:val="18"/>
          <w:color w:val="auto"/>
        </w:rPr>
      </w:pPr>
    </w:p>
    <w:p>
      <w:pPr>
        <w:ind w:left="1060" w:hanging="172"/>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060" w:hanging="172"/>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060" w:hanging="172"/>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460" w:right="100" w:firstLine="428"/>
        <w:spacing w:after="0" w:line="277" w:lineRule="auto"/>
        <w:tabs>
          <w:tab w:leader="none" w:pos="10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ordinary shares may not be publicly offered, directly or indirectly, in Switzerland within the meaning of the Swiss Financial Services Act (“FinSA”) and no application has or will be made to admit the ordinary shares to trading on any trading venue (exchange or multilateral trading facility) in Switzerland. Neither this prospectus nor any other offering or marketing material relating to the ordinary shares constitute a prospectus pursuant to the FinSA, and neither this prospectus nor any other offering or marketing material relating to the ordinary shares may be publicly distributed or otherwise made publicly available in Switzerland.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9"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which are expected to be incurred in connection with our sale of ordinary shares in the offering. With the exception of the registration fee payable to the SEC, the filing fee payable to Nasdaq and the filing fee payable to FINRA, all amounts are estimates.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Amount to Be</w:t>
            </w:r>
          </w:p>
        </w:tc>
      </w:tr>
      <w:tr>
        <w:trPr>
          <w:trHeight w:val="171"/>
        </w:trPr>
        <w:tc>
          <w:tcPr>
            <w:tcW w:w="10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Paid</w:t>
            </w:r>
          </w:p>
        </w:tc>
      </w:tr>
      <w:tr>
        <w:trPr>
          <w:trHeight w:val="209"/>
        </w:trPr>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Nasdaq listing fee</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23,279</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310,000</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1,641,943</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325,399</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32,811</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All amounts in the table are estimates except the SEC registration fee, the Nasdaq listing fee and the FINRA filing fee. We will pay all of the expenses of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Kirkland &amp; Ellis LLP, New York, New York is representing us in connection with this offering. NautaDutilh N.V. will pass upon the validity of our ordinary shares offered hereby and other legal matters concerning this offering relating to Dutch law. Sidley Austin LLP, San Francisco, California, is counsel to the underwriters in connection with this offering.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financial statements as of December 31, 2019 and 2018 and for each of the two years in the period ended December 31, 2019 included in this Prospectus have been so included in reliance on the report of PricewaterhouseCoopers Accountants N.V., an independent registered public accounting firm, given on the authority of said firm as experts in auditing and accounting. The current address of PricewaterhouseCoopers Accountants N.V. is Boschdijktunnel 10, 5611 AG Eindhoven, The Netherlands.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320" w:top="459" w:right="3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filed with the SEC a registration statement (including any amendments and exhibits to the registration statement) on Form F-1 under the Securities Act with respect to our ordinary shares offered in this prospectus.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Pharvaris B.V., such references are not necessarily complete and you should refer to the exhibits attached to the registration statement for copies of the actual contract or document. Each statement in this prospectus relating to a document filed as an exhibit is qualified in all respects by the filed exhibit. You should read this prospectus and the documents that we reference in this prospectus and have filed as exhibits to the registration statement, of which this prospectus is a part, completely.</w:t>
      </w:r>
    </w:p>
    <w:p>
      <w:pPr>
        <w:spacing w:after="0" w:line="166"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United States companies whose securities are registered under the Exchange Act.</w:t>
      </w:r>
    </w:p>
    <w:p>
      <w:pPr>
        <w:spacing w:after="0" w:line="166"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www.pharvaris.com</w:t>
      </w:r>
      <w:r>
        <w:rPr>
          <w:rFonts w:ascii="Arial" w:cs="Arial" w:eastAsia="Arial" w:hAnsi="Arial"/>
          <w:sz w:val="18"/>
          <w:szCs w:val="18"/>
          <w:color w:val="auto"/>
        </w:rPr>
        <w:t>. The information contained on, or accessible from, or hyperlinked to our website is not a part of this prospectus and you should not consider information on our website to be part of this prospectus. We have included our website address in this prospectus solely as an inactive textual reference.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459"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10580" w:type="dxa"/>
            <w:vAlign w:val="bottom"/>
            <w:gridSpan w:val="4"/>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00" w:type="dxa"/>
            <w:vAlign w:val="bottom"/>
          </w:tcPr>
          <w:p>
            <w:pPr>
              <w:spacing w:after="0"/>
              <w:rPr>
                <w:sz w:val="20"/>
                <w:szCs w:val="20"/>
                <w:color w:val="auto"/>
              </w:rPr>
            </w:pPr>
          </w:p>
        </w:tc>
      </w:tr>
      <w:tr>
        <w:trPr>
          <w:trHeight w:val="513"/>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INDEX TO FINANCIAL STATEMENTS</w:t>
            </w:r>
          </w:p>
        </w:tc>
        <w:tc>
          <w:tcPr>
            <w:tcW w:w="600" w:type="dxa"/>
            <w:vAlign w:val="bottom"/>
          </w:tcPr>
          <w:p>
            <w:pPr>
              <w:spacing w:after="0"/>
              <w:rPr>
                <w:sz w:val="24"/>
                <w:szCs w:val="24"/>
                <w:color w:val="auto"/>
              </w:rPr>
            </w:pPr>
          </w:p>
        </w:tc>
      </w:tr>
      <w:tr>
        <w:trPr>
          <w:trHeight w:val="445"/>
        </w:trPr>
        <w:tc>
          <w:tcPr>
            <w:tcW w:w="10580" w:type="dxa"/>
            <w:vAlign w:val="bottom"/>
            <w:gridSpan w:val="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600" w:type="dxa"/>
            <w:vAlign w:val="bottom"/>
          </w:tcPr>
          <w:p>
            <w:pPr>
              <w:spacing w:after="0"/>
              <w:rPr>
                <w:sz w:val="24"/>
                <w:szCs w:val="24"/>
                <w:color w:val="auto"/>
              </w:rPr>
            </w:pPr>
          </w:p>
        </w:tc>
      </w:tr>
      <w:tr>
        <w:trPr>
          <w:trHeight w:val="216"/>
        </w:trPr>
        <w:tc>
          <w:tcPr>
            <w:tcW w:w="10580" w:type="dxa"/>
            <w:vAlign w:val="bottom"/>
            <w:gridSpan w:val="4"/>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Report of Independent Registered Public Accounting Firm</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580" w:type="dxa"/>
            <w:vAlign w:val="bottom"/>
            <w:gridSpan w:val="4"/>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Consolidated statements of profit or loss and other comprehensive income (loss) for the year ended December 31, 2019 and 2018</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580" w:type="dxa"/>
            <w:vAlign w:val="bottom"/>
            <w:gridSpan w:val="4"/>
          </w:tcPr>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Consolidated statements of financial position as of December 31, 2019 and December 31, 2018</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580" w:type="dxa"/>
            <w:vAlign w:val="bottom"/>
            <w:gridSpan w:val="4"/>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Consolidated statements of changes in equity for the year ended December 31, 2019 and December 31, 2018</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580" w:type="dxa"/>
            <w:vAlign w:val="bottom"/>
            <w:gridSpan w:val="4"/>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Consolidated statements of cash flows for the year ended December 31, 2019 and December 31, 2018</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30"/>
        </w:trPr>
        <w:tc>
          <w:tcPr>
            <w:tcW w:w="10580" w:type="dxa"/>
            <w:vAlign w:val="bottom"/>
            <w:gridSpan w:val="4"/>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Notes to the audited consolidated 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418"/>
        </w:trPr>
        <w:tc>
          <w:tcPr>
            <w:tcW w:w="10580" w:type="dxa"/>
            <w:vAlign w:val="bottom"/>
            <w:gridSpan w:val="4"/>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600" w:type="dxa"/>
            <w:vAlign w:val="bottom"/>
          </w:tcPr>
          <w:p>
            <w:pPr>
              <w:spacing w:after="0"/>
              <w:rPr>
                <w:sz w:val="24"/>
                <w:szCs w:val="24"/>
                <w:color w:val="auto"/>
              </w:rPr>
            </w:pPr>
          </w:p>
        </w:tc>
      </w:tr>
      <w:tr>
        <w:trPr>
          <w:trHeight w:val="190"/>
        </w:trPr>
        <w:tc>
          <w:tcPr>
            <w:tcW w:w="10580" w:type="dxa"/>
            <w:vAlign w:val="bottom"/>
            <w:gridSpan w:val="4"/>
          </w:tcPr>
          <w:p>
            <w:pPr>
              <w:spacing w:after="0" w:line="190" w:lineRule="exact"/>
              <w:rPr>
                <w:rFonts w:ascii="Arial" w:cs="Arial" w:eastAsia="Arial" w:hAnsi="Arial"/>
                <w:sz w:val="18"/>
                <w:szCs w:val="18"/>
                <w:color w:val="0000EE"/>
                <w:w w:val="91"/>
              </w:rPr>
            </w:pPr>
            <w:hyperlink w:anchor="page234">
              <w:r>
                <w:rPr>
                  <w:rFonts w:ascii="Arial" w:cs="Arial" w:eastAsia="Arial" w:hAnsi="Arial"/>
                  <w:sz w:val="18"/>
                  <w:szCs w:val="18"/>
                  <w:color w:val="0000EE"/>
                  <w:w w:val="91"/>
                </w:rPr>
                <w:t>Condensed consolidated statements of profit or loss and other comprehensive income (loss) for the nine months ended September 30, 2020 and</w:t>
              </w:r>
            </w:hyperlink>
          </w:p>
        </w:tc>
        <w:tc>
          <w:tcPr>
            <w:tcW w:w="60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234">
              <w:r>
                <w:rPr>
                  <w:rFonts w:ascii="Arial" w:cs="Arial" w:eastAsia="Arial" w:hAnsi="Arial"/>
                  <w:sz w:val="18"/>
                  <w:szCs w:val="18"/>
                  <w:color w:val="0000EE"/>
                  <w:w w:val="84"/>
                </w:rPr>
                <w:t>2019</w:t>
              </w:r>
            </w:hyperlink>
          </w:p>
        </w:tc>
        <w:tc>
          <w:tcPr>
            <w:tcW w:w="97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r>
      <w:tr>
        <w:trPr>
          <w:trHeight w:val="222"/>
        </w:trPr>
        <w:tc>
          <w:tcPr>
            <w:tcW w:w="10580" w:type="dxa"/>
            <w:vAlign w:val="bottom"/>
            <w:gridSpan w:val="4"/>
          </w:tcPr>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Condensed consolidated statements of financial position as of September 30, 2020 and December 31, 2019</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F-29</w:t>
            </w:r>
          </w:p>
        </w:tc>
      </w:tr>
      <w:tr>
        <w:trPr>
          <w:trHeight w:val="216"/>
        </w:trPr>
        <w:tc>
          <w:tcPr>
            <w:tcW w:w="10580" w:type="dxa"/>
            <w:vAlign w:val="bottom"/>
            <w:gridSpan w:val="4"/>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Condensed consolidated statements of changes in equity for the nine months ended September 30, 2020 and 2019</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216"/>
        </w:trPr>
        <w:tc>
          <w:tcPr>
            <w:tcW w:w="10580" w:type="dxa"/>
            <w:vAlign w:val="bottom"/>
            <w:gridSpan w:val="4"/>
          </w:tcPr>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230"/>
        </w:trPr>
        <w:tc>
          <w:tcPr>
            <w:tcW w:w="10580" w:type="dxa"/>
            <w:vAlign w:val="bottom"/>
            <w:gridSpan w:val="4"/>
          </w:tcPr>
          <w:p>
            <w:pPr>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Notes to the unaudited condensed consolidated interim 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64"/>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F-1</w:t>
            </w: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320" w:top="459"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shareholders of Pharvaris B.V.</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Pharvaris B.V. and its subsidiaries (the “Company”) as of December 31, 2019, 2018 and January 1, 2018, and the related consolidated statements of profit or loss and other comprehensive income (loss), changes in equity and cash flows for the two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2018 and January 1, 2018, and the results of its operations and its cash flows for the two years in the period ended December 31, 2019 in conformity with International Financial Reporting Standards as issued by the International Accounting Standards Board.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R.M.N. Admiraal 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Accountants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Eindhoven, 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320" w:top="459"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PROFIT OR LOSS AND OTHER COMPREHENSIVE INCOME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9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Notes</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9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(5,684,562)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(3,645,413)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(2,325,719)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(668,121)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(8,010,281)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(4,313,534)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19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(8,027,162)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Income taxes</w:t>
            </w:r>
          </w:p>
        </w:tc>
        <w:tc>
          <w:tcPr>
            <w:tcW w:w="190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1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(8,027,162)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loss for the year, net of tax</w:t>
            </w:r>
          </w:p>
        </w:tc>
        <w:tc>
          <w:tcPr>
            <w:tcW w:w="1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(8,027,162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(4,313,914)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Equity holders of the Company</w:t>
            </w:r>
          </w:p>
        </w:tc>
        <w:tc>
          <w:tcPr>
            <w:tcW w:w="19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(8,027,162)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Equity holders of the Company</w:t>
            </w:r>
          </w:p>
        </w:tc>
        <w:tc>
          <w:tcPr>
            <w:tcW w:w="19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(8,027,162)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the equity holders of the Company during the year</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900" w:type="dxa"/>
            <w:vAlign w:val="bottom"/>
          </w:tcPr>
          <w:p>
            <w:pPr>
              <w:jc w:val="right"/>
              <w:ind w:right="74"/>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(1.66)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at</w:t>
            </w: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at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9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Notes</w:t>
            </w: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12,927</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258,379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49,044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60" w:type="dxa"/>
            <w:vAlign w:val="bottom"/>
          </w:tcPr>
          <w:p>
            <w:pPr>
              <w:jc w:val="right"/>
              <w:ind w:right="73"/>
              <w:spacing w:after="0"/>
              <w:rPr>
                <w:sz w:val="20"/>
                <w:szCs w:val="20"/>
                <w:color w:val="auto"/>
              </w:rPr>
            </w:pPr>
            <w:r>
              <w:rPr>
                <w:rFonts w:ascii="Arial" w:cs="Arial" w:eastAsia="Arial" w:hAnsi="Arial"/>
                <w:sz w:val="18"/>
                <w:szCs w:val="18"/>
                <w:color w:val="auto"/>
              </w:rPr>
              <w:t>14</w:t>
            </w:r>
          </w:p>
        </w:tc>
        <w:tc>
          <w:tcPr>
            <w:tcW w:w="1040" w:type="dxa"/>
            <w:vAlign w:val="bottom"/>
          </w:tcPr>
          <w:p>
            <w:pPr>
              <w:jc w:val="right"/>
              <w:spacing w:after="0"/>
              <w:rPr>
                <w:sz w:val="20"/>
                <w:szCs w:val="20"/>
                <w:color w:val="auto"/>
              </w:rPr>
            </w:pPr>
            <w:r>
              <w:rPr>
                <w:rFonts w:ascii="Arial" w:cs="Arial" w:eastAsia="Arial" w:hAnsi="Arial"/>
                <w:sz w:val="18"/>
                <w:szCs w:val="18"/>
                <w:color w:val="auto"/>
              </w:rPr>
              <w:t>20,326,372</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5,385,333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4,795,135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20,597,678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5,434,377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4,796,191</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Share capital</w:t>
            </w:r>
          </w:p>
        </w:tc>
        <w:tc>
          <w:tcPr>
            <w:tcW w:w="29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130,962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100,928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100,928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29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36,624,697</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15,023,205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10,514,354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Other reserves</w:t>
            </w:r>
          </w:p>
        </w:tc>
        <w:tc>
          <w:tcPr>
            <w:tcW w:w="29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392,139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275,992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175,247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29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(18,474,250)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(10,447,088)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(6,133,174)</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29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18,673,548</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4,953,037</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4,657,355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96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517,771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246,983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61,408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1,406,359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234,357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77,428</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1,924,130</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481,340</w:t>
            </w:r>
          </w:p>
        </w:tc>
        <w:tc>
          <w:tcPr>
            <w:tcW w:w="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9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20,597,678</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5,434,377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4,796,191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5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premium</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reserves</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3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100,928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10,514,354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175,247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(6,133,174)</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4,657,355</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5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(4,313,914)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w:t>
            </w:r>
          </w:p>
        </w:tc>
        <w:tc>
          <w:tcPr>
            <w:tcW w:w="35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4,508,851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4,508,851</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payments</w:t>
            </w:r>
          </w:p>
        </w:tc>
        <w:tc>
          <w:tcPr>
            <w:tcW w:w="354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100,745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100,745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Balance at December 31, 2018</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15,023,205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275,992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(10,447,088)</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4,953,037</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8"/>
                <w:szCs w:val="18"/>
                <w:b w:val="1"/>
                <w:bCs w:val="1"/>
                <w:color w:val="auto"/>
              </w:rPr>
              <w:t>Balance at January 1, 2019</w:t>
            </w:r>
          </w:p>
        </w:tc>
        <w:tc>
          <w:tcPr>
            <w:tcW w:w="3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100,928</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15,023,205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275,992</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(10,447,088)</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4,953,037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(8,027,162)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(8,027,162)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Issue of share capital</w:t>
            </w:r>
          </w:p>
        </w:tc>
        <w:tc>
          <w:tcPr>
            <w:tcW w:w="354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30,034</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22,437,673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22,467,707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on issue of shares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(836,181)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(836,181)</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payments</w:t>
            </w:r>
          </w:p>
        </w:tc>
        <w:tc>
          <w:tcPr>
            <w:tcW w:w="354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116,147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116,147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Balance at December 31, 2019</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36,624,697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392,139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(18,474,250)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18,673,548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0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w w:val="91"/>
              </w:rPr>
              <w:t>The accompanying notes are an integral part of</w:t>
            </w:r>
          </w:p>
        </w:tc>
        <w:tc>
          <w:tcPr>
            <w:tcW w:w="2920" w:type="dxa"/>
            <w:vAlign w:val="bottom"/>
            <w:gridSpan w:val="6"/>
          </w:tcPr>
          <w:p>
            <w:pPr>
              <w:jc w:val="right"/>
              <w:ind w:right="100"/>
              <w:spacing w:after="0"/>
              <w:rPr>
                <w:sz w:val="20"/>
                <w:szCs w:val="20"/>
                <w:color w:val="auto"/>
              </w:rPr>
            </w:pPr>
            <w:r>
              <w:rPr>
                <w:rFonts w:ascii="Arial" w:cs="Arial" w:eastAsia="Arial" w:hAnsi="Arial"/>
                <w:sz w:val="18"/>
                <w:szCs w:val="18"/>
                <w:color w:val="auto"/>
                <w:w w:val="87"/>
              </w:rPr>
              <w:t>these consolidated financial statements.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400" w:type="dxa"/>
            <w:vAlign w:val="bottom"/>
          </w:tcPr>
          <w:p>
            <w:pPr>
              <w:spacing w:after="0"/>
              <w:rPr>
                <w:sz w:val="24"/>
                <w:szCs w:val="24"/>
                <w:color w:val="auto"/>
              </w:rPr>
            </w:pPr>
          </w:p>
        </w:tc>
        <w:tc>
          <w:tcPr>
            <w:tcW w:w="3540" w:type="dxa"/>
            <w:vAlign w:val="bottom"/>
          </w:tcPr>
          <w:p>
            <w:pPr>
              <w:jc w:val="right"/>
              <w:ind w:right="113"/>
              <w:spacing w:after="0"/>
              <w:rPr>
                <w:sz w:val="20"/>
                <w:szCs w:val="20"/>
                <w:color w:val="auto"/>
              </w:rPr>
            </w:pPr>
            <w:r>
              <w:rPr>
                <w:rFonts w:ascii="Arial" w:cs="Arial" w:eastAsia="Arial" w:hAnsi="Arial"/>
                <w:sz w:val="18"/>
                <w:szCs w:val="18"/>
                <w:color w:val="auto"/>
              </w:rPr>
              <w:t>F-5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1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Notes</w:t>
            </w: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before tax</w:t>
            </w:r>
          </w:p>
        </w:tc>
        <w:tc>
          <w:tcPr>
            <w:tcW w:w="17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(8,027,162)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adjustments to reconcile loss before tax to net cash flows from operations: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116,147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100,745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expenses</w:t>
            </w:r>
          </w:p>
        </w:tc>
        <w:tc>
          <w:tcPr>
            <w:tcW w:w="1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foreign exchange (gain) / loss</w:t>
            </w:r>
          </w:p>
        </w:tc>
        <w:tc>
          <w:tcPr>
            <w:tcW w:w="17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(3,693)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working capital:</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in receivables</w:t>
            </w:r>
          </w:p>
        </w:tc>
        <w:tc>
          <w:tcPr>
            <w:tcW w:w="17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(209,335)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(47,988)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1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274,481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182,606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in accrued liabilities</w:t>
            </w:r>
          </w:p>
        </w:tc>
        <w:tc>
          <w:tcPr>
            <w:tcW w:w="17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1,172,002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156,929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(6,677,011)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(3,918,653)</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7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32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7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(13,476)</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7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Proceeds from issue of shares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22,467,707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4,508,851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issue of shares</w:t>
            </w:r>
          </w:p>
        </w:tc>
        <w:tc>
          <w:tcPr>
            <w:tcW w:w="1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(836,181)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21,631,526</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4,508,851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14,941,039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590,198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7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5,385,333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4,795,135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20,326,372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5,385,333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and Group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section provides general corporate and group information about Pharvaris B.V.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consolidated financial statements of Pharvaris B.V. (the “Company” or “Pharvaris”) and its subsidiaries (collectively, “The Group”) for the year ended December 31, 2019 were authorised for issue in accordance with a resolution of the directors on November 10, 2020.</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Pharvaris B.V. was incorporated on September 30, 2015 and is based in Leiden, the Netherlands. The address of its registered office is J.H. Oortweg 21, Leiden. It has been registered at the Chamber of Commerce under file number 64239411.</w:t>
      </w:r>
    </w:p>
    <w:p>
      <w:pPr>
        <w:spacing w:after="0" w:line="170"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Pharvaris is a clinical-stage biopharmaceutical company focused on the development and commercialization of innovative therapies for orphan diseases with significant unmet need, initially focused on angioedema.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of the Group include: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 of equity</w:t>
            </w:r>
          </w:p>
        </w:tc>
        <w:tc>
          <w:tcPr>
            <w:tcW w:w="0" w:type="dxa"/>
            <w:vAlign w:val="bottom"/>
          </w:tcPr>
          <w:p>
            <w:pPr>
              <w:spacing w:after="0"/>
              <w:rPr>
                <w:sz w:val="1"/>
                <w:szCs w:val="1"/>
                <w:color w:val="auto"/>
              </w:rPr>
            </w:pPr>
          </w:p>
        </w:tc>
      </w:tr>
      <w:tr>
        <w:trPr>
          <w:trHeight w:val="17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34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Country of</w:t>
            </w:r>
          </w:p>
        </w:tc>
        <w:tc>
          <w:tcPr>
            <w:tcW w:w="110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3"/>
        </w:trPr>
        <w:tc>
          <w:tcPr>
            <w:tcW w:w="380" w:type="dxa"/>
            <w:vAlign w:val="bottom"/>
            <w:tcBorders>
              <w:bottom w:val="single" w:sz="8" w:color="auto"/>
            </w:tcBorders>
            <w:vMerge w:val="continue"/>
          </w:tcPr>
          <w:p>
            <w:pPr>
              <w:spacing w:after="0"/>
              <w:rPr>
                <w:sz w:val="11"/>
                <w:szCs w:val="11"/>
                <w:color w:val="auto"/>
              </w:rPr>
            </w:pPr>
          </w:p>
        </w:tc>
        <w:tc>
          <w:tcPr>
            <w:tcW w:w="7340" w:type="dxa"/>
            <w:vAlign w:val="bottom"/>
            <w:vMerge w:val="continue"/>
          </w:tcPr>
          <w:p>
            <w:pPr>
              <w:spacing w:after="0"/>
              <w:rPr>
                <w:sz w:val="11"/>
                <w:szCs w:val="11"/>
                <w:color w:val="auto"/>
              </w:rPr>
            </w:pPr>
          </w:p>
        </w:tc>
        <w:tc>
          <w:tcPr>
            <w:tcW w:w="9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0"/>
              </w:rPr>
              <w:t>Legal seat</w:t>
            </w:r>
          </w:p>
        </w:tc>
        <w:tc>
          <w:tcPr>
            <w:tcW w:w="15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incorporation</w:t>
            </w: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0"/>
        </w:trPr>
        <w:tc>
          <w:tcPr>
            <w:tcW w:w="7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Pharvaris Holdings B.V.</w:t>
            </w: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Leiden</w:t>
            </w:r>
          </w:p>
        </w:tc>
        <w:tc>
          <w:tcPr>
            <w:tcW w:w="260" w:type="dxa"/>
            <w:vAlign w:val="bottom"/>
            <w:vMerge w:val="continue"/>
            <w:shd w:val="clear" w:color="auto" w:fill="CCEEFF"/>
          </w:tcPr>
          <w:p>
            <w:pPr>
              <w:spacing w:after="0"/>
              <w:rPr>
                <w:sz w:val="17"/>
                <w:szCs w:val="17"/>
                <w:color w:val="auto"/>
              </w:rPr>
            </w:pPr>
          </w:p>
        </w:tc>
        <w:tc>
          <w:tcPr>
            <w:tcW w:w="12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The Netherlands</w:t>
            </w:r>
          </w:p>
        </w:tc>
        <w:tc>
          <w:tcPr>
            <w:tcW w:w="2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9"/>
              </w:rPr>
              <w:t>100%</w:t>
            </w:r>
          </w:p>
        </w:tc>
        <w:tc>
          <w:tcPr>
            <w:tcW w:w="3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Pharvaris Netherlands B.V.</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Leiden</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The Netherlands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Pharvaris Holdings B.V. and Pharvaris Netherlands B.V. were incorporated on September 24, 2019.</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ultimate parent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ultimate parent company of the Group is Pharvaris B.V., which is based in the Netherlands.</w:t>
      </w:r>
    </w:p>
    <w:p>
      <w:pPr>
        <w:spacing w:after="0" w:line="329" w:lineRule="exact"/>
        <w:rPr>
          <w:sz w:val="20"/>
          <w:szCs w:val="20"/>
          <w:color w:val="auto"/>
        </w:rPr>
      </w:pPr>
    </w:p>
    <w:p>
      <w:pPr>
        <w:ind w:right="7760" w:firstLine="8"/>
        <w:spacing w:after="0" w:line="378" w:lineRule="auto"/>
        <w:tabs>
          <w:tab w:leader="none" w:pos="1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2.1 Basis of preparation</w:t>
      </w:r>
    </w:p>
    <w:p>
      <w:pPr>
        <w:ind w:right="320" w:firstLine="449"/>
        <w:spacing w:after="0" w:line="277"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(IASB).</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These consolidated financial statements for the years ended December 31, 2018 and 2019 are the first the Group has prepared in accordance with IFRS. Refer to note 3 for information on how the Group adopted IFRS for the first time.</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consolidated financial statements have been prepared on a historical cost basis. Unless otherwise stated, the consolidated financial statements are presented in euros and all values are rounded to the nearest EUR (€), except per share amounts.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21"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orphan diseases with significant unmet need, initially focused on angioedema.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ever. This makes the Group dependent on external capital sources, being subsidies, debt capital and equity capital. The Group is currently fully financed by equity capital.</w:t>
      </w:r>
    </w:p>
    <w:p>
      <w:pPr>
        <w:spacing w:after="0" w:line="164" w:lineRule="exact"/>
        <w:rPr>
          <w:sz w:val="20"/>
          <w:szCs w:val="20"/>
          <w:color w:val="auto"/>
        </w:rPr>
      </w:pPr>
    </w:p>
    <w:p>
      <w:pPr>
        <w:ind w:right="860" w:firstLine="449"/>
        <w:spacing w:after="0" w:line="308" w:lineRule="auto"/>
        <w:rPr>
          <w:sz w:val="20"/>
          <w:szCs w:val="20"/>
          <w:color w:val="auto"/>
        </w:rPr>
      </w:pPr>
      <w:r>
        <w:rPr>
          <w:rFonts w:ascii="Arial" w:cs="Arial" w:eastAsia="Arial" w:hAnsi="Arial"/>
          <w:sz w:val="17"/>
          <w:szCs w:val="17"/>
          <w:color w:val="auto"/>
        </w:rPr>
        <w:t>As of December 31, 2019 and 2018, the Group had cash of €20.3 million and €5.4 million, respectively. The Group incurred net losses of €8.0 million in 2019 and €4.3 million in 2018, and negative operating cash flows of €6.7 million in 2019 and €3.9 million in 2018.</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 2019, the Group completed a $66 million Series B equity financing of which $41 million was received in July 2020.</w:t>
      </w:r>
    </w:p>
    <w:p>
      <w:pPr>
        <w:spacing w:after="0" w:line="225"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On November 3, 2020, the Group signed a $80 million Series C equity financing against issuance of 5,826,279 preferred shares C, which financing was completed on November 5, 2020. The preferred shares C automatically convert into ordinary shares upon the consummation of a qualified Initial Public Offering, combination transaction or request of the investor majority. The holders of the outstanding preferred shares C are entitled to convert the preferred shares, at any time, without payment of additional consideration into ordinary shares at a conversion rate of 1:1, which conversion rate shall be adjusted so as to reflect this ratio after any amendment of the nominal value by means of any stock splits, reclassification of shares and similar events. No obligations were agreed upon in the shareholders’ agreements to make any redemption on a certain fixed date and to transfer an amount (dividend) independent of the entity’s available economic resources.</w:t>
      </w:r>
    </w:p>
    <w:p>
      <w:pPr>
        <w:spacing w:after="0" w:line="17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Group does not expect positive operating cash flows in the foreseeable future and remains dependent on additional financings to fund its research and development expenses, general and administrative expenses and financing costs. However, the Group believes that the available cash balances and the completed Series B and Series C financing, are sufficient to execute the Group’s operating plan and strategies and to meet the anticipated working capital requirements and settle all expected liabilities for a period of at least twelve months after the signing date of these financial statements.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consolidated financial statements have been prepared on a going concern basis.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The outbreak of a novel strain of the coronavirus, specifically identified as “COVID-19”, has spread globally. Originating in China and spreading globally, COVID-19 is a virus causing potentially deadly respiratory tract infections and has impacted the global economy. In March 2020, the World Health Organization declared COVID-19 a pandemic.</w:t>
      </w:r>
    </w:p>
    <w:p>
      <w:pPr>
        <w:spacing w:after="0" w:line="184"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Group has taken appropriate measures to protect the safety of the employees and continuously monitors and evaluates the situation regarding COVID-19. The impact of COVID-19 to date is limited. COVID-19 ultimately may impact the clinical trials, including potential delays and restrictions on the ability to recruit and retain patients, principal investigators and healthcare employees. COVID-19 could also affect the operations of contract research organizations (CRO), or other contracted suppliers which may result in delays or disruptions in the supply of product candidates. The Group continuously monitors the situation regarding COVID-19, and the possible impact on the CROs, contract manufacturing organizations and clinical sites performing research and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320" w:top="459" w:right="3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development activities for the Group. All efforts are made to develop alternatives to limit the impact of COVID-19 going forward.</w:t>
      </w:r>
    </w:p>
    <w:p>
      <w:pPr>
        <w:spacing w:after="0" w:line="22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Management concluded that the COVID-19 is expected to have some impact but would not have material adverse effect on the financial condition or liquidity of the Group.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Basis of consolidation</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Subsidiaries are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reporting</w:t>
      </w:r>
    </w:p>
    <w:p>
      <w:pPr>
        <w:spacing w:after="0" w:line="12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Group’s Chief Operating Decision Maker (“CODM”). By these criteria, the activities of Pharvaris are considered to be one segment which comprises the discovery, development and commercialization of oral bradykinin B2 receptor antagonists and the segmental analysis is the same as the analysis for Pharvaris as a whole. The Board of directors is identified as the CODM and reviews the consolidated operating results regularly to make decisions about the resources and to assess overall performance.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Foreign currencies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consolidated financial statements are presented in euros, which is also the Group’s functional currency.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and balances</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Transactions in foreign currencies are initially recorded by the Group’s entities at their respective functional currency spot rates at the date the transaction first qualifies for recognition.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rates at the dates of the initial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Notes to the cash flow statement</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cash flow statement has been prepared using the indirect method. The cash and cash equivalents disclosed in the cash flow statement comprises of cash at bank.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Property, Plant and Equipment</w:t>
      </w:r>
    </w:p>
    <w:p>
      <w:pPr>
        <w:spacing w:after="0" w:line="121"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Depreciation on property, plant and equipment is calculated using the straight-line method to allocate their cost over their estimated useful lives, as follows:</w:t>
      </w:r>
    </w:p>
    <w:p>
      <w:pPr>
        <w:spacing w:after="0" w:line="76" w:lineRule="exact"/>
        <w:rPr>
          <w:sz w:val="20"/>
          <w:szCs w:val="20"/>
          <w:color w:val="auto"/>
        </w:rPr>
      </w:pPr>
    </w:p>
    <w:p>
      <w:pPr>
        <w:ind w:left="1000" w:hanging="547"/>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Office equipment 3-5 years</w:t>
      </w:r>
    </w:p>
    <w:p>
      <w:pPr>
        <w:spacing w:after="0" w:line="225" w:lineRule="exact"/>
        <w:rPr>
          <w:sz w:val="20"/>
          <w:szCs w:val="20"/>
          <w:color w:val="auto"/>
        </w:rPr>
      </w:pPr>
    </w:p>
    <w:p>
      <w:pPr>
        <w:ind w:right="520" w:firstLine="449"/>
        <w:spacing w:after="0" w:line="308" w:lineRule="auto"/>
        <w:rPr>
          <w:sz w:val="20"/>
          <w:szCs w:val="20"/>
          <w:color w:val="auto"/>
        </w:rPr>
      </w:pPr>
      <w:r>
        <w:rPr>
          <w:rFonts w:ascii="Arial" w:cs="Arial" w:eastAsia="Arial" w:hAnsi="Arial"/>
          <w:sz w:val="17"/>
          <w:szCs w:val="17"/>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46"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Gains and losses on disposals are determined by comparing proceeds with the carrying amount and are recognized in the consolidated statements of profit or loss and comprehensive income (loss).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Financial instruments—Recognition and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assets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recognition and measurement</w:t>
      </w:r>
    </w:p>
    <w:p>
      <w:pPr>
        <w:spacing w:after="0" w:line="103"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Financial assets are initially measured at fair value. After the initial measurement, the financial assets are subsequently classified as either measured at amortized cost, fair value through the consolidated statements of profit or loss and comprehensive income (loss).</w:t>
      </w:r>
    </w:p>
    <w:p>
      <w:pPr>
        <w:spacing w:after="0" w:line="17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classification of financial assets at initial recognition depends on the financial asset’s contractual cash flow characteristics and the Group’s business model for managing them. The Group initially measures a financial asset at its fair value. Financial assets are included in Group’s statements of financial position when Pharvaris becomes a party to the contractual provisions of the instrument.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Financial assets are subsequently measured at amortized cost. Financial assets at amortized cost are subsequently measured using the effective interest method and are subject to impairment. Gains and losses are recognized in the consolidated statements of profit or loss and other comprehensive income (loss) when the asset is derecognized, modified or impaired.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2019 and 2018, the Group had the following financial assets to be measured at amortized cost:</w:t>
      </w:r>
    </w:p>
    <w:p>
      <w:pPr>
        <w:spacing w:after="0" w:line="131" w:lineRule="exact"/>
        <w:rPr>
          <w:sz w:val="20"/>
          <w:szCs w:val="20"/>
          <w:color w:val="auto"/>
        </w:rPr>
      </w:pPr>
    </w:p>
    <w:p>
      <w:pPr>
        <w:ind w:left="1000" w:hanging="547"/>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Receivables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Derecognition</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Financial assets are derecognized when the rights to receive cash flows from the investments have expired or have been transferred and where the Group has transferred substantially all risks and rewards of ownership.</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recognition and measurement</w:t>
      </w:r>
    </w:p>
    <w:p>
      <w:pPr>
        <w:spacing w:after="0" w:line="103"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other comprehensive income, or fair value through the consolidated statements of profit or loss and other comprehensive income (loss), as payables.</w:t>
      </w:r>
    </w:p>
    <w:p>
      <w:pPr>
        <w:spacing w:after="0" w:line="170" w:lineRule="exact"/>
        <w:rPr>
          <w:sz w:val="20"/>
          <w:szCs w:val="20"/>
          <w:color w:val="auto"/>
        </w:rPr>
      </w:pPr>
    </w:p>
    <w:p>
      <w:pPr>
        <w:ind w:right="660" w:firstLine="449"/>
        <w:spacing w:after="0" w:line="277"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and payables, net of directly attributable transaction costs. The Group’s financial liabilities include trade payables and accrued liabilities.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After initial recognition, trade payables and accrued liabilities are subsequently measured at amortized cost. Gains and losses are recognized in the consolidated statements of profit or loss and other comprehensive income (loss).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liability is derecognized when the obligation under the liability is discharged or cancelled or is expired.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Receivables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Receivables are recognized initially at fair value and subsequently measured at amortised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Cash and cash equivalents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comprise bank balances.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Equity</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unfavourable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Ordinary shares are classified as equity.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Preferred shares are equity classified as result of:</w:t>
      </w:r>
    </w:p>
    <w:p>
      <w:pPr>
        <w:spacing w:after="0" w:line="131" w:lineRule="exact"/>
        <w:rPr>
          <w:sz w:val="20"/>
          <w:szCs w:val="20"/>
          <w:color w:val="auto"/>
        </w:rPr>
      </w:pPr>
    </w:p>
    <w:p>
      <w:pPr>
        <w:ind w:left="1000" w:right="360" w:hanging="547"/>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lack of contractual obligation to deliver cash or another financial asset to another entity, or to exchange financial assets or financial liabilities with another entity under conditions that are potentially unfavourable to the Group.</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contractual obligation to transfer an amount (dividend) independent of the entity’s available economic resources.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Pursuant to the shareholders’ agreement, all of the outstanding preferred shares will automatically convert into ordinary shares upon the consummation of a qualified Initial Public Offering (IPO) or on request of the majority of the issued and outstanding preferred shares. The conversion rate for the preferred shares is calculated by reference to the original issue price of relevant preferred shares, adjusted for certain anti-dilution protections.</w:t>
      </w:r>
    </w:p>
    <w:p>
      <w:pPr>
        <w:spacing w:after="0" w:line="149"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The holders of the outstanding preferred shares are entitled to convert the preferred shares, at any time, without payment of additional consideration into ordinary shares at a conversion rate of 1:1 which conversion rate shall be adjusted so as to reflect this ratio after any amendment of the nominal value by means of any stock splits, reclassification of shares and similar events.</w:t>
      </w:r>
    </w:p>
    <w:p>
      <w:pPr>
        <w:spacing w:after="0" w:line="184" w:lineRule="exact"/>
        <w:rPr>
          <w:sz w:val="20"/>
          <w:szCs w:val="20"/>
          <w:color w:val="auto"/>
        </w:rPr>
      </w:pPr>
    </w:p>
    <w:p>
      <w:pPr>
        <w:ind w:right="440" w:firstLine="449"/>
        <w:spacing w:after="0" w:line="308" w:lineRule="auto"/>
        <w:rPr>
          <w:sz w:val="20"/>
          <w:szCs w:val="20"/>
          <w:color w:val="auto"/>
        </w:rPr>
      </w:pPr>
      <w:r>
        <w:rPr>
          <w:rFonts w:ascii="Arial" w:cs="Arial" w:eastAsia="Arial" w:hAnsi="Arial"/>
          <w:sz w:val="17"/>
          <w:szCs w:val="17"/>
          <w:color w:val="auto"/>
        </w:rPr>
        <w:t>The Group issued two classes of preferred shares, convertible preferred shares A and convertible preferred shares B. The dividend preference is noncumulative and is only applicable when the general meeting of shareholder’s decides to make a profit distribution (Note 15).</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shares A and convertible preferred shares B</w:t>
      </w:r>
    </w:p>
    <w:p>
      <w:pPr>
        <w:spacing w:after="0" w:line="117"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Preferred shares A and preferred shares B have a dividend preference over ordinary shares. In addition, preferred shares A and preferred shares B have an anti-dilution protection that is not applicable for ordinary shares. The anti-dilution protection is under the full control of the Group and does not affect the equity classification of the preferred shares A and preferred shares B.</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Preferred shares A and preferred shares B both qualify as equity. Dividends paid on the preference shares are treated as profit appropriation.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Trade and other payables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Trade and other payables are obligations to pay for goods or services that have been acquired in the ordinary course of business from suppliers. Accounts payable are classified as current liabilities if payment is due within one year or less (or in the normal operating cycle of the business if longer). If not, they are presented as non-current liabilities.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Trade and other payables are recognized initially at fair value and subsequently measured at amortized cost using the effective interest method.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Current and deferred income tax</w:t>
      </w:r>
    </w:p>
    <w:p>
      <w:pPr>
        <w:spacing w:after="0" w:line="121"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The tax expense for the period comprises current and deferred tax. Tax effects are recognized in the consolidated statements of income or loss and comprehensive income (loss), except to the extent that it relates to items recognized in other comprehensive income or directly in equity.</w:t>
      </w:r>
    </w:p>
    <w:p>
      <w:pPr>
        <w:spacing w:after="0" w:line="14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Deferred income tax assets are recognized only to the extent that it is probable that future taxable profit will be available against which the temporary differences can be utilized.</w:t>
      </w:r>
    </w:p>
    <w:p>
      <w:pPr>
        <w:spacing w:after="0" w:line="170"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Share-based payment</w:t>
      </w:r>
    </w:p>
    <w:p>
      <w:pPr>
        <w:spacing w:after="0" w:line="121"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against a credit in equity. The total amount to be expensed is determined by reference to the grant date fair value of the equity instruments granted, including the impact of any market performance vesting conditions and non-vesting conditions.</w:t>
      </w:r>
    </w:p>
    <w:p>
      <w:pPr>
        <w:spacing w:after="0" w:line="15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Service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If the length of the vesting period varies depending on when a non-market performance condition is satisfied, the total expense is recognized over the expected vesting period. The Group recognizes the impact of the revision to previous estimates, if any, in the consolidated statements of profit or loss and other comprehensive income (loss), with a corresponding adjustment to equity.</w:t>
      </w:r>
    </w:p>
    <w:p>
      <w:pPr>
        <w:spacing w:after="0" w:line="188"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When options are exercised, the Company issues new shares. The proceeds received net of any directly attributable transaction costs are credited to share capital (nominal value) and share premium when the options are exercised.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2019 or 2018. See Note 4 for information relating to research and development expenses incurred in the reporting period.</w:t>
      </w:r>
    </w:p>
    <w:p>
      <w:pPr>
        <w:spacing w:after="0" w:line="178"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At each balance sheet date, the Group estimates the level of services performed by the vendors and the associated cost incurred for the services performed.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are recognized in Group’s consolidated statements of profit or loss and other comprehensive income (loss) as expenses when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2.16 New and amended standards and interpretations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IFRS 16 Leases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impact and transition</w:t>
      </w:r>
    </w:p>
    <w:p>
      <w:pPr>
        <w:spacing w:after="0" w:line="11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In the current year, the Group has applied IFRS 16 Leases (as issued by the IASB effective January 1, 2019). IFRS 16 introduces new or amended requirements with respect to lease accounting. It introduces significant changes to lessee accounting by removing the distinction between operating and finance leases and requiring the recognition of a right-of-use asset and a lease liability at the lease commencement for all leases, except for short term leases and leases of low value assets. Details of the Group’s accounting policies under IFRS 16 are set out as below.</w:t>
      </w:r>
    </w:p>
    <w:p>
      <w:pPr>
        <w:spacing w:after="0" w:line="15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Group adopted IFRS 16 using the modified retrospective method of adoption with the date of initial application of January 1, 2019. Under this method, the standard is applied retrospectively with the cumulative effect of initially applying the standard recognized at the date of initial application. The Group elected to use certain transition practical expedients, described below:</w:t>
      </w:r>
    </w:p>
    <w:p>
      <w:pPr>
        <w:spacing w:after="0" w:line="89" w:lineRule="exact"/>
        <w:rPr>
          <w:sz w:val="20"/>
          <w:szCs w:val="20"/>
          <w:color w:val="auto"/>
        </w:rPr>
      </w:pPr>
    </w:p>
    <w:p>
      <w:pPr>
        <w:ind w:left="1000" w:hanging="332"/>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not reassess upon transition whether an existing contract contains a lease; and</w:t>
      </w:r>
    </w:p>
    <w:p>
      <w:pPr>
        <w:spacing w:after="0" w:line="130" w:lineRule="exact"/>
        <w:rPr>
          <w:rFonts w:ascii="Arial" w:cs="Arial" w:eastAsia="Arial" w:hAnsi="Arial"/>
          <w:sz w:val="18"/>
          <w:szCs w:val="18"/>
          <w:color w:val="auto"/>
        </w:rPr>
      </w:pPr>
    </w:p>
    <w:p>
      <w:pPr>
        <w:ind w:left="1000" w:hanging="382"/>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recognition exemptions for short-term leases (less than 12 months of lease term) and leases of low-value assets.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on lessee accounting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Applying IFRS 16 for all leases, the Group:</w:t>
      </w:r>
    </w:p>
    <w:p>
      <w:pPr>
        <w:spacing w:after="0" w:line="131" w:lineRule="exact"/>
        <w:rPr>
          <w:sz w:val="20"/>
          <w:szCs w:val="20"/>
          <w:color w:val="auto"/>
        </w:rPr>
      </w:pPr>
    </w:p>
    <w:p>
      <w:pPr>
        <w:ind w:left="1000" w:hanging="332"/>
        <w:spacing w:after="0" w:line="277"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Recognizes a right-of-use asset and a corresponding lease liability in the consolidated statement of financial position, initially measured at the present value of future lease payments;</w:t>
      </w:r>
    </w:p>
    <w:p>
      <w:pPr>
        <w:spacing w:after="0" w:line="75" w:lineRule="exact"/>
        <w:rPr>
          <w:rFonts w:ascii="Arial" w:cs="Arial" w:eastAsia="Arial" w:hAnsi="Arial"/>
          <w:sz w:val="18"/>
          <w:szCs w:val="18"/>
          <w:color w:val="auto"/>
        </w:rPr>
      </w:pPr>
    </w:p>
    <w:p>
      <w:pPr>
        <w:ind w:left="1000" w:hanging="382"/>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Recognizes depreciation of right-of-use assets and interest on lease liabilities in the consolidated statement of profit or loss; and</w:t>
      </w:r>
    </w:p>
    <w:p>
      <w:pPr>
        <w:spacing w:after="0" w:line="130" w:lineRule="exact"/>
        <w:rPr>
          <w:rFonts w:ascii="Arial" w:cs="Arial" w:eastAsia="Arial" w:hAnsi="Arial"/>
          <w:sz w:val="18"/>
          <w:szCs w:val="18"/>
          <w:color w:val="auto"/>
        </w:rPr>
      </w:pPr>
    </w:p>
    <w:p>
      <w:pPr>
        <w:ind w:left="1000" w:hanging="432"/>
        <w:spacing w:after="0" w:line="277"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Separates the total amount of cash paid into a principal portion (presented within financing activities) and interest (presented within operating activities) in the consolidated statement of cash flows.</w:t>
      </w:r>
    </w:p>
    <w:p>
      <w:pPr>
        <w:spacing w:after="0" w:line="170"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Under IFRS 16, right-of-use assets will be tested for impairment in accordance with IAS 36 Impairment of Assets. This replaces the previous requirement to recognize a provision for onerous lease contracts.</w:t>
      </w:r>
    </w:p>
    <w:p>
      <w:pPr>
        <w:spacing w:after="0" w:line="170"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For short-term leases (a lease term of 12 months or less) and leases of low-value assets, the Group has opted to recognize a lease expense on a straight-line basis as permitted by IFRS 16. This expense is presented within general and administrative expenses in the consolidated statement of profit and loss and other comprehensive income and (loss).</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As at December 31, 2018, the Group did not hold any finance leases with terms greater than 12 months. As at January 1, 2019, the date of initial application of IFRS 16, the Group had no leases with terms greater than 12 months. The Group is not subject to retrospective application of IFRS 16 nor restatement of comparative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2.17 Standards issued but not yet effective</w:t>
      </w:r>
    </w:p>
    <w:p>
      <w:pPr>
        <w:spacing w:after="0" w:line="12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standards and interpretations that are issued, but not yet effective, up to the date of issuance of the Group’s financial statements are disclosed below. The Group intends to adopt these standards, if applicable, when they become effective.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459" w:right="3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Definition of a Business—Amendments to IFRS 3</w:t>
      </w:r>
    </w:p>
    <w:p>
      <w:pPr>
        <w:spacing w:after="0" w:line="117"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The IASB issued amendments to the definition of a business in IFRS 3 Business Combinations to help entities determine whether an acquired set of activities and assets is a business or not. They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New illustrative examples were provided along with the amendments.</w:t>
      </w:r>
    </w:p>
    <w:p>
      <w:pPr>
        <w:spacing w:after="0" w:line="15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amendments must be applied to transactions that are either business combinations or asset acquisitions for which the acquisition date is on or after the beginning of the first annual reporting period beginning on or after January 1, 2020. Consequently, entities do not have to revisit such transactions that occurred in prior periods. Earlier application is permitted and must be disclosed. The Group has assessed amendments IFRS 3’s full impact and concludes that the amendments to the definition of a business in IFRS to have no impact on Group’s consolidated financial statements. The Group intends to adopt it no later than the accounting period beginning on January 1, 2020.</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Definition of Material—Amendments to IAS 1 and IAS 8</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October 2018, the IASB issued amendments to IAS 1 Presentation of Financial Statements and IAS 8 to align the definition of ‘material’ across the standards and to clarify certain aspects of the definition. The new definition states that, ‘Information is material if omitting, misstating or obscuring it could reasonably be expected to influence decisions that the primary users of general purpose financial statements make on the basis of those financial statements, which provide financial information about a specific reporting entity.’</w:t>
      </w:r>
    </w:p>
    <w:p>
      <w:pPr>
        <w:spacing w:after="0" w:line="18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amendments clarify that materiality will depend on the nature or magnitude of information, or both. An entity will need to assess whether the information, either individually or in combination with other information, is material in the context of the financial statements.</w:t>
      </w:r>
    </w:p>
    <w:p>
      <w:pPr>
        <w:spacing w:after="0" w:line="170"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Although the amendments to the definition of material is not expected to have a significant impact on an entity’s financial statements, the introduction of the term ‘obscuring information’ in the definition could potentially impact how materiality judgements are made in practice, by elevating the importance of how information is communicated and organised in the financial statements.</w:t>
      </w:r>
    </w:p>
    <w:p>
      <w:pPr>
        <w:spacing w:after="0" w:line="184"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The amendments are effective for annual periods beginning on or after January 1, 2020. The amendments must be applied prospectively. Early application is permitted and must be disclosed. The Group has assessed amendments IAS 1 and IAS 8’s full impact and intends to adopt it no later than the accounting period beginning on January 1, 2020. The amendments are not expected to have material effect on the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2.18 Significant accounting judgements, estimates and assumptions</w:t>
      </w:r>
    </w:p>
    <w:p>
      <w:pPr>
        <w:spacing w:after="0" w:line="12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65"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70"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The key assumptions concerning the future and other key sources of estimation uncertainty at the reporting date, that have a significant risk of causing a material adjustment to the carrying amounts of assets and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2.14. The total amount to be expensed is determined by reference to the fair value of the options or restricted stock units granted. The fair value is measured at the date of grant using an Option Pricing model as further explained in Note 16.</w:t>
      </w:r>
    </w:p>
    <w:p>
      <w:pPr>
        <w:spacing w:after="0" w:line="18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Due to the lack of quoted market prices, the Group has determined the fair value for the measurement of the equity-settled transactions at the grant date with assistance of an external appraiser, considering certain assumptions relating to the volatility of stock price, the determination of an appropriate risk-free interest rate and expected dividends.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Research and development expenses are currently not capitalized but are expensed because the criteria for capitalization are not met (Note 2.15 and Note 4).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First-time adoption of IFRS</w:t>
      </w:r>
    </w:p>
    <w:p>
      <w:pPr>
        <w:spacing w:after="0" w:line="121"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These financial statements, for the year ended December 31, 2019, are the first the Group has prepared in accordance with IFRS. For periods up to and including the year ended December 31, 2018, the Group prepared its consolidated financial statements in accordance with the provisions of</w:t>
      </w:r>
    </w:p>
    <w:p>
      <w:pPr>
        <w:ind w:right="40"/>
        <w:spacing w:after="0" w:line="260" w:lineRule="auto"/>
        <w:rPr>
          <w:sz w:val="20"/>
          <w:szCs w:val="20"/>
          <w:color w:val="auto"/>
        </w:rPr>
      </w:pPr>
      <w:r>
        <w:rPr>
          <w:rFonts w:ascii="Arial" w:cs="Arial" w:eastAsia="Arial" w:hAnsi="Arial"/>
          <w:sz w:val="18"/>
          <w:szCs w:val="18"/>
          <w:color w:val="auto"/>
        </w:rPr>
        <w:t>Title 9, Book 2 of the Dutch Civil Code and the firm pronouncements in the Dutch Accounting Standards, as published by the Dutch Accounting Standards Board (‘Raad voor de Jaarverslaggeving’) (Dutch GAAP) as local generally accepted accounting principles.</w:t>
      </w:r>
    </w:p>
    <w:p>
      <w:pPr>
        <w:spacing w:after="0" w:line="18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Accordingly, the Group has prepared consolidated financial statements that comply with IFRS applicable as at December 31, 2019, together with the comparative period data for the year ended December 31, 2018. In preparing the financial statements, the Group’s opening statement of financial position was prepared as at January 1, 2018, the Group’s date of transition to IFRS.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did not identify any differences between Dutch GAAP and IFRS.</w:t>
      </w:r>
    </w:p>
    <w:p>
      <w:pPr>
        <w:spacing w:after="0" w:line="225"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This note explains the adjustments made by the Group in restating its Dutch GAAP consolidated financial statements, including the consolidated statement of financial position as at January 1, 2018 and the financial statements as of, and for the year ended December 31, 2018, as disclosed in note 3.3.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Exemptions applied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 allows first-time adopters certain exemptions from the retrospective application of certain requirements under IFRS.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has not applied any exemption.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Estimates</w:t>
      </w:r>
    </w:p>
    <w:p>
      <w:pPr>
        <w:spacing w:after="0" w:line="121"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The estimates at January 1, 2018 and at December 31, 2018 are consistent with those made for the same dates in accordance with Dutch GAAP. The estimates used by the Group to present these amounts in accordance with IFRS reflect conditions at January 1, 2018, the date of transition to IFRS and as at December 31,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Adjustments to Dutch GAAP financial statements as of January 1, 2018 and December 31, 2018</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In connection with the audit of our consolidated financial statements for the years ended December 31, 2018 and 2019, the following errors were identified in the Dutch GAAP financial statements:</w:t>
      </w:r>
    </w:p>
    <w:p>
      <w:pPr>
        <w:spacing w:after="0" w:line="76" w:lineRule="exact"/>
        <w:rPr>
          <w:sz w:val="20"/>
          <w:szCs w:val="20"/>
          <w:color w:val="auto"/>
        </w:rPr>
      </w:pPr>
    </w:p>
    <w:p>
      <w:pPr>
        <w:ind w:left="1000" w:hanging="372"/>
        <w:spacing w:after="0"/>
        <w:tabs>
          <w:tab w:leader="none" w:pos="1000" w:val="left"/>
        </w:tabs>
        <w:numPr>
          <w:ilvl w:val="0"/>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 in the consolidated statement of financial position as at January 1, 2018</w:t>
      </w:r>
    </w:p>
    <w:p>
      <w:pPr>
        <w:spacing w:after="0" w:line="131" w:lineRule="exact"/>
        <w:rPr>
          <w:sz w:val="20"/>
          <w:szCs w:val="20"/>
          <w:color w:val="auto"/>
        </w:rPr>
      </w:pPr>
    </w:p>
    <w:p>
      <w:pPr>
        <w:ind w:left="1000" w:right="100" w:hanging="306"/>
        <w:spacing w:after="0" w:line="277" w:lineRule="auto"/>
        <w:rPr>
          <w:sz w:val="20"/>
          <w:szCs w:val="20"/>
          <w:color w:val="auto"/>
        </w:rPr>
      </w:pPr>
      <w:r>
        <w:rPr>
          <w:rFonts w:ascii="Arial" w:cs="Arial" w:eastAsia="Arial" w:hAnsi="Arial"/>
          <w:sz w:val="18"/>
          <w:szCs w:val="18"/>
          <w:color w:val="auto"/>
        </w:rPr>
        <w:t>– Transaction costs for issuance of preferred shares A of €95,418 were expensed instead of recorded through equity (share premium), resulting in a revision in equity of the same amount, from accumulated losses to share premium.</w:t>
      </w:r>
    </w:p>
    <w:p>
      <w:pPr>
        <w:spacing w:after="0" w:line="75" w:lineRule="exact"/>
        <w:rPr>
          <w:sz w:val="20"/>
          <w:szCs w:val="20"/>
          <w:color w:val="auto"/>
        </w:rPr>
      </w:pPr>
    </w:p>
    <w:p>
      <w:pPr>
        <w:ind w:left="1000" w:right="320" w:hanging="306"/>
        <w:spacing w:after="0" w:line="277" w:lineRule="auto"/>
        <w:rPr>
          <w:sz w:val="20"/>
          <w:szCs w:val="20"/>
          <w:color w:val="auto"/>
        </w:rPr>
      </w:pPr>
      <w:r>
        <w:rPr>
          <w:rFonts w:ascii="Arial" w:cs="Arial" w:eastAsia="Arial" w:hAnsi="Arial"/>
          <w:sz w:val="18"/>
          <w:szCs w:val="18"/>
          <w:color w:val="auto"/>
        </w:rPr>
        <w:t>– Share based payment expenses of €175,247 were omitted from the Dutch GAAP financial statements and as such are adjusted by revision between accumulated losses and other reserves.</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An additional accrual of €21,366 has been recorded in accrued liabilities due to timing of expenses.</w:t>
      </w:r>
    </w:p>
    <w:p>
      <w:pPr>
        <w:spacing w:after="0" w:line="131" w:lineRule="exact"/>
        <w:rPr>
          <w:sz w:val="20"/>
          <w:szCs w:val="20"/>
          <w:color w:val="auto"/>
        </w:rPr>
      </w:pPr>
    </w:p>
    <w:p>
      <w:pPr>
        <w:ind w:left="1000" w:hanging="372"/>
        <w:spacing w:after="0"/>
        <w:tabs>
          <w:tab w:leader="none" w:pos="100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 in the consolidated financial statements as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-10160</wp:posOffset>
            </wp:positionV>
            <wp:extent cx="285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1" w:lineRule="exact"/>
        <w:rPr>
          <w:sz w:val="20"/>
          <w:szCs w:val="20"/>
          <w:color w:val="auto"/>
        </w:rPr>
      </w:pPr>
    </w:p>
    <w:p>
      <w:pPr>
        <w:ind w:left="1000" w:right="80" w:hanging="306"/>
        <w:spacing w:after="0" w:line="277" w:lineRule="auto"/>
        <w:rPr>
          <w:sz w:val="20"/>
          <w:szCs w:val="20"/>
          <w:color w:val="auto"/>
        </w:rPr>
      </w:pPr>
      <w:r>
        <w:rPr>
          <w:rFonts w:ascii="Arial" w:cs="Arial" w:eastAsia="Arial" w:hAnsi="Arial"/>
          <w:sz w:val="18"/>
          <w:szCs w:val="18"/>
          <w:color w:val="auto"/>
        </w:rPr>
        <w:t>– Share based payment expenses of €100,745 were omitted from the Dutch GAAP financial statements and as such are adjusted in the research and development expenses, general and administrative expenses and other reserves.</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An additional accrual of €218,919 has been recorded in trade payables and accrued liabilities due to timing of expenses.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A cut-off error of €25,895 has been recorded in the receivables.</w:t>
      </w:r>
    </w:p>
    <w:p>
      <w:pPr>
        <w:spacing w:after="0" w:line="329" w:lineRule="exact"/>
        <w:rPr>
          <w:sz w:val="20"/>
          <w:szCs w:val="20"/>
          <w:color w:val="auto"/>
        </w:rPr>
      </w:pPr>
    </w:p>
    <w:p>
      <w:pPr>
        <w:ind w:left="180" w:hanging="172"/>
        <w:spacing w:after="0"/>
        <w:tabs>
          <w:tab w:leader="none" w:pos="1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88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(Note 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(131,544)</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(99,946)</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Clinical expenses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(2,009,892)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(205,873)</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Pre-clinical expenses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(1,850,444)</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(2,449,046)</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Manufacturing costs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(1,379,590)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(870,933)</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License costs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(13,092)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(19,615)</w:t>
            </w:r>
          </w:p>
        </w:tc>
      </w:tr>
      <w:tr>
        <w:trPr>
          <w:trHeight w:val="27"/>
        </w:trPr>
        <w:tc>
          <w:tcPr>
            <w:tcW w:w="8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(5,684,562)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(3,645,413)</w:t>
            </w:r>
          </w:p>
        </w:tc>
      </w:tr>
      <w:tr>
        <w:trPr>
          <w:trHeight w:val="20"/>
        </w:trPr>
        <w:tc>
          <w:tcPr>
            <w:tcW w:w="8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Development expenses are currently not capitalized but are recorded in consolidated statements of profit or loss and other comprehensive income or loss because the recognition criteria for capitalisation are not met.</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Pre-clinical expenses, which include costs of our outsourced discovery, preclinical and nonclinical development studies.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91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(Note 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(49,601)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Consulting fees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(990,730)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(333,160)</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(495,326)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(62,958)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Accounting and auditing fees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(300,841)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(111,852)</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(236,904)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(84,970)</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Facilities, communication &amp; office expenses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(167,062)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(47,536)</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(85,255)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(26,846)</w:t>
            </w:r>
          </w:p>
        </w:tc>
      </w:tr>
      <w:tr>
        <w:trPr>
          <w:trHeight w:val="223"/>
        </w:trPr>
        <w:tc>
          <w:tcPr>
            <w:tcW w:w="910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(2,325,719)</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(668,121)</w:t>
            </w:r>
          </w:p>
        </w:tc>
        <w:tc>
          <w:tcPr>
            <w:tcW w:w="14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0" w:firstLine="449"/>
        <w:spacing w:after="0" w:line="263" w:lineRule="auto"/>
        <w:rPr>
          <w:sz w:val="20"/>
          <w:szCs w:val="20"/>
          <w:color w:val="auto"/>
        </w:rPr>
      </w:pPr>
      <w:r>
        <w:rPr>
          <w:rFonts w:ascii="Arial" w:cs="Arial" w:eastAsia="Arial" w:hAnsi="Arial"/>
          <w:sz w:val="18"/>
          <w:szCs w:val="18"/>
          <w:color w:val="auto"/>
        </w:rPr>
        <w:t>In 2019 the Group entered into a lease arrangement, which was assessed to be a short-term lease (with a lease term of 12 months equalling its non-cancellable period). The total outflow for the leases in 2019 was € 78,897 (2018: €0) and is included in the Facilities, communication &amp; office expenses.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expenses of €549 (2018: €0) is included in the other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Personnel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20" w:type="dxa"/>
            <w:vAlign w:val="bottom"/>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93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(50,573)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Pension charges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(1,750)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social security charges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Share-based payments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(116,147)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(100,745)</w:t>
            </w:r>
          </w:p>
        </w:tc>
      </w:tr>
      <w:tr>
        <w:trPr>
          <w:trHeight w:val="27"/>
        </w:trPr>
        <w:tc>
          <w:tcPr>
            <w:tcW w:w="9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(181,145)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(100,745)</w:t>
            </w:r>
          </w:p>
        </w:tc>
      </w:tr>
      <w:tr>
        <w:trPr>
          <w:trHeight w:val="20"/>
        </w:trPr>
        <w:tc>
          <w:tcPr>
            <w:tcW w:w="9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Workforce</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average number of staff (in FTEs) employed by the Group in 2019 was 3 (2018: 0). No employees were employed by the Group in 2018, as the Group had contracted consultants for the operations in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Office</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5600" w:type="dxa"/>
            <w:vAlign w:val="bottom"/>
          </w:tcPr>
          <w:p>
            <w:pPr>
              <w:jc w:val="right"/>
              <w:ind w:right="296"/>
              <w:spacing w:after="0"/>
              <w:rPr>
                <w:sz w:val="20"/>
                <w:szCs w:val="20"/>
                <w:color w:val="auto"/>
              </w:rPr>
            </w:pPr>
            <w:r>
              <w:rPr>
                <w:rFonts w:ascii="Arial" w:cs="Arial" w:eastAsia="Arial" w:hAnsi="Arial"/>
                <w:sz w:val="14"/>
                <w:szCs w:val="14"/>
                <w:color w:val="auto"/>
              </w:rPr>
              <w:t>Notes</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equipment</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5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5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Opening net book amount</w:t>
            </w:r>
          </w:p>
        </w:tc>
        <w:tc>
          <w:tcPr>
            <w:tcW w:w="56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13,476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13,476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Depreciation expenses</w:t>
            </w:r>
          </w:p>
        </w:tc>
        <w:tc>
          <w:tcPr>
            <w:tcW w:w="5600" w:type="dxa"/>
            <w:vAlign w:val="bottom"/>
          </w:tcPr>
          <w:p>
            <w:pPr>
              <w:jc w:val="right"/>
              <w:ind w:right="296"/>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net book amount</w:t>
            </w:r>
          </w:p>
        </w:tc>
        <w:tc>
          <w:tcPr>
            <w:tcW w:w="5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12,927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12,927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2019</w:t>
            </w: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80" w:type="dxa"/>
            <w:vAlign w:val="bottom"/>
            <w:vMerge w:val="continue"/>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5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13,476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13,476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6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amount</w:t>
            </w:r>
          </w:p>
        </w:tc>
        <w:tc>
          <w:tcPr>
            <w:tcW w:w="5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12,927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12,927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00" w:type="dxa"/>
            <w:vAlign w:val="bottom"/>
            <w:vMerge w:val="restart"/>
          </w:tcPr>
          <w:p>
            <w:pPr>
              <w:jc w:val="right"/>
              <w:ind w:right="3596"/>
              <w:spacing w:after="0"/>
              <w:rPr>
                <w:sz w:val="20"/>
                <w:szCs w:val="20"/>
                <w:color w:val="auto"/>
              </w:rPr>
            </w:pPr>
            <w:r>
              <w:rPr>
                <w:rFonts w:ascii="Arial" w:cs="Arial" w:eastAsia="Arial" w:hAnsi="Arial"/>
                <w:sz w:val="18"/>
                <w:szCs w:val="18"/>
                <w:color w:val="auto"/>
              </w:rPr>
              <w:t>F-18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142"/>
        </w:trPr>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10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210,843</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26,423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Prepayments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47,536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22,621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258,379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49,044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460"/>
              <w:spacing w:after="0"/>
              <w:rPr>
                <w:sz w:val="20"/>
                <w:szCs w:val="20"/>
                <w:color w:val="auto"/>
              </w:rPr>
            </w:pPr>
            <w:r>
              <w:rPr>
                <w:rFonts w:ascii="Arial" w:cs="Arial" w:eastAsia="Arial" w:hAnsi="Arial"/>
                <w:sz w:val="18"/>
                <w:szCs w:val="18"/>
                <w:color w:val="auto"/>
              </w:rPr>
              <w:t>Prepayments mainly relate to prepaid rent, insurance and general and administrative expenses.</w:t>
            </w: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60"/>
              <w:spacing w:after="0"/>
              <w:rPr>
                <w:sz w:val="20"/>
                <w:szCs w:val="20"/>
                <w:color w:val="auto"/>
              </w:rPr>
            </w:pPr>
            <w:r>
              <w:rPr>
                <w:rFonts w:ascii="Arial" w:cs="Arial" w:eastAsia="Arial" w:hAnsi="Arial"/>
                <w:sz w:val="18"/>
                <w:szCs w:val="18"/>
                <w:color w:val="auto"/>
              </w:rPr>
              <w:t>No amounts have been written off during the year.</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140" w:type="dxa"/>
            <w:vAlign w:val="bottom"/>
          </w:tcPr>
          <w:p>
            <w:pPr>
              <w:spacing w:after="0"/>
              <w:rPr>
                <w:sz w:val="20"/>
                <w:szCs w:val="20"/>
                <w:color w:val="auto"/>
              </w:rPr>
            </w:pPr>
            <w:r>
              <w:rPr>
                <w:rFonts w:ascii="Arial" w:cs="Arial" w:eastAsia="Arial" w:hAnsi="Arial"/>
                <w:sz w:val="18"/>
                <w:szCs w:val="18"/>
                <w:b w:val="1"/>
                <w:bCs w:val="1"/>
                <w:color w:val="auto"/>
              </w:rPr>
              <w:t>9. Trade and other payables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140" w:type="dxa"/>
            <w:vAlign w:val="bottom"/>
          </w:tcPr>
          <w:p>
            <w:pPr>
              <w:spacing w:after="0"/>
              <w:rPr>
                <w:sz w:val="24"/>
                <w:szCs w:val="24"/>
                <w:color w:val="auto"/>
              </w:rPr>
            </w:pPr>
          </w:p>
        </w:tc>
        <w:tc>
          <w:tcPr>
            <w:tcW w:w="66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4"/>
                <w:szCs w:val="2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142"/>
        </w:trPr>
        <w:tc>
          <w:tcPr>
            <w:tcW w:w="8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76"/>
              </w:rPr>
              <w:t>€</w:t>
            </w:r>
          </w:p>
        </w:tc>
        <w:tc>
          <w:tcPr>
            <w:tcW w:w="38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509,948</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5"/>
              </w:rPr>
              <w:t>246,356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60,472</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Tax and social security liabilities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627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517,771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5"/>
              </w:rPr>
              <w:t>246,983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61,408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assets and liabilities fair value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Fair values of cash, receivables, and current liabilities approximate their carrying amounts due to the short-term maturities of these instruments.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tax charge or income has been recognized in the years 2019 and 2018 since the Group is in a loss-making position and has a history of losses.</w:t>
      </w:r>
    </w:p>
    <w:p>
      <w:pPr>
        <w:spacing w:after="0" w:line="248"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Group has tax loss carry-forwards of approximately €5.9 million (2018: €2.7 million). Pharvaris has tax losses in the Netherlands that are available for offsetting against future taxable profits of the companies in which the losses arose. Under Dutch tax law, for years prior to 2019, profits in a given year can be offset against tax loss carry forwards for up to nine years. In 2019, the Dutch tax law was revised to limit the carry forward period to six years. Tax loss carry-forwards incurred in prior years will expire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5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0"/>
              </w:rPr>
              <w:t>Tax losses</w:t>
            </w:r>
          </w:p>
        </w:tc>
      </w:tr>
      <w:tr>
        <w:trPr>
          <w:trHeight w:val="149"/>
        </w:trPr>
        <w:tc>
          <w:tcPr>
            <w:tcW w:w="300" w:type="dxa"/>
            <w:vAlign w:val="bottom"/>
            <w:tcBorders>
              <w:top w:val="single" w:sz="8" w:color="auto"/>
            </w:tcBorders>
          </w:tcPr>
          <w:p>
            <w:pPr>
              <w:spacing w:after="0"/>
              <w:rPr>
                <w:sz w:val="12"/>
                <w:szCs w:val="12"/>
                <w:color w:val="auto"/>
              </w:rPr>
            </w:pPr>
          </w:p>
        </w:tc>
        <w:tc>
          <w:tcPr>
            <w:tcW w:w="10280" w:type="dxa"/>
            <w:vAlign w:val="bottom"/>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8"/>
              </w:rPr>
              <w:t>€ million</w:t>
            </w:r>
          </w:p>
        </w:tc>
        <w:tc>
          <w:tcPr>
            <w:tcW w:w="60" w:type="dxa"/>
            <w:vAlign w:val="bottom"/>
            <w:gridSpan w:val="2"/>
          </w:tcPr>
          <w:p>
            <w:pPr>
              <w:spacing w:after="0"/>
              <w:rPr>
                <w:sz w:val="12"/>
                <w:szCs w:val="12"/>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2026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r>
      <w:tr>
        <w:trPr>
          <w:trHeight w:val="223"/>
        </w:trPr>
        <w:tc>
          <w:tcPr>
            <w:tcW w:w="10580" w:type="dxa"/>
            <w:vAlign w:val="bottom"/>
            <w:gridSpan w:val="2"/>
          </w:tcPr>
          <w:p>
            <w:pPr>
              <w:spacing w:after="0"/>
              <w:rPr>
                <w:sz w:val="20"/>
                <w:szCs w:val="20"/>
                <w:color w:val="auto"/>
              </w:rPr>
            </w:pPr>
            <w:r>
              <w:rPr>
                <w:rFonts w:ascii="Arial" w:cs="Arial" w:eastAsia="Arial" w:hAnsi="Arial"/>
                <w:sz w:val="18"/>
                <w:szCs w:val="18"/>
                <w:b w:val="1"/>
                <w:bCs w:val="1"/>
                <w:color w:val="auto"/>
              </w:rPr>
              <w:t>Total carry-forward losses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firstLine="449"/>
        <w:spacing w:after="0" w:line="311" w:lineRule="auto"/>
        <w:rPr>
          <w:sz w:val="20"/>
          <w:szCs w:val="20"/>
          <w:color w:val="auto"/>
        </w:rPr>
      </w:pPr>
      <w:r>
        <w:rPr>
          <w:rFonts w:ascii="Arial" w:cs="Arial" w:eastAsia="Arial" w:hAnsi="Arial"/>
          <w:sz w:val="16"/>
          <w:szCs w:val="16"/>
          <w:color w:val="auto"/>
        </w:rPr>
        <w:t>Deferred tax assets on tax loss carry forwards and deductible temporary differences in excess of taxable temporary differences have not been recognized as management concluded that there is not sufficient probability as per IAS 12 that there will be future taxable profits available in the foreseeable future against which the unused tax losses can be utilized. The accumulated unused tax losses relate entirely to the Netherlands.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unrecognized deferred tax assets from temporary differences amounts to €2.9 million (2018: €1.6 million).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liabilities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7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accounting fee accruals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436,768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129,243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27,434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Clinical accrued liabilities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357,719</w:t>
            </w:r>
          </w:p>
        </w:tc>
        <w:tc>
          <w:tcPr>
            <w:tcW w:w="3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accrued liabilities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283,115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Pre-clinical accrued liabilities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275,460</w:t>
            </w:r>
          </w:p>
        </w:tc>
        <w:tc>
          <w:tcPr>
            <w:tcW w:w="3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104,549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38,774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53,297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11,220</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1,406,359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234,357</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risk management</w:t>
      </w:r>
    </w:p>
    <w:p>
      <w:pPr>
        <w:spacing w:after="0" w:line="12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Group’s principal financial instruments consist of receivables, trade and other trade payables. The financial instruments represent the Group’s working capital to serve the Group’s day-to-day operations.</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is exposed to market risk (including currency risk, interest rate risk and price risk), credit risk and liquidity risk. The Group’s management manages each risk as discussed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Currency risk</w:t>
      </w:r>
    </w:p>
    <w:p>
      <w:pPr>
        <w:spacing w:after="0" w:line="117" w:lineRule="exact"/>
        <w:rPr>
          <w:sz w:val="20"/>
          <w:szCs w:val="20"/>
          <w:color w:val="auto"/>
        </w:rPr>
      </w:pPr>
    </w:p>
    <w:p>
      <w:pPr>
        <w:ind w:right="200" w:firstLine="449"/>
        <w:spacing w:after="0" w:line="273" w:lineRule="auto"/>
        <w:rPr>
          <w:sz w:val="20"/>
          <w:szCs w:val="20"/>
          <w:color w:val="auto"/>
        </w:rPr>
      </w:pPr>
      <w:r>
        <w:rPr>
          <w:rFonts w:ascii="Arial" w:cs="Arial" w:eastAsia="Arial" w:hAnsi="Arial"/>
          <w:sz w:val="17"/>
          <w:szCs w:val="17"/>
          <w:color w:val="auto"/>
        </w:rPr>
        <w:t>The Group operates internationally and is exposed to currency risk arising from various currency exposure, primarily with respect to the British pound and the US Dollar as the Group has agreements with Contract Research Organizations (‘CRO’s) which are based in Great Britain, and consulting agreements with parties that are based in the United States of America. From these transactions, currency risk arises. No formal policy has been set-up to manage the currency risk against the functional currency of the Group. As of December 31, 2019 and 2018, the amount of trade payables in foreign currency was limited. Foreign currency trade payables are short term in nature (generally 30 days). As a result, currency rate movements during the years presented had an immaterial effect on the consolidated financial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risk</w:t>
      </w:r>
    </w:p>
    <w:p>
      <w:pPr>
        <w:spacing w:after="0" w:line="117"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The market prices for the provision of preclinical and clinical materials and services, as well as external contracted research may vary over time. The commercial prices of any of the Group’s products or product candidates are currently uncertain. The Group is not exposed to commodity price risk.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is not largely exposed to interest risk, since the Group has no borrowings.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Group’s maximum exposure to credit risk for the components of the statements of financial position on December 31, 2019 and 2018 are the carrying amounts as illustrated in Note 14.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financial assets past due date or impaired.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cash. Cash deposits are placed only with reputable financial institutions with a credit rating of not less than A- (Standard &amp; Poor’s). Credit risk is further limited by investing only in liquid instruments.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of December 31, 2019, the Company has cash of €20.3 million and received the second tranche ($41 million) of its Series B equity financing in July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November 3, 2020, the Group completed a $80 million Series C equity financing which was received on November 5, 2020.</w:t>
      </w:r>
    </w:p>
    <w:p>
      <w:pPr>
        <w:spacing w:after="0" w:line="225"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finance its activities for twelve months following the date of these financial statements.</w:t>
      </w:r>
    </w:p>
    <w:p>
      <w:pPr>
        <w:spacing w:after="0" w:line="12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Company may need additional funding in the future, which could possibly not be available to the Group at all or not at acceptable or favourable terms. This could lead to a situation where the Group would have to delay the execution of parts of its business plan.</w:t>
      </w:r>
    </w:p>
    <w:p>
      <w:pPr>
        <w:spacing w:after="0" w:line="170"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Group manages liquidity risks by holding appropriate reserves, taking timely action for future funding, as well as by monitoring forecasted and actual cash flows and reconciling the maturity profiles of financial assets and liabilities.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below table summarizes the maturity profile of the Group’s accrued liabilities based on contractual undiscounted payments: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8"/>
              </w:rPr>
              <w:t>Less than</w:t>
            </w:r>
          </w:p>
        </w:tc>
        <w:tc>
          <w:tcPr>
            <w:tcW w:w="12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w w:val="88"/>
              </w:rPr>
              <w:t>1 to 5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8"/>
              </w:rPr>
              <w:t>12 months</w:t>
            </w:r>
          </w:p>
        </w:tc>
        <w:tc>
          <w:tcPr>
            <w:tcW w:w="12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220" w:type="dxa"/>
            <w:vAlign w:val="bottom"/>
            <w:gridSpan w:val="5"/>
          </w:tcPr>
          <w:p>
            <w:pPr>
              <w:jc w:val="right"/>
              <w:ind w:right="160"/>
              <w:spacing w:after="0"/>
              <w:rPr>
                <w:sz w:val="20"/>
                <w:szCs w:val="20"/>
                <w:color w:val="auto"/>
              </w:rPr>
            </w:pPr>
            <w:r>
              <w:rPr>
                <w:rFonts w:ascii="Arial" w:cs="Arial" w:eastAsia="Arial" w:hAnsi="Arial"/>
                <w:sz w:val="18"/>
                <w:szCs w:val="18"/>
                <w:color w:val="auto"/>
              </w:rPr>
              <w:t>517,771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517,771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52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1,406,359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1,406,359</w:t>
            </w:r>
          </w:p>
        </w:tc>
        <w:tc>
          <w:tcPr>
            <w:tcW w:w="0" w:type="dxa"/>
            <w:vAlign w:val="bottom"/>
          </w:tcPr>
          <w:p>
            <w:pPr>
              <w:spacing w:after="0"/>
              <w:rPr>
                <w:sz w:val="1"/>
                <w:szCs w:val="1"/>
                <w:color w:val="auto"/>
              </w:rPr>
            </w:pPr>
          </w:p>
        </w:tc>
      </w:tr>
      <w:tr>
        <w:trPr>
          <w:trHeight w:val="369"/>
        </w:trPr>
        <w:tc>
          <w:tcPr>
            <w:tcW w:w="3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24"/>
                <w:szCs w:val="24"/>
                <w:color w:val="auto"/>
              </w:rPr>
            </w:pPr>
          </w:p>
        </w:tc>
        <w:tc>
          <w:tcPr>
            <w:tcW w:w="106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0"/>
              </w:rPr>
              <w:t>1 to 5 years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12 months</w:t>
            </w:r>
          </w:p>
        </w:tc>
        <w:tc>
          <w:tcPr>
            <w:tcW w:w="14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320" w:type="dxa"/>
            <w:vAlign w:val="bottom"/>
            <w:gridSpan w:val="6"/>
          </w:tcPr>
          <w:p>
            <w:pPr>
              <w:jc w:val="right"/>
              <w:ind w:right="100"/>
              <w:spacing w:after="0"/>
              <w:rPr>
                <w:sz w:val="20"/>
                <w:szCs w:val="20"/>
                <w:color w:val="auto"/>
              </w:rPr>
            </w:pPr>
            <w:r>
              <w:rPr>
                <w:rFonts w:ascii="Arial" w:cs="Arial" w:eastAsia="Arial" w:hAnsi="Arial"/>
                <w:sz w:val="18"/>
                <w:szCs w:val="18"/>
                <w:color w:val="auto"/>
              </w:rPr>
              <w:t>246,983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246,983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53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234,357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234,357</w:t>
            </w:r>
          </w:p>
        </w:tc>
        <w:tc>
          <w:tcPr>
            <w:tcW w:w="0" w:type="dxa"/>
            <w:vAlign w:val="bottom"/>
          </w:tcPr>
          <w:p>
            <w:pPr>
              <w:spacing w:after="0"/>
              <w:rPr>
                <w:sz w:val="1"/>
                <w:szCs w:val="1"/>
                <w:color w:val="auto"/>
              </w:rPr>
            </w:pPr>
          </w:p>
        </w:tc>
      </w:tr>
      <w:tr>
        <w:trPr>
          <w:trHeight w:val="369"/>
        </w:trPr>
        <w:tc>
          <w:tcPr>
            <w:tcW w:w="3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88"/>
              </w:rPr>
              <w:t>1 to 5 years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8"/>
              </w:rPr>
              <w:t>12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560" w:type="dxa"/>
            <w:vAlign w:val="bottom"/>
            <w:gridSpan w:val="7"/>
          </w:tcPr>
          <w:p>
            <w:pPr>
              <w:jc w:val="right"/>
              <w:ind w:right="240"/>
              <w:spacing w:after="0"/>
              <w:rPr>
                <w:sz w:val="20"/>
                <w:szCs w:val="20"/>
                <w:color w:val="auto"/>
              </w:rPr>
            </w:pPr>
            <w:r>
              <w:rPr>
                <w:rFonts w:ascii="Arial" w:cs="Arial" w:eastAsia="Arial" w:hAnsi="Arial"/>
                <w:sz w:val="18"/>
                <w:szCs w:val="18"/>
                <w:color w:val="auto"/>
              </w:rPr>
              <w:t>61,408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61,408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5560" w:type="dxa"/>
            <w:vAlign w:val="bottom"/>
            <w:gridSpan w:val="7"/>
            <w:shd w:val="clear" w:color="auto" w:fill="CCEEFF"/>
          </w:tcPr>
          <w:p>
            <w:pPr>
              <w:jc w:val="right"/>
              <w:ind w:right="240"/>
              <w:spacing w:after="0"/>
              <w:rPr>
                <w:sz w:val="20"/>
                <w:szCs w:val="20"/>
                <w:color w:val="auto"/>
              </w:rPr>
            </w:pPr>
            <w:r>
              <w:rPr>
                <w:rFonts w:ascii="Arial" w:cs="Arial" w:eastAsia="Arial" w:hAnsi="Arial"/>
                <w:sz w:val="18"/>
                <w:szCs w:val="18"/>
                <w:color w:val="auto"/>
              </w:rPr>
              <w:t>77,428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77,428</w:t>
            </w: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5560" w:type="dxa"/>
            <w:vAlign w:val="bottom"/>
            <w:gridSpan w:val="7"/>
          </w:tcPr>
          <w:p>
            <w:pPr>
              <w:ind w:left="1820"/>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Cash and cash equivalents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9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20,326,372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5,385,333</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4,795,135</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20,326,372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5,385,333</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7"/>
              </w:rPr>
              <w:t>4,795,135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Cash and cash equivalents balance are not subject to any restriction.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capital of the Company is divided into Ordinary shares, preferred shares A and B respectively. The nominal value of each share is one eurocent (€ 0.01). Preferred shares A and B are convertible into Ordinary shares. All issued shares are fully paid.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shares A</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Preferred shares B</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3,003,391</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4,850,000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4,850,000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4,850,000</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13,096,241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10,092,850</w:t>
            </w:r>
          </w:p>
        </w:tc>
        <w:tc>
          <w:tcPr>
            <w:tcW w:w="1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2018 the third tranche of the preferred shares A was received after reaching milestones described within the shareholders’ agreement. For this final tranche and as per the shareholders’ agreement, no new shares were issued and as such the proceeds from the third tranche are fully reported as share premium.</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Holders of preferred shares A and B shall be entitled to a non-cumulative, non-compounded dividend of 8% per annum of aggregate subscription price paid on such preferred shares A and B, respectively, subject to appropriate adjustment in the event of any dividend, share split, combination or similar recapitalization with respect to such preferred shares. Dividend distribution is at discretion of the Board of the Group. No dividend was distributed in 2018 or in 2019.</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Preferred shares A and B shares have an anti-dilution protection. In the event of an issue of shares to any person, at a price per such share which is lower than the applicable subscription price paid for the preferred shares A or preferred Shares B, respectively then the Company shall issue, in accordance with applicable requirements to each of holder of preferred shares, such number of new shares, based upon a broad-based weighted average anti-dilution adjustment, which reduces the subscription price of the relevant preferred shares, to a weighted average price.</w:t>
      </w:r>
    </w:p>
    <w:p>
      <w:pPr>
        <w:spacing w:after="0" w:line="171"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The anti-dilution protection is under the full control of the Company and does not affect the equity classification of the preferred shares A and preferred shares B.</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w:t>
      </w:r>
    </w:p>
    <w:p>
      <w:pPr>
        <w:spacing w:after="0" w:line="121"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In 2016, the Group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ordinary shares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fair value of ordinary shares is determined by the Board of directors and takes into account the most recently available valuation of ordinary shares performed by an independent valuation firm and the assessment of additional objective and subjective factors we believe are relevant and which may have changed from the date of the most recent valuation through the date of the grant.</w:t>
      </w:r>
    </w:p>
    <w:p>
      <w:pPr>
        <w:spacing w:after="0" w:line="18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Board of directors consider numerous objective and subjective factors to determine their best estimate of the fair value of the ordinary shares as of each grant date, including:</w:t>
      </w:r>
    </w:p>
    <w:p>
      <w:pPr>
        <w:spacing w:after="0" w:line="76" w:lineRule="exact"/>
        <w:rPr>
          <w:sz w:val="20"/>
          <w:szCs w:val="20"/>
          <w:color w:val="auto"/>
        </w:rPr>
      </w:pPr>
    </w:p>
    <w:p>
      <w:pPr>
        <w:ind w:left="1000" w:hanging="547"/>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progress of the research and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contemporaneous third-party valuations of the ordinary shares for the share issuances in 2016 and 2019;</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rights and preferences of the preferred shares and the preferred shares relative to the ordinary shares;</w:t>
      </w:r>
    </w:p>
    <w:p>
      <w:pPr>
        <w:spacing w:after="0" w:line="130"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likelihood of achieving a discrete liquidity event, such as a sale of the company or an initial public offering given prevailing market conditions;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external market and economic conditions impacting the industry sector.</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determining the fair values of the ordinary shares as of each award grant date, the Option Pricing Model was used. The Option Pricing Model was applied to estimate the implied total equity value of the Company using a reference price. The reference price was the investment price paid in the preferred A shares financing round, which was the most recent financing round at the time. The total equity value of the Company is then allocated to the various underlying instruments.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main terms and conditions of the separate award agreements entered into under this Plan are provided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Agreement</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On March 31, 2016, the Company granted consultants an option to purchase 392,850 shares with an exercise price of € 0.01 per share with a final exercise date of March 30, 2026 unless forfeited or exercised on an earlier date. The options are equity-settled and may only be exercised in the event of a merger, sale or wind-up of the Company (the “Exercise Event”) and certain milestones have been achieved. Further, the participant must have a specific function with the Group at the time of the Exercise Event.</w:t>
      </w:r>
    </w:p>
    <w:p>
      <w:pPr>
        <w:spacing w:after="0" w:line="18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As at January 1, 2018, December 31, 2018 and December 31, 2019, none of the options were vested since services are required until the occurrence of an Exercise Event. As at December 31, 2019, none of the options were forfeited or have expired.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Fair Value</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Company determined that fair value of the stock options at the date of grant to be € 1.24. The share-based payment expense are recognized over a 5-year service period in the consolidated statements of profit or loss and other comprehensive income or (loss). For the years ended December 31, 2019 and 2018 an amount of € 99,946 and € 99,946, respectively has been recognized.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459" w:right="3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outstanding share options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price</w:t>
            </w: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392,850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392,850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392,850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Forfeited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392,850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392,850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392,850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Award Agreement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On December 13, 2018, the Company granted 25,295 restricted stock units (“RSUs”) to consultants, with an exercise price of €0.01 per RSU. The RSUs shall vest upon the occurrence of an IPO or the completion of a business arrangement involving an acquisition or the option to acquire all or majority of the Company, and which arrangement is entered into as a consequence of the services rendered by the participant to the Company during the term of service or within 9 months after termination of this agreement.</w:t>
      </w:r>
    </w:p>
    <w:p>
      <w:pPr>
        <w:spacing w:after="0" w:line="18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As at December 31, 2019 and 2018 none of the RSUs are vested. The Company determined that fair value of the restricted stock units at the date of grant to be €1.39 per share and is recognized over the service period in the consolidated statements of profit or loss and other comprehensive income or loss. The share-based payment expense recorded the consolidated statements of profit or loss and other comprehensive income or (loss) for the years ended December 31, 2019 and 2018 amounted to €16,201 and €799,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outstanding RSUs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080" w:type="dxa"/>
            <w:vAlign w:val="bottom"/>
          </w:tcPr>
          <w:p>
            <w:pPr>
              <w:spacing w:after="0"/>
              <w:rPr>
                <w:sz w:val="12"/>
                <w:szCs w:val="12"/>
                <w:color w:val="auto"/>
              </w:rPr>
            </w:pP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purchase</w:t>
            </w: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purchase</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price</w:t>
            </w: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25,295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25,295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Forfeited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25,295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25,295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Fair Value</w:t>
      </w:r>
    </w:p>
    <w:p>
      <w:pPr>
        <w:spacing w:after="0" w:line="117"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The grant date fair value of an option or an RSU is equal to the value of an ordinary share. An external valuation expert has estimated the fair value of the Company’s ordinary shares, as of the grant dates based on the pricing of the most recent financing round of the Company at the time. As Pharvaris is a private company and the equity instruments are not marketable, an Option Pricing Model (“OPM”) was applied to back-solve the Company’s total equity value such that the value per preferred A and B Share is equal to the investment price per share paid in the investment round.</w:t>
      </w:r>
    </w:p>
    <w:p>
      <w:pPr>
        <w:spacing w:after="0" w:line="15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This estimated total equity value has been used as input to the OPM when determining the fair value of the Company’s ordinary shares at the grant dates of March 31, 2016 (options) and December 13, 2018. The OPM uses the Black-Scholes Option-Pricing Model to determine the fair value of the Company’s different share classes based upon the Company’s total equity value.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inputs used in the measurement of the fair value per ordinary share at each grant date based upon the total equity value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7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0"/>
              </w:rPr>
              <w:t>December 13,</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86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Expected life (years)</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Expected volatility was based on an evaluation of the historical volatilities of comparable listed biotech-companies over the historical period commensurate with the expected life. The expected life is based on Management’s best estimate on an expected exit date (such as a sale of the company or an initial public offering given prevailing market conditions). The risk-free interest rate is based on the yield on German government Strip bonds, with tenure equal to the expected life. The expected dividend yield is zero considering the stage of the Group.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Basic and diluted loss per share is calculated by dividing the loss attributable to equity holders of the Company by the weighted average number of issued and outstanding ordinary shares during the year.</w:t>
      </w:r>
    </w:p>
    <w:p>
      <w:pPr>
        <w:spacing w:after="0" w:line="170" w:lineRule="exact"/>
        <w:rPr>
          <w:sz w:val="20"/>
          <w:szCs w:val="20"/>
          <w:color w:val="auto"/>
        </w:rPr>
      </w:pPr>
    </w:p>
    <w:p>
      <w:pPr>
        <w:ind w:right="840" w:firstLine="449"/>
        <w:spacing w:after="0" w:line="27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attributable to ordinary stockholders as the effect of including them would be antidilutive.</w:t>
      </w:r>
    </w:p>
    <w:p>
      <w:pPr>
        <w:spacing w:after="0" w:line="170"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Potentially dilutive shares that were not included in the diluted per share calculations because they would be anti-dilutive were 5,242,850 Series A preferred shared and 3,003,391 Series B preferred shares and 5,242,850 Series A preferred shared and 3,003,391 Series B preferred shares as of December 31,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60" w:type="dxa"/>
            <w:vAlign w:val="bottom"/>
          </w:tcPr>
          <w:p>
            <w:pPr>
              <w:spacing w:after="0"/>
              <w:rPr>
                <w:sz w:val="14"/>
                <w:szCs w:val="14"/>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88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equity holders of the Company</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(8,027,162)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(4,313,914)</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4,850,000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4,850,000</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parties</w:t>
      </w:r>
    </w:p>
    <w:p>
      <w:pPr>
        <w:spacing w:after="0" w:line="121" w:lineRule="exact"/>
        <w:rPr>
          <w:sz w:val="20"/>
          <w:szCs w:val="20"/>
          <w:color w:val="auto"/>
        </w:rPr>
      </w:pPr>
    </w:p>
    <w:p>
      <w:pPr>
        <w:jc w:val="both"/>
        <w:ind w:right="60" w:firstLine="449"/>
        <w:spacing w:after="0" w:line="277" w:lineRule="auto"/>
        <w:rPr>
          <w:sz w:val="20"/>
          <w:szCs w:val="20"/>
          <w:color w:val="auto"/>
        </w:rPr>
      </w:pPr>
      <w:r>
        <w:rPr>
          <w:rFonts w:ascii="Arial" w:cs="Arial" w:eastAsia="Arial" w:hAnsi="Arial"/>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Charité Research Organisation GmbH (Charité CRO)</w:t>
      </w:r>
    </w:p>
    <w:p>
      <w:pPr>
        <w:spacing w:after="0" w:line="117" w:lineRule="exact"/>
        <w:rPr>
          <w:sz w:val="20"/>
          <w:szCs w:val="20"/>
          <w:color w:val="auto"/>
        </w:rPr>
      </w:pPr>
    </w:p>
    <w:p>
      <w:pPr>
        <w:jc w:val="both"/>
        <w:ind w:right="40" w:firstLine="449"/>
        <w:spacing w:after="0" w:line="311" w:lineRule="auto"/>
        <w:rPr>
          <w:sz w:val="20"/>
          <w:szCs w:val="20"/>
          <w:color w:val="auto"/>
        </w:rPr>
      </w:pPr>
      <w:r>
        <w:rPr>
          <w:rFonts w:ascii="Arial" w:cs="Arial" w:eastAsia="Arial" w:hAnsi="Arial"/>
          <w:sz w:val="16"/>
          <w:szCs w:val="16"/>
          <w:color w:val="auto"/>
        </w:rPr>
        <w:t>Dr. Knolle, who has served as Chief Scientific Officer and Chief Operating Officer since its inception, is a member of the board of Charité CRO. The Company has entered into a service contract with Charité CRO according to which Charité CRO provides services supporting research for the Company. In fiscal years 2018 and 2019 payments to Charité CRO with respect to this service contract amounted to €49,600 and €1,238,355 respectively.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outstanding payable was €0 at both December 2019 and 2018.</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management personnel compensation</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Group engages several management entities for the purpose of providing key management services to the Group. These management entities are considered related parties, as they provide key management services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and the key management personnel have key management functions within these entities. Certain key management personnel are also shareholder of the Company. The aggregate amount of expense recognized in the consolidated statements of profit or loss and other comprehensive income or loss related to these related parties were €1,311,572 (2018: €1,070,616). The aggregate amounts payable to the related parties were €55,250 (2018: €103,777).</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This section provides additional information about items not recognized in the financial statements but could potentially have a significant impact on the Group’s financial position and performance.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Non-cancellable service contracts</w:t>
      </w:r>
    </w:p>
    <w:p>
      <w:pPr>
        <w:spacing w:after="0" w:line="117" w:lineRule="exact"/>
        <w:rPr>
          <w:sz w:val="20"/>
          <w:szCs w:val="20"/>
          <w:color w:val="auto"/>
        </w:rPr>
      </w:pPr>
    </w:p>
    <w:p>
      <w:pPr>
        <w:ind w:right="780" w:firstLine="449"/>
        <w:spacing w:after="0" w:line="308" w:lineRule="auto"/>
        <w:rPr>
          <w:sz w:val="20"/>
          <w:szCs w:val="20"/>
          <w:color w:val="auto"/>
        </w:rPr>
      </w:pPr>
      <w:r>
        <w:rPr>
          <w:rFonts w:ascii="Arial" w:cs="Arial" w:eastAsia="Arial" w:hAnsi="Arial"/>
          <w:sz w:val="17"/>
          <w:szCs w:val="17"/>
          <w:color w:val="auto"/>
        </w:rPr>
        <w:t>The group has entered into research and development commitments in relation to the developments of Group’s oral bradykinin B2 receptor antagonist. The future aggregate minimum payments under these research and development commitments are as follows: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Commitment for the minimum payments in relation to the non-cancellable service contracts are payable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20" w:type="dxa"/>
            <w:vAlign w:val="bottom"/>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42"/>
        </w:trPr>
        <w:tc>
          <w:tcPr>
            <w:tcW w:w="93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4,005,200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853,200</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Later than one year but not later than five years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1,008,500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10,800</w:t>
            </w:r>
          </w:p>
        </w:tc>
      </w:tr>
      <w:tr>
        <w:trPr>
          <w:trHeight w:val="27"/>
        </w:trPr>
        <w:tc>
          <w:tcPr>
            <w:tcW w:w="9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5,013,700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864,000</w:t>
            </w:r>
          </w:p>
        </w:tc>
      </w:tr>
      <w:tr>
        <w:trPr>
          <w:trHeight w:val="20"/>
        </w:trPr>
        <w:tc>
          <w:tcPr>
            <w:tcW w:w="9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Contingent liabilities and contingent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had no contingent liabilities and no contingent assets at December 31, 2019 and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Events after the reporting period</w:t>
      </w:r>
    </w:p>
    <w:p>
      <w:pPr>
        <w:spacing w:after="0" w:line="121"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The outbreak of a novel strain of the coronavirus, specifically identified as “COVID-19”, has spread globally. Originating in China and spreading globally, COVID-19 is a virus causing potentially deadly respiratory tract infections and has impacted the global economy. In March 2020, the World Health Organization declared COVID-19 a pandemic. The Company has taken appropriate measures to protect the safety of the employees and continuously monitors and evaluates the situation regarding COVID-19 (see note 2.2). The impact of COVID-19 to date is limited. Management concluded that the COVID-19 is expected to have some impact but would not have material adverse effect on the financial condition or liquidity.</w:t>
      </w:r>
    </w:p>
    <w:p>
      <w:pPr>
        <w:spacing w:after="0" w:line="176"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On January 1, 2020 and February 3, 2020, a total of 600,000 and 440,000 share options have been granted to key management personnel. The exercise price of €2.38 is equal to the fair value at the grant dates.</w:t>
      </w:r>
    </w:p>
    <w:p>
      <w:pPr>
        <w:spacing w:after="0" w:line="170"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In 2020 the Group established Pharvaris GmbH in Switzerland and Pharvaris, Inc. in the United States of America. Pharvaris, Inc. acts as a service provider to the principal Company of the Group. Pharvaris GmbH is the principal Company of the Group starting April 1, 2020. The principal Company faces the market/external parties and making all operational group decisions.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2020, the Group received a $41 million Series B equity financing, with the same terms as the existing Series B financing.</w:t>
      </w:r>
    </w:p>
    <w:p>
      <w:pPr>
        <w:spacing w:after="0" w:line="22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On November 3, 2020, the Company completed a $80 million Series C equity financing, which was received on November 5, 2020, pursuant to which the Company issued 5,826,279 preferred shares 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Signatories to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Leiden, November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Pharvaris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/s/ B.A.E. Modig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B.A.E. Modig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/s/ M. Kleijwegt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 Kleijwegt</w:t>
      </w:r>
    </w:p>
    <w:p>
      <w:pPr>
        <w:spacing w:after="0" w:line="200" w:lineRule="exact"/>
        <w:rPr>
          <w:sz w:val="20"/>
          <w:szCs w:val="20"/>
          <w:color w:val="auto"/>
        </w:rPr>
      </w:pPr>
    </w:p>
    <w:p>
      <w:pPr>
        <w:sectPr>
          <w:pgSz w:w="11900" w:h="16838" w:orient="portrait"/>
          <w:cols w:equalWidth="0" w:num="2">
            <w:col w:w="5240" w:space="720"/>
            <w:col w:w="417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/s/ R.P.L. Droller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R.P.L. Droller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/s/ M.E. Rome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 Rome</w:t>
      </w:r>
    </w:p>
    <w:p>
      <w:pPr>
        <w:spacing w:after="0" w:line="200" w:lineRule="exact"/>
        <w:rPr>
          <w:sz w:val="20"/>
          <w:szCs w:val="20"/>
          <w:color w:val="auto"/>
        </w:rPr>
      </w:pPr>
    </w:p>
    <w:p>
      <w:pPr>
        <w:sectPr>
          <w:pgSz w:w="11900" w:h="16838" w:orient="portrait"/>
          <w:cols w:equalWidth="0" w:num="2">
            <w:col w:w="5240" w:space="720"/>
            <w:col w:w="417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/s/ R.S. Gaster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R.S. Gaster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/s/ J.G.C.P. Schikan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J.G.C.P. Schikan</w:t>
      </w:r>
    </w:p>
    <w:p>
      <w:pPr>
        <w:spacing w:after="0" w:line="143" w:lineRule="exact"/>
        <w:rPr>
          <w:sz w:val="20"/>
          <w:szCs w:val="20"/>
          <w:color w:val="auto"/>
        </w:rPr>
      </w:pPr>
    </w:p>
    <w:p>
      <w:pPr>
        <w:sectPr>
          <w:pgSz w:w="11900" w:h="16838" w:orient="portrait"/>
          <w:cols w:equalWidth="0" w:num="2">
            <w:col w:w="5240" w:space="720"/>
            <w:col w:w="4179"/>
          </w:cols>
          <w:pgMar w:left="320" w:top="459" w:right="1440" w:bottom="1440" w:gutter="0" w:footer="0" w:header="0"/>
          <w:type w:val="continuous"/>
        </w:sectPr>
      </w:pPr>
    </w:p>
    <w:p>
      <w:pPr>
        <w:ind w:left="5460"/>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0139"/>
          </w:cols>
          <w:pgMar w:left="320" w:top="459" w:right="1440" w:bottom="1440" w:gutter="0" w:footer="0" w:header="0"/>
          <w:type w:val="continuous"/>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Profit or Loss and Other Comprehensive Income (Loss)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2020 and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2820" w:type="dxa"/>
            <w:vAlign w:val="bottom"/>
            <w:vMerge w:val="restart"/>
          </w:tcPr>
          <w:p>
            <w:pPr>
              <w:jc w:val="right"/>
              <w:ind w:right="95"/>
              <w:spacing w:after="0"/>
              <w:rPr>
                <w:sz w:val="20"/>
                <w:szCs w:val="20"/>
                <w:color w:val="auto"/>
              </w:rPr>
            </w:pPr>
            <w:r>
              <w:rPr>
                <w:rFonts w:ascii="Arial" w:cs="Arial" w:eastAsia="Arial" w:hAnsi="Arial"/>
                <w:sz w:val="14"/>
                <w:szCs w:val="14"/>
                <w:color w:val="auto"/>
              </w:rPr>
              <w:t>Notes</w:t>
            </w: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(11,797,986)</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(3,154,877)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20" w:type="dxa"/>
            <w:vAlign w:val="bottom"/>
          </w:tcPr>
          <w:p>
            <w:pPr>
              <w:jc w:val="right"/>
              <w:ind w:right="95"/>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(3,447,208)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(1,409,972)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(15,245,194)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(4,564,849)</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28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(176,602)</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(15,421,796)</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(4,568,776)</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Income taxes</w:t>
            </w:r>
          </w:p>
        </w:tc>
        <w:tc>
          <w:tcPr>
            <w:tcW w:w="2820" w:type="dxa"/>
            <w:vAlign w:val="bottom"/>
          </w:tcPr>
          <w:p>
            <w:pPr>
              <w:jc w:val="right"/>
              <w:ind w:right="95"/>
              <w:spacing w:after="0"/>
              <w:rPr>
                <w:sz w:val="20"/>
                <w:szCs w:val="20"/>
                <w:color w:val="auto"/>
              </w:rPr>
            </w:pPr>
            <w:r>
              <w:rPr>
                <w:rFonts w:ascii="Arial" w:cs="Arial" w:eastAsia="Arial" w:hAnsi="Arial"/>
                <w:sz w:val="18"/>
                <w:szCs w:val="18"/>
                <w:color w:val="auto"/>
              </w:rPr>
              <w:t>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2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(15,421,796)</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(4,568,776)</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loss for the period, net of tax</w:t>
            </w:r>
          </w:p>
        </w:tc>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(15,421,796)</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(4,568,776)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Equity holders of the Company</w:t>
            </w:r>
          </w:p>
        </w:tc>
        <w:tc>
          <w:tcPr>
            <w:tcW w:w="28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(15,421,796)</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(4,568,776)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Equity holders of the Company</w:t>
            </w:r>
          </w:p>
        </w:tc>
        <w:tc>
          <w:tcPr>
            <w:tcW w:w="28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(15,421,796)</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(4,568,776)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Loss per share attributable to the equity holders of the Company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both"/>
        <w:ind w:left="1420" w:right="80" w:hanging="1411"/>
        <w:spacing w:after="0" w:line="453" w:lineRule="auto"/>
        <w:rPr>
          <w:sz w:val="20"/>
          <w:szCs w:val="20"/>
          <w:color w:val="auto"/>
        </w:rPr>
      </w:pPr>
      <w:r>
        <w:rPr>
          <w:rFonts w:ascii="Arial" w:cs="Arial" w:eastAsia="Arial" w:hAnsi="Arial"/>
          <w:sz w:val="18"/>
          <w:szCs w:val="18"/>
          <w:b w:val="1"/>
          <w:bCs w:val="1"/>
          <w:color w:val="auto"/>
        </w:rPr>
        <w:t>Basic and diluted loss per share:</w:t>
      </w:r>
      <w:r>
        <w:rPr>
          <w:sz w:val="20"/>
          <w:szCs w:val="20"/>
          <w:color w:val="auto"/>
        </w:rPr>
        <w:t xml:space="preserve"> </w:t>
      </w:r>
      <w:r>
        <w:rPr>
          <w:rFonts w:ascii="Arial" w:cs="Arial" w:eastAsia="Arial" w:hAnsi="Arial"/>
          <w:sz w:val="18"/>
          <w:szCs w:val="18"/>
          <w:color w:val="auto"/>
        </w:rPr>
        <w:t>16 (3.18) (0.94) The accompanying notes are an integral part of these unaudited condensed consolidated interim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color w:val="auto"/>
                <w:w w:val="97"/>
              </w:rPr>
              <w:t>September 30,</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3600" w:type="dxa"/>
            <w:vAlign w:val="bottom"/>
            <w:vMerge w:val="restart"/>
          </w:tcPr>
          <w:p>
            <w:pPr>
              <w:jc w:val="right"/>
              <w:ind w:right="93"/>
              <w:spacing w:after="0"/>
              <w:rPr>
                <w:sz w:val="20"/>
                <w:szCs w:val="20"/>
                <w:color w:val="auto"/>
              </w:rPr>
            </w:pPr>
            <w:r>
              <w:rPr>
                <w:rFonts w:ascii="Arial" w:cs="Arial" w:eastAsia="Arial" w:hAnsi="Arial"/>
                <w:sz w:val="14"/>
                <w:szCs w:val="14"/>
                <w:color w:val="auto"/>
              </w:rPr>
              <w:t>Notes</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3600" w:type="dxa"/>
            <w:vAlign w:val="bottom"/>
            <w:vMerge w:val="continue"/>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43,766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12,927</w:t>
            </w: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1,062,009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258,379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000" w:type="dxa"/>
            <w:vAlign w:val="bottom"/>
          </w:tcPr>
          <w:p>
            <w:pPr>
              <w:jc w:val="right"/>
              <w:spacing w:after="0"/>
              <w:rPr>
                <w:sz w:val="20"/>
                <w:szCs w:val="20"/>
                <w:color w:val="auto"/>
              </w:rPr>
            </w:pPr>
            <w:r>
              <w:rPr>
                <w:rFonts w:ascii="Arial" w:cs="Arial" w:eastAsia="Arial" w:hAnsi="Arial"/>
                <w:sz w:val="18"/>
                <w:szCs w:val="18"/>
                <w:color w:val="auto"/>
              </w:rPr>
              <w:t>41,948,476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20,326,372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43,054,251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20,597,678</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3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Share capital</w:t>
            </w:r>
          </w:p>
        </w:tc>
        <w:tc>
          <w:tcPr>
            <w:tcW w:w="3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177,430</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130,962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70,824,510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36,624,697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reserves</w:t>
            </w:r>
          </w:p>
        </w:tc>
        <w:tc>
          <w:tcPr>
            <w:tcW w:w="3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1,442,563</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392,139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reserve</w:t>
            </w:r>
          </w:p>
        </w:tc>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Accumulated loss</w:t>
            </w:r>
          </w:p>
        </w:tc>
        <w:tc>
          <w:tcPr>
            <w:tcW w:w="36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(33,754,742)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(18,474,250)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38,690,122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18,673,548</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2,819,594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517,771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Accrued liabilities</w:t>
            </w:r>
          </w:p>
        </w:tc>
        <w:tc>
          <w:tcPr>
            <w:tcW w:w="360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0" w:type="dxa"/>
            <w:vAlign w:val="bottom"/>
          </w:tcPr>
          <w:p>
            <w:pPr>
              <w:jc w:val="right"/>
              <w:spacing w:after="0"/>
              <w:rPr>
                <w:sz w:val="20"/>
                <w:szCs w:val="20"/>
                <w:color w:val="auto"/>
              </w:rPr>
            </w:pPr>
            <w:r>
              <w:rPr>
                <w:rFonts w:ascii="Arial" w:cs="Arial" w:eastAsia="Arial" w:hAnsi="Arial"/>
                <w:sz w:val="18"/>
                <w:szCs w:val="18"/>
                <w:color w:val="auto"/>
              </w:rPr>
              <w:t>1,544,535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1,406,359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4,364,129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1,924,130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3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43,054,251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20,597,678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interim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Currency</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0"/>
              </w:rPr>
              <w:t>Share</w:t>
            </w:r>
          </w:p>
        </w:tc>
        <w:tc>
          <w:tcPr>
            <w:tcW w:w="114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0"/>
              </w:rPr>
              <w:t>Share</w:t>
            </w:r>
          </w:p>
        </w:tc>
        <w:tc>
          <w:tcPr>
            <w:tcW w:w="98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Other</w:t>
            </w:r>
          </w:p>
        </w:tc>
        <w:tc>
          <w:tcPr>
            <w:tcW w:w="82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5"/>
              </w:rPr>
              <w:t>translation</w:t>
            </w:r>
          </w:p>
        </w:tc>
        <w:tc>
          <w:tcPr>
            <w:tcW w:w="1220" w:type="dxa"/>
            <w:vAlign w:val="bottom"/>
            <w:gridSpan w:val="2"/>
          </w:tcPr>
          <w:p>
            <w:pPr>
              <w:jc w:val="center"/>
              <w:ind w:right="141"/>
              <w:spacing w:after="0" w:line="145" w:lineRule="exact"/>
              <w:rPr>
                <w:sz w:val="20"/>
                <w:szCs w:val="20"/>
                <w:color w:val="auto"/>
              </w:rPr>
            </w:pPr>
            <w:r>
              <w:rPr>
                <w:rFonts w:ascii="Arial" w:cs="Arial" w:eastAsia="Arial" w:hAnsi="Arial"/>
                <w:sz w:val="14"/>
                <w:szCs w:val="14"/>
                <w:color w:val="auto"/>
                <w:w w:val="93"/>
              </w:rPr>
              <w:t>Accumulated</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Notes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capital</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premium</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reserves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reserve</w:t>
            </w:r>
          </w:p>
        </w:tc>
        <w:tc>
          <w:tcPr>
            <w:tcW w:w="1220" w:type="dxa"/>
            <w:vAlign w:val="bottom"/>
            <w:gridSpan w:val="2"/>
          </w:tcPr>
          <w:p>
            <w:pPr>
              <w:jc w:val="center"/>
              <w:ind w:right="161"/>
              <w:spacing w:after="0"/>
              <w:rPr>
                <w:sz w:val="20"/>
                <w:szCs w:val="20"/>
                <w:color w:val="auto"/>
              </w:rPr>
            </w:pPr>
            <w:r>
              <w:rPr>
                <w:rFonts w:ascii="Arial" w:cs="Arial" w:eastAsia="Arial" w:hAnsi="Arial"/>
                <w:sz w:val="14"/>
                <w:szCs w:val="14"/>
                <w:color w:val="auto"/>
                <w:w w:val="85"/>
              </w:rPr>
              <w:t>losses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100,928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15,023,205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275,992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(10,447,088)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4,953,037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(4,568,776)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(4,568,776)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30,034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22,437,673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22,467,707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(836,181)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(836,181)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81,534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81,534</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130,962</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36,624,697</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357,526</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(15,015,864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22,097,321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130,962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36,624,697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392,139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(18,474,250)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18,673,548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(15,421,796)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(15,421,796)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46,468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34,986,290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35,032,758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(786,477)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(786,477)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reserve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141,304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141,665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Share-based payments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1,050,424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1,050,424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177,430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70,824,510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1,442,563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(33,754,742)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38,690,122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interim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51" w:lineRule="exact"/>
        <w:rPr>
          <w:sz w:val="20"/>
          <w:szCs w:val="20"/>
          <w:color w:val="auto"/>
        </w:rPr>
      </w:pPr>
    </w:p>
    <w:p>
      <w:pPr>
        <w:jc w:val="center"/>
        <w:ind w:left="8800"/>
        <w:spacing w:after="0"/>
        <w:rPr>
          <w:sz w:val="20"/>
          <w:szCs w:val="20"/>
          <w:color w:val="auto"/>
        </w:rPr>
      </w:pPr>
      <w:r>
        <w:rPr>
          <w:rFonts w:ascii="Arial" w:cs="Arial" w:eastAsia="Arial" w:hAnsi="Arial"/>
          <w:sz w:val="14"/>
          <w:szCs w:val="14"/>
          <w:color w:val="auto"/>
        </w:rPr>
        <w:t>Nine months ended</w:t>
      </w:r>
    </w:p>
    <w:p>
      <w:pPr>
        <w:jc w:val="center"/>
        <w:ind w:left="878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7260" w:type="dxa"/>
            <w:vAlign w:val="bottom"/>
          </w:tcPr>
          <w:p>
            <w:pPr>
              <w:spacing w:after="0"/>
              <w:rPr>
                <w:sz w:val="12"/>
                <w:szCs w:val="12"/>
                <w:color w:val="auto"/>
              </w:rPr>
            </w:pPr>
          </w:p>
        </w:tc>
        <w:tc>
          <w:tcPr>
            <w:tcW w:w="1680" w:type="dxa"/>
            <w:vAlign w:val="bottom"/>
            <w:vMerge w:val="restart"/>
          </w:tcPr>
          <w:p>
            <w:pPr>
              <w:jc w:val="right"/>
              <w:ind w:right="93"/>
              <w:spacing w:after="0"/>
              <w:rPr>
                <w:sz w:val="20"/>
                <w:szCs w:val="20"/>
                <w:color w:val="auto"/>
              </w:rPr>
            </w:pPr>
            <w:r>
              <w:rPr>
                <w:rFonts w:ascii="Arial" w:cs="Arial" w:eastAsia="Arial" w:hAnsi="Arial"/>
                <w:sz w:val="14"/>
                <w:szCs w:val="14"/>
                <w:color w:val="auto"/>
              </w:rPr>
              <w:t>Notes</w:t>
            </w:r>
          </w:p>
        </w:tc>
        <w:tc>
          <w:tcPr>
            <w:tcW w:w="10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2020</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Loss before tax</w:t>
            </w:r>
          </w:p>
        </w:tc>
        <w:tc>
          <w:tcPr>
            <w:tcW w:w="16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(15,421,796)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(4,568,776)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adjustments to reconcile loss before tax to net cash flows from operations:</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1,050,424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81,534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loss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141,665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Depreciation expense</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4,818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working capital:</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Increase in receivables</w:t>
            </w:r>
          </w:p>
        </w:tc>
        <w:tc>
          <w:tcPr>
            <w:tcW w:w="16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(803,630)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2,301,823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761,453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Increase in accrued liabilities</w:t>
            </w:r>
          </w:p>
        </w:tc>
        <w:tc>
          <w:tcPr>
            <w:tcW w:w="16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138,176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205,138</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(12,588,520)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(3,529,943)</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1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(35,657)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6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(35,657)</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Proceeds from issue of shares</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35,032,758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22,467,707</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issue of shares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(786,477)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6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34,246,281</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22,297,707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21,622,104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18,763,467</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6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20,326,372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5,385,333</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41,948,476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24,148,800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interim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and Group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general corporate and group information about Pharvaris B.V.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unaudited condensed consolidated interim financial statements of Pharvaris B.V. (the “Company” or “Pharvaris”) and its subsidiaries (collectively, “The Group”) as at September 30, 2020 and December 31, 2019, and for the nine months ended September 30, 2020 and 2019 were authorised for issue in accordance with a resolution of the directors on December 18, 2020.</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Pharvaris B.V. was incorporated on September 30, 2015 and is based in Leiden, the Netherlands. The address of its registered office is J.H. Oortweg 21, Leiden. It has been registered at the Chamber of Commerce under file number 64239411.</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Pharvaris is a clinical-stage biopharmaceutical company focused on the development and commercialization of innovative therapies for rare diseases with significant unmet need, initially focused on angioedema.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consolidated interim financial statements of the Group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color w:val="auto"/>
              </w:rPr>
              <w:t>% of equity interest</w:t>
            </w:r>
          </w:p>
        </w:tc>
        <w:tc>
          <w:tcPr>
            <w:tcW w:w="0" w:type="dxa"/>
            <w:vAlign w:val="bottom"/>
          </w:tcPr>
          <w:p>
            <w:pPr>
              <w:spacing w:after="0"/>
              <w:rPr>
                <w:sz w:val="1"/>
                <w:szCs w:val="1"/>
                <w:color w:val="auto"/>
              </w:rPr>
            </w:pPr>
          </w:p>
        </w:tc>
      </w:tr>
      <w:tr>
        <w:trPr>
          <w:trHeight w:val="167"/>
        </w:trPr>
        <w:tc>
          <w:tcPr>
            <w:tcW w:w="606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34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auto"/>
                <w:w w:val="95"/>
              </w:rPr>
              <w:t>Legal seat</w:t>
            </w:r>
          </w:p>
        </w:tc>
        <w:tc>
          <w:tcPr>
            <w:tcW w:w="340" w:type="dxa"/>
            <w:vAlign w:val="bottom"/>
            <w:vMerge w:val="restart"/>
          </w:tcPr>
          <w:p>
            <w:pPr>
              <w:spacing w:after="0"/>
              <w:rPr>
                <w:sz w:val="14"/>
                <w:szCs w:val="14"/>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Country of incorporation</w:t>
            </w:r>
          </w:p>
        </w:tc>
        <w:tc>
          <w:tcPr>
            <w:tcW w:w="320" w:type="dxa"/>
            <w:vAlign w:val="bottom"/>
            <w:vMerge w:val="restart"/>
          </w:tcPr>
          <w:p>
            <w:pPr>
              <w:spacing w:after="0"/>
              <w:rPr>
                <w:sz w:val="14"/>
                <w:szCs w:val="14"/>
                <w:color w:val="auto"/>
              </w:rPr>
            </w:pPr>
          </w:p>
        </w:tc>
        <w:tc>
          <w:tcPr>
            <w:tcW w:w="1640" w:type="dxa"/>
            <w:vAlign w:val="bottom"/>
            <w:gridSpan w:val="4"/>
          </w:tcPr>
          <w:p>
            <w:pPr>
              <w:ind w:left="220"/>
              <w:spacing w:after="0"/>
              <w:rPr>
                <w:sz w:val="20"/>
                <w:szCs w:val="20"/>
                <w:color w:val="auto"/>
              </w:rPr>
            </w:pPr>
            <w:r>
              <w:rPr>
                <w:rFonts w:ascii="Arial" w:cs="Arial" w:eastAsia="Arial" w:hAnsi="Arial"/>
                <w:sz w:val="14"/>
                <w:szCs w:val="14"/>
                <w:color w:val="auto"/>
              </w:rPr>
              <w:t>as September 30,</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vMerge w:val="continue"/>
          </w:tcPr>
          <w:p>
            <w:pPr>
              <w:spacing w:after="0"/>
              <w:rPr>
                <w:sz w:val="12"/>
                <w:szCs w:val="12"/>
                <w:color w:val="auto"/>
              </w:rPr>
            </w:pPr>
          </w:p>
        </w:tc>
        <w:tc>
          <w:tcPr>
            <w:tcW w:w="18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2020</w:t>
            </w:r>
          </w:p>
        </w:tc>
        <w:tc>
          <w:tcPr>
            <w:tcW w:w="5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Pharvaris Holdings B.V.</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Leiden</w:t>
            </w: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Pharvaris Netherlands B.V.</w:t>
            </w:r>
          </w:p>
        </w:tc>
        <w:tc>
          <w:tcPr>
            <w:tcW w:w="1380" w:type="dxa"/>
            <w:vAlign w:val="bottom"/>
            <w:gridSpan w:val="3"/>
          </w:tcPr>
          <w:p>
            <w:pPr>
              <w:ind w:left="340"/>
              <w:spacing w:after="0"/>
              <w:rPr>
                <w:sz w:val="20"/>
                <w:szCs w:val="20"/>
                <w:color w:val="auto"/>
              </w:rPr>
            </w:pPr>
            <w:r>
              <w:rPr>
                <w:rFonts w:ascii="Arial" w:cs="Arial" w:eastAsia="Arial" w:hAnsi="Arial"/>
                <w:sz w:val="18"/>
                <w:szCs w:val="18"/>
                <w:color w:val="auto"/>
              </w:rPr>
              <w:t>Leiden</w:t>
            </w:r>
          </w:p>
        </w:tc>
        <w:tc>
          <w:tcPr>
            <w:tcW w:w="216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Pharvaris GmbH</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Zug</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Pharvaris, Inc.</w:t>
            </w:r>
          </w:p>
        </w:tc>
        <w:tc>
          <w:tcPr>
            <w:tcW w:w="1380" w:type="dxa"/>
            <w:vAlign w:val="bottom"/>
            <w:gridSpan w:val="3"/>
          </w:tcPr>
          <w:p>
            <w:pPr>
              <w:ind w:left="340"/>
              <w:spacing w:after="0"/>
              <w:rPr>
                <w:sz w:val="20"/>
                <w:szCs w:val="20"/>
                <w:color w:val="auto"/>
              </w:rPr>
            </w:pPr>
            <w:r>
              <w:rPr>
                <w:rFonts w:ascii="Arial" w:cs="Arial" w:eastAsia="Arial" w:hAnsi="Arial"/>
                <w:sz w:val="18"/>
                <w:szCs w:val="18"/>
                <w:color w:val="auto"/>
              </w:rPr>
              <w:t>Delaware</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Pharvaris, Inc. and Pharvaris GmbH were incorporated on January 31, 2020 and March 27, 2020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ultimate parent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ultimate parent company of the Group is Pharvaris B.V., which is based in the Netherlands.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developments during the nine months ended September 30, 2020</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January 31, 2020 the Group established Pharvaris, Inc. in the United States of America and on March 27, 2020 the Group established Pharvaris GmbH in Switzerland. Pharvaris, Inc. acts as a service provider to the principal Company of the Group. Pharvaris GmbH is the principal Company of the Group starting April 1, 2020. The principal Company faces the market/external parties and makes all operational group decisions.</w:t>
      </w:r>
    </w:p>
    <w:p>
      <w:pPr>
        <w:spacing w:after="0" w:line="16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July 2020, the Group received a $41 million (equivalent of €35 million) Series B equity financing, with the same terms as the existing Series B financing.</w:t>
      </w:r>
    </w:p>
    <w:p>
      <w:pPr>
        <w:spacing w:after="0" w:line="274" w:lineRule="exact"/>
        <w:rPr>
          <w:sz w:val="20"/>
          <w:szCs w:val="20"/>
          <w:color w:val="auto"/>
        </w:rPr>
      </w:pPr>
    </w:p>
    <w:p>
      <w:pPr>
        <w:ind w:right="7760" w:firstLine="8"/>
        <w:spacing w:after="0" w:line="378" w:lineRule="auto"/>
        <w:tabs>
          <w:tab w:leader="none" w:pos="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2.1 Basis of preparation</w:t>
      </w:r>
    </w:p>
    <w:p>
      <w:pPr>
        <w:ind w:right="140"/>
        <w:spacing w:after="0" w:line="277" w:lineRule="auto"/>
        <w:rPr>
          <w:sz w:val="20"/>
          <w:szCs w:val="20"/>
          <w:color w:val="auto"/>
        </w:rPr>
      </w:pPr>
      <w:r>
        <w:rPr>
          <w:rFonts w:ascii="Arial" w:cs="Arial" w:eastAsia="Arial" w:hAnsi="Arial"/>
          <w:sz w:val="18"/>
          <w:szCs w:val="18"/>
          <w:color w:val="auto"/>
        </w:rPr>
        <w:t>The unaudited condensed consolidated interim financial statements of the Group have been prepared in accordance with International Financial Reporting Standards (IFRS) as issued by the International Accounting Standards Board (IASB).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and should be read in conjunction with the Group’s annual consolidated financial statements as at and for the year ended December 31, 2019 (‘last annual financial statements’). These unaudited condensed consolidated interim financial statements do not include all the information required for a complete set financial statements prepared in accordance with IFRS as issued by the IASB. However, selected explanatory notes are included to explain events and transactions that are significant to an understanding of the changes in the Group’s financial position and performance since the last annual financial statements.</w:t>
      </w:r>
    </w:p>
    <w:p>
      <w:pPr>
        <w:spacing w:after="0" w:line="161"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ever. This makes the Group dependent on external capital sources, being subsidies, debt capital and equity capital. The Group is currently fully financed by equity capital.</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September 30, 2020 and December 31, 2019, the Group had cash of €41.9 million and €20.3 million, respectively. The Group incurred net losses of €15.4 million and €4.6 million in the nine months ended September 30, 2020 and 2019, and negative operating cash flows of €12.6 million and €3.5million in the nine months ended September 30, 2020 and 2019 respectively.</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3, 2020, the Group signed a $80 million Series C equity financing against issuance of 5,826,279 preferred shares C, which was completed on November 5, 2020. The preferred shares C automatically convert into ordinary shares upon the consummation of a qualified Initial Public Offering, combination transaction or request of the investor majority. The holders of the outstanding preferred shares C are entitled to convert the preferred shares, at any time, without payment of additional consideration into ordinary shares at a conversion rate of 1:1, which conversion rate shall be adjusted so as to reflect this ratio after any amendment of the nominal value by means of any stock splits, reclassification of shares and similar events. No obligations were agreed upon in the shareholders’ agreements to make any redemption on a certain fixed date and to transfer an amount (dividend) independent of the entity’s available economic resources.</w:t>
      </w:r>
    </w:p>
    <w:p>
      <w:pPr>
        <w:spacing w:after="0" w:line="19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Group does not expect positive operating cash flows in the foreseeable future and remains dependent on additional financings to fund its research and development expenses, general and administrative expenses and financing costs. However, the Group believes that the available cash balances and the completed Series B and Series C financing, are sufficient to execute the Group’s operating plan and strategies and to meet the anticipated working capital requirements and settle all expected liabilities for a period of at least twelve months after the issuance of these unaudited condensed consolidated interim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unaudited condensed consolidated interim financial statements have been prepared on a going concern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outbreak of a novel strain of the coronavirus, specifically identified as “COVID-19”, has spread globally. COVID-19 is a virus causing potentially deadly respiratory tract infections and has impacted the global economy. In March 2020, the World Health Organization declared COVID-19 a pandemic.</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459" w:right="3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Group has taken appropriate measures to protect the safety of the employees and continuously monitors and evaluates the situation regarding COVID-19. The impact of COVID-19 to date is limited. COVID-19 ultimately may impact the clinical trials, including potential delays and restrictions on the ability to recruit and retain patients, principal investigators, and healthcare employees. COVID-19 could also affect the operations of contract research organizations (CRO), or other contracted suppliers which may result in delays or disruptions in the supply of product candidates. The Group continuously monitors the situation regarding COVID-19, and the possible impact on the CROs, contract manufacturing organizations and clinical sites performing research and development activities for the Group. All efforts are made to develop alternatives to limit the impact of COVID-19 going forward.</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expects that COVID-19 will have some impact on the Company’s business and operations, but this is not expected to have a material adverse effect on the financial condition or liquidity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significant judgements made by management in applying the Group’s accounting policies and the key sources of estimation uncertainty were the same as those described in the last annual financial statements, except for the performance based share options granted, refer to note 15.</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significant accounting policies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Except as described below, the accounting policies applied in these unaudited condensed consolidated interim financial statements are the same as those applied in the last annual financial statements.</w:t>
      </w:r>
    </w:p>
    <w:p>
      <w:pPr>
        <w:spacing w:after="0" w:line="17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Changes in accounting policies are also expected to be reflected in the Group’s consolidated financial statements as at and for the year ending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Transactions in foreign currencies are initially recorded by the Group’s entities at their respective functional currency spot rates at the date the transaction first qualifies for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rates at the dates of the initial transactions.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in the unaudited condensed consolidated statements of profit or loss and other comprehensive income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Personnel expenses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Wages and salaries, social security contributions, paid leave and bonuses, and other employee benefits are recognized in the financial year in which the employee provide the associated services.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32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Group’s pension plans are classified as defined contribution plans, and, accordingly, no pension obligations are recognized in the unaudited condensed consolidated statements of financial position. Costs relating to defined contribution plans are included in the unaudited condensed consolidated statements of profit or loss and other comprehensive income (loss) in the period in which they are accrued and outstanding contributions are included in other payables.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accounting policies on personnel expenses do not reflect a change in the accounting policies. The accounting policies became applicable as the underlying transactions and balances are material for the Group in the nine months ended September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 Business—Amendments to IFRS 3</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IASB issued amendments to the definition of a business in IFRS 3 Business Combinations to help entities determine whether an acquired set of activities and assets is a business or not. They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New illustrative examples were provided along with the amendments.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amendments must be applied to transactions that are either business combinations or asset acquisitions for which the acquisition date is on or after the beginning of the first annual reporting period beginning on or after January 1, 2020. Consequently, entities do not have to revisit such transactions that occurred in prior periods. The Group has assessed amendments IFRS 3’s full impact and concludes that the amendments to the definition of a business in IFRS to have no impact on Group’s unaudited condensed consolidated interim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Material—Amendments to IAS 1 and IAS 8</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2018, the IASB issued amendments to IAS 1 Presentation of Financial Statements and IAS 8 to align the definition of ‘material’ across the standards and to clarify certain aspects of the definition. The new definition states that, ‘Information is material if omitting, misstating or obscuring it could reasonably be expected to influence decisions that the primary users of general purpose financial statements make on the basis of those financial statements, which provide financial information about a specific reporting entity.’</w:t>
      </w:r>
    </w:p>
    <w:p>
      <w:pPr>
        <w:spacing w:after="0" w:line="18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amendments clarify that materiality will depend on the nature or magnitude of information, or both. An entity will need to assess whether the information, either individually or in combination with other information, is material in the context of the financial statements.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Although the amendments to the definition of material is not expected to have a significant impact on an entity’s financial statements, the introduction of the term ‘obscuring information’ in the definition could potentially impact how materiality judgements are made in practice, by elevating the importance of how information is communicated and organised in the financial statements.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amendments are effective for annual periods beginning on or after January 1, 2020. The amendments must be applied prospectively. The Group has assessed amendments IAS 1 and IAS 8’s full impact and concludes that the amendments have no material effect on the Group’s unaudited condensed consolidated interim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16 Leases: COVID-19-Related Rent Concessions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2020, the International Accounting Standards Board (Board) issued COVID-19-Related Rent Concessions, which amended IFRS 16 Leases. The amendment permits lessees, as a practical expedient, not to assess whether particular rent concessions occurring as a direct consequence of the COVID-19 pandemic are lease modifications and instead to account for those rent concessions as if they are not lease modifications. The amendment became effective on June 30, 2020. The Group has assessed the amendment of IFRS 16 Leases’ full impact and concludes that the amendment has had no effect on the Group’s unaudited condensed consolidated financial interim statements.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00"/>
          </w:cols>
          <w:pgMar w:left="320" w:top="459" w:right="3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51" w:lineRule="exact"/>
        <w:rPr>
          <w:sz w:val="20"/>
          <w:szCs w:val="20"/>
          <w:color w:val="auto"/>
        </w:rPr>
      </w:pPr>
    </w:p>
    <w:p>
      <w:pPr>
        <w:jc w:val="center"/>
        <w:ind w:left="8600"/>
        <w:spacing w:after="0"/>
        <w:rPr>
          <w:sz w:val="20"/>
          <w:szCs w:val="20"/>
          <w:color w:val="auto"/>
        </w:rPr>
      </w:pPr>
      <w:r>
        <w:rPr>
          <w:rFonts w:ascii="Arial" w:cs="Arial" w:eastAsia="Arial" w:hAnsi="Arial"/>
          <w:sz w:val="14"/>
          <w:szCs w:val="14"/>
          <w:color w:val="auto"/>
        </w:rPr>
        <w:t>For the nine months ended</w:t>
      </w:r>
    </w:p>
    <w:p>
      <w:pPr>
        <w:jc w:val="center"/>
        <w:ind w:left="860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87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2020</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2019</w:t>
            </w:r>
          </w:p>
        </w:tc>
        <w:tc>
          <w:tcPr>
            <w:tcW w:w="140" w:type="dxa"/>
            <w:vAlign w:val="bottom"/>
          </w:tcPr>
          <w:p>
            <w:pPr>
              <w:spacing w:after="0"/>
              <w:rPr>
                <w:sz w:val="12"/>
                <w:szCs w:val="12"/>
                <w:color w:val="auto"/>
              </w:rPr>
            </w:pPr>
          </w:p>
        </w:tc>
      </w:tr>
      <w:tr>
        <w:trPr>
          <w:trHeight w:val="142"/>
        </w:trPr>
        <w:tc>
          <w:tcPr>
            <w:tcW w:w="87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2"/>
                <w:szCs w:val="12"/>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(Note 5)</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(1,677,630)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(69,417)</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Clinical expenses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(5,293,514)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(886,152)</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Pre-clinical expenses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(2,065,658)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(1,056,826)</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Manufacturing costs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(2,624,638)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(830,088)</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License costs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(136,546)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(12,394)</w:t>
            </w:r>
          </w:p>
        </w:tc>
      </w:tr>
      <w:tr>
        <w:trPr>
          <w:trHeight w:val="27"/>
        </w:trPr>
        <w:tc>
          <w:tcPr>
            <w:tcW w:w="87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(11,797,986)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(3,154,877)</w:t>
            </w:r>
          </w:p>
        </w:tc>
      </w:tr>
      <w:tr>
        <w:trPr>
          <w:trHeight w:val="20"/>
        </w:trPr>
        <w:tc>
          <w:tcPr>
            <w:tcW w:w="8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Development expenses are currently not capitalized but are recorded in the unaudited condensed consolidated statements of profit or loss and other comprehensive income or loss because the recognition criteria for capitalization are not met.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Pre-clinical expenses include costs of our outsourced discovery, preclinical and nonclinical development studies.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51" w:lineRule="exact"/>
        <w:rPr>
          <w:sz w:val="20"/>
          <w:szCs w:val="20"/>
          <w:color w:val="auto"/>
        </w:rPr>
      </w:pPr>
    </w:p>
    <w:p>
      <w:pPr>
        <w:jc w:val="center"/>
        <w:ind w:left="8700"/>
        <w:spacing w:after="0"/>
        <w:rPr>
          <w:sz w:val="20"/>
          <w:szCs w:val="20"/>
          <w:color w:val="auto"/>
        </w:rPr>
      </w:pPr>
      <w:r>
        <w:rPr>
          <w:rFonts w:ascii="Arial" w:cs="Arial" w:eastAsia="Arial" w:hAnsi="Arial"/>
          <w:sz w:val="14"/>
          <w:szCs w:val="14"/>
          <w:color w:val="auto"/>
        </w:rPr>
        <w:t>For the nine months ended</w:t>
      </w:r>
    </w:p>
    <w:p>
      <w:pPr>
        <w:jc w:val="center"/>
        <w:ind w:left="870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88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2020</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2019</w:t>
            </w:r>
          </w:p>
        </w:tc>
        <w:tc>
          <w:tcPr>
            <w:tcW w:w="140" w:type="dxa"/>
            <w:vAlign w:val="bottom"/>
          </w:tcPr>
          <w:p>
            <w:pPr>
              <w:spacing w:after="0"/>
              <w:rPr>
                <w:sz w:val="12"/>
                <w:szCs w:val="12"/>
                <w:color w:val="auto"/>
              </w:rPr>
            </w:pPr>
          </w:p>
        </w:tc>
      </w:tr>
      <w:tr>
        <w:trPr>
          <w:trHeight w:val="142"/>
        </w:trPr>
        <w:tc>
          <w:tcPr>
            <w:tcW w:w="88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(Note 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(708,645)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(12,117)</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Consulting fees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(732,915)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(796,447)</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(656,798)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(175,937)</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(778,696)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(134,606)</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Facilities, communication &amp; office expenses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(419,879)</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(78,100)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Travel expenses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(25,161)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(143,232)</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(125,114)</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(69,533)</w:t>
            </w:r>
          </w:p>
        </w:tc>
      </w:tr>
      <w:tr>
        <w:trPr>
          <w:trHeight w:val="223"/>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(3,447,208)</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(1,409,972)</w:t>
            </w:r>
          </w:p>
        </w:tc>
        <w:tc>
          <w:tcPr>
            <w:tcW w:w="14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2020 the Group entered into a number of lease arrangements, which were assessed to be short-term leases (with a lease term of 12 months equalling its non-cancellable period). The total outflow for the leases in 2020 was €101,002 (2019: €25,009) and is included in the Facilities, communication &amp; office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of €4,818 (2019: €107) related to property, plant and equipment is included in the other expenses.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40" w:type="dxa"/>
            <w:vAlign w:val="bottom"/>
            <w:gridSpan w:val="5"/>
          </w:tcPr>
          <w:p>
            <w:pPr>
              <w:jc w:val="center"/>
              <w:ind w:right="140"/>
              <w:spacing w:after="0"/>
              <w:rPr>
                <w:sz w:val="20"/>
                <w:szCs w:val="20"/>
                <w:color w:val="auto"/>
              </w:rPr>
            </w:pPr>
            <w:r>
              <w:rPr>
                <w:rFonts w:ascii="Arial" w:cs="Arial" w:eastAsia="Arial" w:hAnsi="Arial"/>
                <w:sz w:val="14"/>
                <w:szCs w:val="14"/>
                <w:color w:val="auto"/>
                <w:w w:val="92"/>
              </w:rPr>
              <w:t>For the nine months ended</w:t>
            </w:r>
          </w:p>
        </w:tc>
      </w:tr>
      <w:tr>
        <w:trPr>
          <w:trHeight w:val="167"/>
        </w:trPr>
        <w:tc>
          <w:tcPr>
            <w:tcW w:w="920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color w:val="auto"/>
                <w:w w:val="90"/>
              </w:rPr>
              <w:t>September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9200" w:type="dxa"/>
            <w:vAlign w:val="bottom"/>
          </w:tcPr>
          <w:p>
            <w:pPr>
              <w:spacing w:after="0"/>
              <w:rPr>
                <w:sz w:val="12"/>
                <w:szCs w:val="12"/>
                <w:color w:val="auto"/>
              </w:rPr>
            </w:pPr>
          </w:p>
        </w:tc>
        <w:tc>
          <w:tcPr>
            <w:tcW w:w="96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color w:val="auto"/>
              </w:rPr>
              <w:t>2020</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2019</w:t>
            </w:r>
          </w:p>
        </w:tc>
        <w:tc>
          <w:tcPr>
            <w:tcW w:w="140" w:type="dxa"/>
            <w:vAlign w:val="bottom"/>
          </w:tcPr>
          <w:p>
            <w:pPr>
              <w:spacing w:after="0"/>
              <w:rPr>
                <w:sz w:val="12"/>
                <w:szCs w:val="12"/>
                <w:color w:val="auto"/>
              </w:rPr>
            </w:pPr>
          </w:p>
        </w:tc>
      </w:tr>
      <w:tr>
        <w:trPr>
          <w:trHeight w:val="142"/>
        </w:trPr>
        <w:tc>
          <w:tcPr>
            <w:tcW w:w="92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center"/>
              <w:ind w:right="75"/>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2"/>
                <w:szCs w:val="1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(1,190,877)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Pension charges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(46,246)</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social security charges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(98,728)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Share-based payments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(1,050,424)</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(81,534)</w:t>
            </w:r>
          </w:p>
        </w:tc>
      </w:tr>
      <w:tr>
        <w:trPr>
          <w:trHeight w:val="27"/>
        </w:trPr>
        <w:tc>
          <w:tcPr>
            <w:tcW w:w="9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(2,386,275)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(81,534)</w:t>
            </w:r>
          </w:p>
        </w:tc>
      </w:tr>
    </w:tbl>
    <w:p>
      <w:pPr>
        <w:spacing w:after="0" w:line="20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average number of staff (in FTEs) employed by the Group in the nine months ended September 30, 2020 was 6 (2019: 0). No employees were employed by the Group in nine months ended September 30, 2019, as the Group had contracted consultants for the operations in that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No tax charge or income has been recognized in the nine months ended September 30, 2020 and 2019 since the Group is in a loss-making position and has a history of losses. Pharvaris B.V. is the head of the fiscal unity including Pharvaris Netherlands B.V. and Pharvaris Holdings B.V.</w:t>
      </w:r>
    </w:p>
    <w:p>
      <w:pPr>
        <w:spacing w:after="0" w:line="1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Group has tax loss carry-forwards of approximately €19.9 million and €5.9 million at September 30, 2020 and December 31, 2019 respectively. The Group has tax losses that are available for offsetting against future taxable profits of the companies in which the losses arose. Under Dutch tax law, for years prior to 2019, profits in a given year can be offset against tax loss carry forwards for up to nine years. In 2019, the Dutch tax law was revised to limit the carry forward period to six years. Under Swiss law, losses can be offset against future income or capital gains for seven years.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Deferred tax assets on tax loss carry forwards and deductible temporary differences in excess of taxable temporary differences have not been recognized as management concluded that there is not sufficient probability as per IAS 12 that there will be future taxable profits available in the foreseeable future against which the unused tax losses can be utilized.</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total unrecognized deferred tax assets from temporary differences amounts to €3.2 million and €2.9 million at September 30, 2020 and December 31,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5140" w:type="dxa"/>
            <w:vAlign w:val="bottom"/>
          </w:tcPr>
          <w:p>
            <w:pPr>
              <w:jc w:val="right"/>
              <w:ind w:right="396"/>
              <w:spacing w:after="0"/>
              <w:rPr>
                <w:sz w:val="20"/>
                <w:szCs w:val="20"/>
                <w:color w:val="auto"/>
              </w:rPr>
            </w:pPr>
            <w:r>
              <w:rPr>
                <w:rFonts w:ascii="Arial" w:cs="Arial" w:eastAsia="Arial" w:hAnsi="Arial"/>
                <w:sz w:val="14"/>
                <w:szCs w:val="14"/>
                <w:color w:val="auto"/>
              </w:rPr>
              <w:t>Notes</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color w:val="auto"/>
                <w:w w:val="92"/>
              </w:rPr>
              <w:t>Office equipment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20" w:type="dxa"/>
            <w:vAlign w:val="bottom"/>
            <w:tcBorders>
              <w:top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5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5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Opening net book amount</w:t>
            </w:r>
          </w:p>
        </w:tc>
        <w:tc>
          <w:tcPr>
            <w:tcW w:w="514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12,927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12,927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35,657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35,657</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Depreciation expense</w:t>
            </w:r>
          </w:p>
        </w:tc>
        <w:tc>
          <w:tcPr>
            <w:tcW w:w="5140" w:type="dxa"/>
            <w:vAlign w:val="bottom"/>
          </w:tcPr>
          <w:p>
            <w:pPr>
              <w:jc w:val="right"/>
              <w:ind w:right="396"/>
              <w:spacing w:after="0"/>
              <w:rPr>
                <w:sz w:val="20"/>
                <w:szCs w:val="20"/>
                <w:color w:val="auto"/>
              </w:rPr>
            </w:pPr>
            <w:r>
              <w:rPr>
                <w:rFonts w:ascii="Arial" w:cs="Arial" w:eastAsia="Arial" w:hAnsi="Arial"/>
                <w:sz w:val="18"/>
                <w:szCs w:val="18"/>
                <w:color w:val="auto"/>
              </w:rPr>
              <w:t>4</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(4,818)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514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43,766</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Balance at September 30, 2020</w:t>
            </w:r>
          </w:p>
        </w:tc>
        <w:tc>
          <w:tcPr>
            <w:tcW w:w="5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vMerge w:val="continue"/>
          </w:tcPr>
          <w:p>
            <w:pPr>
              <w:spacing w:after="0"/>
              <w:rPr>
                <w:sz w:val="24"/>
                <w:szCs w:val="24"/>
                <w:color w:val="auto"/>
              </w:rPr>
            </w:pPr>
          </w:p>
        </w:tc>
        <w:tc>
          <w:tcPr>
            <w:tcW w:w="5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5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49,133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49,133</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14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(5,367)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amount</w:t>
            </w:r>
          </w:p>
        </w:tc>
        <w:tc>
          <w:tcPr>
            <w:tcW w:w="514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43,766</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140" w:type="dxa"/>
            <w:vAlign w:val="bottom"/>
            <w:vMerge w:val="restart"/>
          </w:tcPr>
          <w:p>
            <w:pPr>
              <w:jc w:val="right"/>
              <w:ind w:right="3156"/>
              <w:spacing w:after="0"/>
              <w:rPr>
                <w:sz w:val="20"/>
                <w:szCs w:val="20"/>
                <w:color w:val="auto"/>
              </w:rPr>
            </w:pPr>
            <w:r>
              <w:rPr>
                <w:rFonts w:ascii="Arial" w:cs="Arial" w:eastAsia="Arial" w:hAnsi="Arial"/>
                <w:sz w:val="18"/>
                <w:szCs w:val="18"/>
                <w:color w:val="auto"/>
              </w:rPr>
              <w:t>F-37</w:t>
            </w: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nine months ended September 30, 2020, the Group acquired assets with a cost of €35,657 (December 31, 2019: €13,467). The acquisitions during the nine months ended September 30, 2020 and 2019 were related to equipment, tools and installations.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0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color w:val="auto"/>
              </w:rPr>
              <w:t>September 30, 2020</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December 31, 2019</w:t>
            </w:r>
          </w:p>
        </w:tc>
      </w:tr>
      <w:tr>
        <w:trPr>
          <w:trHeight w:val="142"/>
        </w:trPr>
        <w:tc>
          <w:tcPr>
            <w:tcW w:w="8100" w:type="dxa"/>
            <w:vAlign w:val="bottom"/>
          </w:tcPr>
          <w:p>
            <w:pPr>
              <w:spacing w:after="0"/>
              <w:rPr>
                <w:sz w:val="12"/>
                <w:szCs w:val="12"/>
                <w:color w:val="auto"/>
              </w:rPr>
            </w:pPr>
          </w:p>
        </w:tc>
        <w:tc>
          <w:tcPr>
            <w:tcW w:w="116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spacing w:after="0"/>
              <w:rPr>
                <w:sz w:val="12"/>
                <w:szCs w:val="12"/>
                <w:color w:val="auto"/>
              </w:rPr>
            </w:pPr>
          </w:p>
        </w:tc>
        <w:tc>
          <w:tcPr>
            <w:tcW w:w="112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504,438</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47,536</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VAT receivables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302,571</w:t>
            </w:r>
          </w:p>
        </w:tc>
        <w:tc>
          <w:tcPr>
            <w:tcW w:w="7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210,843</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255,000</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1,062,009</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258,379</w:t>
            </w:r>
          </w:p>
        </w:tc>
        <w:tc>
          <w:tcPr>
            <w:tcW w:w="6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Prepayments mainly relates to prepaid retention bonus to personnel, prepaid rent, insurance and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deferred transaction costs related to Group’s Series C preferred shares financing and in-process equity financing.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comprise of cash in bank and are not subject to any restriction.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color w:val="auto"/>
              </w:rPr>
              <w:t>September 30, 2020</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December 31, 2019</w:t>
            </w:r>
          </w:p>
        </w:tc>
      </w:tr>
      <w:tr>
        <w:trPr>
          <w:trHeight w:val="209"/>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shares A</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Preferred shares B</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7,650,147</w:t>
            </w:r>
          </w:p>
        </w:tc>
        <w:tc>
          <w:tcPr>
            <w:tcW w:w="6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3,003,391</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4,850,000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4,850,000</w:t>
            </w:r>
          </w:p>
        </w:tc>
      </w:tr>
      <w:tr>
        <w:trPr>
          <w:trHeight w:val="223"/>
        </w:trPr>
        <w:tc>
          <w:tcPr>
            <w:tcW w:w="8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17,742,997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13,096,241</w:t>
            </w:r>
          </w:p>
        </w:tc>
        <w:tc>
          <w:tcPr>
            <w:tcW w:w="6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nine months ended September 30, 2020, the Company issued 4,646,576 Series B preferred shares to the existing and new investors upon completion of milestones. Each share has a par value of €0.01. As a result the issued capital of Group was increased by €46,468 and the share premium was increased by €34,199,813, net of transaction costs during the nine months ended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Trade and other payables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color w:val="auto"/>
              </w:rPr>
              <w:t>September 30, 2020</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December 31, 2019</w:t>
            </w:r>
          </w:p>
        </w:tc>
      </w:tr>
      <w:tr>
        <w:trPr>
          <w:trHeight w:val="142"/>
        </w:trPr>
        <w:tc>
          <w:tcPr>
            <w:tcW w:w="39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6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1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2,729,473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509,948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 and social security liabilities</w:t>
            </w:r>
          </w:p>
        </w:tc>
        <w:tc>
          <w:tcPr>
            <w:tcW w:w="4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90,121</w:t>
            </w:r>
          </w:p>
        </w:tc>
        <w:tc>
          <w:tcPr>
            <w:tcW w:w="8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7,823</w:t>
            </w:r>
          </w:p>
        </w:tc>
      </w:tr>
      <w:tr>
        <w:trPr>
          <w:trHeight w:val="27"/>
        </w:trPr>
        <w:tc>
          <w:tcPr>
            <w:tcW w:w="39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2,819,594</w:t>
            </w:r>
          </w:p>
        </w:tc>
        <w:tc>
          <w:tcPr>
            <w:tcW w:w="8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517,771</w:t>
            </w:r>
          </w:p>
        </w:tc>
      </w:tr>
      <w:tr>
        <w:trPr>
          <w:trHeight w:val="20"/>
        </w:trPr>
        <w:tc>
          <w:tcPr>
            <w:tcW w:w="39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6140" w:type="dxa"/>
            <w:vAlign w:val="bottom"/>
            <w:gridSpan w:val="3"/>
          </w:tcPr>
          <w:p>
            <w:pPr>
              <w:ind w:left="1540"/>
              <w:spacing w:after="0"/>
              <w:rPr>
                <w:sz w:val="20"/>
                <w:szCs w:val="20"/>
                <w:color w:val="auto"/>
              </w:rPr>
            </w:pPr>
            <w:r>
              <w:rPr>
                <w:rFonts w:ascii="Arial" w:cs="Arial" w:eastAsia="Arial" w:hAnsi="Arial"/>
                <w:sz w:val="18"/>
                <w:szCs w:val="18"/>
                <w:color w:val="auto"/>
              </w:rPr>
              <w:t>F-38</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liabilities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September 30, 2020</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December 31, 2019</w:t>
            </w:r>
          </w:p>
        </w:tc>
      </w:tr>
      <w:tr>
        <w:trPr>
          <w:trHeight w:val="142"/>
        </w:trPr>
        <w:tc>
          <w:tcPr>
            <w:tcW w:w="81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accounting fee accruals</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665,854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436,768</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Clinical accrued liabilities</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522,180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357,719</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accrued liabilities</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205,025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283,115</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Pre-clinical accrued liabilities</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275,460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accruals</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98,143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53,297</w:t>
            </w:r>
          </w:p>
        </w:tc>
      </w:tr>
      <w:tr>
        <w:trPr>
          <w:trHeight w:val="27"/>
        </w:trPr>
        <w:tc>
          <w:tcPr>
            <w:tcW w:w="8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1,544,535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1,406,359</w:t>
            </w:r>
          </w:p>
        </w:tc>
      </w:tr>
      <w:tr>
        <w:trPr>
          <w:trHeight w:val="20"/>
        </w:trPr>
        <w:tc>
          <w:tcPr>
            <w:tcW w:w="8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Risk management activities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changes have occurred regarding our risk management activities as disclosed in the notes to the consolidated financial statements as of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payments</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an overview of changes in the Stock Options and RSUs during the nine months ended September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Pr>
          <w:p>
            <w:pPr>
              <w:spacing w:after="0"/>
              <w:rPr>
                <w:sz w:val="14"/>
                <w:szCs w:val="14"/>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4"/>
                <w:szCs w:val="14"/>
                <w:color w:val="auto"/>
              </w:rPr>
              <w:t>Stock Options</w:t>
            </w:r>
          </w:p>
        </w:tc>
        <w:tc>
          <w:tcPr>
            <w:tcW w:w="1100" w:type="dxa"/>
            <w:vAlign w:val="bottom"/>
            <w:gridSpan w:val="2"/>
          </w:tcPr>
          <w:p>
            <w:pPr>
              <w:ind w:left="660"/>
              <w:spacing w:after="0"/>
              <w:rPr>
                <w:sz w:val="20"/>
                <w:szCs w:val="20"/>
                <w:color w:val="auto"/>
              </w:rPr>
            </w:pPr>
            <w:r>
              <w:rPr>
                <w:rFonts w:ascii="Arial" w:cs="Arial" w:eastAsia="Arial" w:hAnsi="Arial"/>
                <w:sz w:val="14"/>
                <w:szCs w:val="14"/>
                <w:color w:val="auto"/>
              </w:rPr>
              <w:t>RSUs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74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3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r>
      <w:tr>
        <w:trPr>
          <w:trHeight w:val="149"/>
        </w:trPr>
        <w:tc>
          <w:tcPr>
            <w:tcW w:w="7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6"/>
              </w:rPr>
              <w:t>average</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average</w:t>
            </w:r>
          </w:p>
        </w:tc>
      </w:tr>
      <w:tr>
        <w:trPr>
          <w:trHeight w:val="148"/>
        </w:trPr>
        <w:tc>
          <w:tcPr>
            <w:tcW w:w="744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5"/>
              </w:rPr>
              <w:t>Outstanding</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purchase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Outstanding</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6"/>
              </w:rPr>
              <w:t>purchase</w:t>
            </w:r>
          </w:p>
        </w:tc>
      </w:tr>
      <w:tr>
        <w:trPr>
          <w:trHeight w:val="167"/>
        </w:trPr>
        <w:tc>
          <w:tcPr>
            <w:tcW w:w="744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color w:val="auto"/>
              </w:rPr>
              <w:t>options</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price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RSUs</w:t>
            </w: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price</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31,2019</w:t>
            </w:r>
          </w:p>
        </w:tc>
        <w:tc>
          <w:tcPr>
            <w:tcW w:w="7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392,850</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25,290</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1,040,000</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2.38</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30,2020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1,432,850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25,290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0"/>
        </w:trPr>
        <w:tc>
          <w:tcPr>
            <w:tcW w:w="7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January 1, 2020 the Company has granted a total of 600,000 stock options to members of key management with an exercise price of €2.38 per share with a final exercise date of December 31, 2029 unless forfeited or exercised on an earlier date. On February 3, 2020 a total of 308,000 share options was granted to a member of key management with an exercise price of €2.38 per share with a final exercise date of February 2, 2030 unless forfeited or exercised on an earlier date. 25% of the aggregate number of share options shall vest on the 12-month anniversary of the vesting commencement date, and thereafter 1/48th of the aggregate number of share options shall vest on each subsequent monthly anniversary of the vesting commencement date until either the option is fully vested or the option holders’ continuous service terminates.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3, 2020 a total of 132,000 share options was granted to a member of key management with an exercise price of €2.38 per share with a final exercise date of February 2, 2030 unless forfeited or exercised on an earlier date. Each of 2020, 2021, 2022 is a performance period. The Board of directors needs to determine the performance goals for the related performance period before September 30 of the respective year. On July 13, 2020 the performance goals for 2020 were determined and the fair value of the related options was reassessed for the options subject to the performance goals for 2020. The fair value of the options related to the performance periods 2021 and 2022 was reassessed on September 30, 2020. One-third of the aggregate number of share options shall vest on the last day of each performance period if (i) the performance condition for the applicable performance period is achieved, as determined by the Board, and (ii) option holder remains in continuous service through the last day of such performance period.</w:t>
      </w:r>
    </w:p>
    <w:p>
      <w:pPr>
        <w:spacing w:after="0" w:line="16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For the nine months ended September 30, 2020, the Group has recognized €1,050,424 of share-based payment expense in the unaudited condensed consolidated statement of income or loss and other comprehensive income (loss) (nine month ended September 30, 2019: €81,534).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None of the granted Stock options and RSUs are vested as at September 30, 2020.</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Pharvaris is a private company and the equity instruments are not marketable, an Option Pricing Model (‘OPM’), with estimated probabilities of two different exit scenarios (IPO and Trade Sale), was applied to back-solve the Company’s total equity value such that the value per preferred B and C share is equal to the investment price per share paid in the investment round, which has been used for the fair value per ordinary share at January 1, 2020 and February 3, 2020. This estimated total equity value has been used as input to the OPM when determining the fair value of the Company’s ordinary shares at the measurement dates. The OPM uses the Black-Scholes Option-Pricing Model to determine the fair value of the Company’s different share classes based upon the Company’s total equity value.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inputs used in the measurement of the fair value per ordinary share at each grant/measurement date based upon the total equity value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480" w:type="dxa"/>
            <w:vAlign w:val="bottom"/>
          </w:tcPr>
          <w:p>
            <w:pPr>
              <w:jc w:val="right"/>
              <w:ind w:right="356"/>
              <w:spacing w:after="0"/>
              <w:rPr>
                <w:sz w:val="20"/>
                <w:szCs w:val="20"/>
                <w:color w:val="auto"/>
              </w:rPr>
            </w:pPr>
            <w:r>
              <w:rPr>
                <w:rFonts w:ascii="Arial" w:cs="Arial" w:eastAsia="Arial" w:hAnsi="Arial"/>
                <w:sz w:val="14"/>
                <w:szCs w:val="14"/>
                <w:color w:val="auto"/>
              </w:rPr>
              <w:t>September 30,</w:t>
            </w:r>
          </w:p>
        </w:tc>
        <w:tc>
          <w:tcPr>
            <w:tcW w:w="1200" w:type="dxa"/>
            <w:vAlign w:val="bottom"/>
          </w:tcPr>
          <w:p>
            <w:pPr>
              <w:jc w:val="right"/>
              <w:ind w:right="376"/>
              <w:spacing w:after="0"/>
              <w:rPr>
                <w:sz w:val="20"/>
                <w:szCs w:val="20"/>
                <w:color w:val="auto"/>
              </w:rPr>
            </w:pPr>
            <w:r>
              <w:rPr>
                <w:rFonts w:ascii="Arial" w:cs="Arial" w:eastAsia="Arial" w:hAnsi="Arial"/>
                <w:sz w:val="14"/>
                <w:szCs w:val="14"/>
                <w:color w:val="auto"/>
              </w:rPr>
              <w:t>July 13,</w:t>
            </w:r>
          </w:p>
        </w:tc>
        <w:tc>
          <w:tcPr>
            <w:tcW w:w="1400" w:type="dxa"/>
            <w:vAlign w:val="bottom"/>
          </w:tcPr>
          <w:p>
            <w:pPr>
              <w:jc w:val="right"/>
              <w:ind w:right="376"/>
              <w:spacing w:after="0"/>
              <w:rPr>
                <w:sz w:val="20"/>
                <w:szCs w:val="20"/>
                <w:color w:val="auto"/>
              </w:rPr>
            </w:pPr>
            <w:r>
              <w:rPr>
                <w:rFonts w:ascii="Arial" w:cs="Arial" w:eastAsia="Arial" w:hAnsi="Arial"/>
                <w:sz w:val="14"/>
                <w:szCs w:val="14"/>
                <w:color w:val="auto"/>
              </w:rPr>
              <w:t>February 3,</w:t>
            </w:r>
          </w:p>
        </w:tc>
        <w:tc>
          <w:tcPr>
            <w:tcW w:w="1080" w:type="dxa"/>
            <w:vAlign w:val="bottom"/>
          </w:tcPr>
          <w:p>
            <w:pPr>
              <w:jc w:val="right"/>
              <w:ind w:right="116"/>
              <w:spacing w:after="0"/>
              <w:rPr>
                <w:sz w:val="20"/>
                <w:szCs w:val="20"/>
                <w:color w:val="auto"/>
              </w:rPr>
            </w:pPr>
            <w:r>
              <w:rPr>
                <w:rFonts w:ascii="Arial" w:cs="Arial" w:eastAsia="Arial" w:hAnsi="Arial"/>
                <w:sz w:val="14"/>
                <w:szCs w:val="14"/>
                <w:color w:val="auto"/>
              </w:rPr>
              <w:t>January 1,</w:t>
            </w:r>
          </w:p>
        </w:tc>
      </w:tr>
      <w:tr>
        <w:trPr>
          <w:trHeight w:val="167"/>
        </w:trPr>
        <w:tc>
          <w:tcPr>
            <w:tcW w:w="4080" w:type="dxa"/>
            <w:vAlign w:val="bottom"/>
          </w:tcPr>
          <w:p>
            <w:pPr>
              <w:spacing w:after="0"/>
              <w:rPr>
                <w:sz w:val="14"/>
                <w:szCs w:val="14"/>
                <w:color w:val="auto"/>
              </w:rPr>
            </w:pPr>
          </w:p>
        </w:tc>
        <w:tc>
          <w:tcPr>
            <w:tcW w:w="3480" w:type="dxa"/>
            <w:vAlign w:val="bottom"/>
          </w:tcPr>
          <w:p>
            <w:pPr>
              <w:jc w:val="right"/>
              <w:ind w:right="636"/>
              <w:spacing w:after="0"/>
              <w:rPr>
                <w:sz w:val="20"/>
                <w:szCs w:val="20"/>
                <w:color w:val="auto"/>
              </w:rPr>
            </w:pPr>
            <w:r>
              <w:rPr>
                <w:rFonts w:ascii="Arial" w:cs="Arial" w:eastAsia="Arial" w:hAnsi="Arial"/>
                <w:sz w:val="14"/>
                <w:szCs w:val="14"/>
                <w:color w:val="auto"/>
              </w:rPr>
              <w:t>2020</w:t>
            </w:r>
          </w:p>
        </w:tc>
        <w:tc>
          <w:tcPr>
            <w:tcW w:w="1200" w:type="dxa"/>
            <w:vAlign w:val="bottom"/>
          </w:tcPr>
          <w:p>
            <w:pPr>
              <w:jc w:val="right"/>
              <w:ind w:right="456"/>
              <w:spacing w:after="0"/>
              <w:rPr>
                <w:sz w:val="20"/>
                <w:szCs w:val="20"/>
                <w:color w:val="auto"/>
              </w:rPr>
            </w:pPr>
            <w:r>
              <w:rPr>
                <w:rFonts w:ascii="Arial" w:cs="Arial" w:eastAsia="Arial" w:hAnsi="Arial"/>
                <w:sz w:val="14"/>
                <w:szCs w:val="14"/>
                <w:color w:val="auto"/>
              </w:rPr>
              <w:t>2020</w:t>
            </w:r>
          </w:p>
        </w:tc>
        <w:tc>
          <w:tcPr>
            <w:tcW w:w="1400" w:type="dxa"/>
            <w:vAlign w:val="bottom"/>
          </w:tcPr>
          <w:p>
            <w:pPr>
              <w:jc w:val="right"/>
              <w:ind w:right="556"/>
              <w:spacing w:after="0"/>
              <w:rPr>
                <w:sz w:val="20"/>
                <w:szCs w:val="20"/>
                <w:color w:val="auto"/>
              </w:rPr>
            </w:pPr>
            <w:r>
              <w:rPr>
                <w:rFonts w:ascii="Arial" w:cs="Arial" w:eastAsia="Arial" w:hAnsi="Arial"/>
                <w:sz w:val="14"/>
                <w:szCs w:val="14"/>
                <w:color w:val="auto"/>
              </w:rPr>
              <w:t>2020</w:t>
            </w:r>
          </w:p>
        </w:tc>
        <w:tc>
          <w:tcPr>
            <w:tcW w:w="1080" w:type="dxa"/>
            <w:vAlign w:val="bottom"/>
          </w:tcPr>
          <w:p>
            <w:pPr>
              <w:jc w:val="right"/>
              <w:ind w:right="276"/>
              <w:spacing w:after="0"/>
              <w:rPr>
                <w:sz w:val="20"/>
                <w:szCs w:val="20"/>
                <w:color w:val="auto"/>
              </w:rPr>
            </w:pPr>
            <w:r>
              <w:rPr>
                <w:rFonts w:ascii="Arial" w:cs="Arial" w:eastAsia="Arial" w:hAnsi="Arial"/>
                <w:sz w:val="14"/>
                <w:szCs w:val="14"/>
                <w:color w:val="auto"/>
              </w:rPr>
              <w:t>2020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3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90%</w:t>
            </w:r>
          </w:p>
        </w:tc>
        <w:tc>
          <w:tcPr>
            <w:tcW w:w="12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90%</w:t>
            </w:r>
          </w:p>
        </w:tc>
        <w:tc>
          <w:tcPr>
            <w:tcW w:w="1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Expected life (years)</w:t>
            </w:r>
          </w:p>
        </w:tc>
        <w:tc>
          <w:tcPr>
            <w:tcW w:w="3480" w:type="dxa"/>
            <w:vAlign w:val="bottom"/>
          </w:tcPr>
          <w:p>
            <w:pPr>
              <w:jc w:val="right"/>
              <w:ind w:right="356"/>
              <w:spacing w:after="0"/>
              <w:rPr>
                <w:sz w:val="20"/>
                <w:szCs w:val="20"/>
                <w:color w:val="auto"/>
              </w:rPr>
            </w:pPr>
            <w:r>
              <w:rPr>
                <w:rFonts w:ascii="Arial" w:cs="Arial" w:eastAsia="Arial" w:hAnsi="Arial"/>
                <w:sz w:val="18"/>
                <w:szCs w:val="18"/>
                <w:color w:val="auto"/>
              </w:rPr>
              <w:t>1.6</w:t>
            </w:r>
          </w:p>
        </w:tc>
        <w:tc>
          <w:tcPr>
            <w:tcW w:w="1200" w:type="dxa"/>
            <w:vAlign w:val="bottom"/>
          </w:tcPr>
          <w:p>
            <w:pPr>
              <w:jc w:val="right"/>
              <w:ind w:right="356"/>
              <w:spacing w:after="0"/>
              <w:rPr>
                <w:sz w:val="20"/>
                <w:szCs w:val="20"/>
                <w:color w:val="auto"/>
              </w:rPr>
            </w:pPr>
            <w:r>
              <w:rPr>
                <w:rFonts w:ascii="Arial" w:cs="Arial" w:eastAsia="Arial" w:hAnsi="Arial"/>
                <w:sz w:val="18"/>
                <w:szCs w:val="18"/>
                <w:color w:val="auto"/>
              </w:rPr>
              <w:t>1.6</w:t>
            </w: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3.0</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3.0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3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-0.8%</w:t>
            </w:r>
          </w:p>
        </w:tc>
        <w:tc>
          <w:tcPr>
            <w:tcW w:w="12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-0.8%</w:t>
            </w:r>
          </w:p>
        </w:tc>
        <w:tc>
          <w:tcPr>
            <w:tcW w:w="1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inputs used in the measurement of the fair value per option at each grant/measurement date using the Black-Scholes formula (including the related number of options and the fair value of the options)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140" w:type="dxa"/>
            <w:vAlign w:val="bottom"/>
            <w:gridSpan w:val="2"/>
          </w:tcPr>
          <w:p>
            <w:pPr>
              <w:ind w:left="1860"/>
              <w:spacing w:after="0"/>
              <w:rPr>
                <w:sz w:val="20"/>
                <w:szCs w:val="20"/>
                <w:color w:val="auto"/>
              </w:rPr>
            </w:pPr>
            <w:r>
              <w:rPr>
                <w:rFonts w:ascii="Arial" w:cs="Arial" w:eastAsia="Arial" w:hAnsi="Arial"/>
                <w:sz w:val="14"/>
                <w:szCs w:val="14"/>
                <w:color w:val="auto"/>
              </w:rPr>
              <w:t>September 30,</w:t>
            </w:r>
          </w:p>
        </w:tc>
        <w:tc>
          <w:tcPr>
            <w:tcW w:w="1300" w:type="dxa"/>
            <w:vAlign w:val="bottom"/>
            <w:gridSpan w:val="2"/>
          </w:tcPr>
          <w:p>
            <w:pPr>
              <w:jc w:val="right"/>
              <w:ind w:right="412"/>
              <w:spacing w:after="0"/>
              <w:rPr>
                <w:sz w:val="20"/>
                <w:szCs w:val="20"/>
                <w:color w:val="auto"/>
              </w:rPr>
            </w:pPr>
            <w:r>
              <w:rPr>
                <w:rFonts w:ascii="Arial" w:cs="Arial" w:eastAsia="Arial" w:hAnsi="Arial"/>
                <w:sz w:val="14"/>
                <w:szCs w:val="14"/>
                <w:color w:val="auto"/>
              </w:rPr>
              <w:t>July 13,</w:t>
            </w:r>
          </w:p>
        </w:tc>
        <w:tc>
          <w:tcPr>
            <w:tcW w:w="1400" w:type="dxa"/>
            <w:vAlign w:val="bottom"/>
            <w:gridSpan w:val="2"/>
          </w:tcPr>
          <w:p>
            <w:pPr>
              <w:ind w:left="300"/>
              <w:spacing w:after="0"/>
              <w:rPr>
                <w:sz w:val="20"/>
                <w:szCs w:val="20"/>
                <w:color w:val="auto"/>
              </w:rPr>
            </w:pPr>
            <w:r>
              <w:rPr>
                <w:rFonts w:ascii="Arial" w:cs="Arial" w:eastAsia="Arial" w:hAnsi="Arial"/>
                <w:sz w:val="14"/>
                <w:szCs w:val="14"/>
                <w:color w:val="auto"/>
              </w:rPr>
              <w:t>February 3,</w:t>
            </w:r>
          </w:p>
        </w:tc>
        <w:tc>
          <w:tcPr>
            <w:tcW w:w="1180" w:type="dxa"/>
            <w:vAlign w:val="bottom"/>
            <w:gridSpan w:val="2"/>
          </w:tcPr>
          <w:p>
            <w:pPr>
              <w:jc w:val="right"/>
              <w:ind w:right="172"/>
              <w:spacing w:after="0"/>
              <w:rPr>
                <w:sz w:val="20"/>
                <w:szCs w:val="20"/>
                <w:color w:val="auto"/>
              </w:rPr>
            </w:pPr>
            <w:r>
              <w:rPr>
                <w:rFonts w:ascii="Arial" w:cs="Arial" w:eastAsia="Arial" w:hAnsi="Arial"/>
                <w:sz w:val="14"/>
                <w:szCs w:val="14"/>
                <w:color w:val="auto"/>
              </w:rPr>
              <w:t>January 1,</w:t>
            </w:r>
          </w:p>
        </w:tc>
      </w:tr>
      <w:tr>
        <w:trPr>
          <w:trHeight w:val="167"/>
        </w:trPr>
        <w:tc>
          <w:tcPr>
            <w:tcW w:w="4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tcPr>
          <w:p>
            <w:pPr>
              <w:jc w:val="right"/>
              <w:ind w:right="632"/>
              <w:spacing w:after="0"/>
              <w:rPr>
                <w:sz w:val="20"/>
                <w:szCs w:val="20"/>
                <w:color w:val="auto"/>
              </w:rPr>
            </w:pPr>
            <w:r>
              <w:rPr>
                <w:rFonts w:ascii="Arial" w:cs="Arial" w:eastAsia="Arial" w:hAnsi="Arial"/>
                <w:sz w:val="14"/>
                <w:szCs w:val="14"/>
                <w:color w:val="auto"/>
              </w:rPr>
              <w:t>2020</w:t>
            </w:r>
          </w:p>
        </w:tc>
        <w:tc>
          <w:tcPr>
            <w:tcW w:w="380" w:type="dxa"/>
            <w:vAlign w:val="bottom"/>
          </w:tcPr>
          <w:p>
            <w:pPr>
              <w:spacing w:after="0"/>
              <w:rPr>
                <w:sz w:val="14"/>
                <w:szCs w:val="14"/>
                <w:color w:val="auto"/>
              </w:rPr>
            </w:pPr>
          </w:p>
        </w:tc>
        <w:tc>
          <w:tcPr>
            <w:tcW w:w="920" w:type="dxa"/>
            <w:vAlign w:val="bottom"/>
          </w:tcPr>
          <w:p>
            <w:pPr>
              <w:jc w:val="right"/>
              <w:ind w:right="492"/>
              <w:spacing w:after="0"/>
              <w:rPr>
                <w:sz w:val="20"/>
                <w:szCs w:val="20"/>
                <w:color w:val="auto"/>
              </w:rPr>
            </w:pPr>
            <w:r>
              <w:rPr>
                <w:rFonts w:ascii="Arial" w:cs="Arial" w:eastAsia="Arial" w:hAnsi="Arial"/>
                <w:sz w:val="14"/>
                <w:szCs w:val="14"/>
                <w:color w:val="auto"/>
              </w:rPr>
              <w:t>2020</w:t>
            </w:r>
          </w:p>
        </w:tc>
        <w:tc>
          <w:tcPr>
            <w:tcW w:w="380" w:type="dxa"/>
            <w:vAlign w:val="bottom"/>
          </w:tcPr>
          <w:p>
            <w:pPr>
              <w:spacing w:after="0"/>
              <w:rPr>
                <w:sz w:val="14"/>
                <w:szCs w:val="14"/>
                <w:color w:val="auto"/>
              </w:rPr>
            </w:pPr>
          </w:p>
        </w:tc>
        <w:tc>
          <w:tcPr>
            <w:tcW w:w="1020" w:type="dxa"/>
            <w:vAlign w:val="bottom"/>
          </w:tcPr>
          <w:p>
            <w:pPr>
              <w:jc w:val="right"/>
              <w:ind w:right="532"/>
              <w:spacing w:after="0"/>
              <w:rPr>
                <w:sz w:val="20"/>
                <w:szCs w:val="20"/>
                <w:color w:val="auto"/>
              </w:rPr>
            </w:pPr>
            <w:r>
              <w:rPr>
                <w:rFonts w:ascii="Arial" w:cs="Arial" w:eastAsia="Arial" w:hAnsi="Arial"/>
                <w:sz w:val="14"/>
                <w:szCs w:val="14"/>
                <w:color w:val="auto"/>
              </w:rPr>
              <w:t>2020</w:t>
            </w:r>
          </w:p>
        </w:tc>
        <w:tc>
          <w:tcPr>
            <w:tcW w:w="38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color w:val="auto"/>
              </w:rPr>
              <w:t>2020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w:t>
            </w:r>
          </w:p>
        </w:tc>
        <w:tc>
          <w:tcPr>
            <w:tcW w:w="20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88,000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3"/>
              </w:rPr>
              <w:t>44,000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9"/>
              </w:rPr>
              <w:t>308,000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600,000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Fair value of the options</w:t>
            </w:r>
          </w:p>
        </w:tc>
        <w:tc>
          <w:tcPr>
            <w:tcW w:w="2040" w:type="dxa"/>
            <w:vAlign w:val="bottom"/>
          </w:tcPr>
          <w:p>
            <w:pPr>
              <w:ind w:left="18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6.08</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4.74</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1.66</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1.67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ordinary shares</w:t>
            </w:r>
          </w:p>
        </w:tc>
        <w:tc>
          <w:tcPr>
            <w:tcW w:w="204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7.25</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5.82</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Exercise price</w:t>
            </w:r>
          </w:p>
        </w:tc>
        <w:tc>
          <w:tcPr>
            <w:tcW w:w="2040" w:type="dxa"/>
            <w:vAlign w:val="bottom"/>
          </w:tcPr>
          <w:p>
            <w:pPr>
              <w:ind w:left="18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2.38</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2.38</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2.38</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2.38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20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life (years)</w:t>
            </w:r>
          </w:p>
        </w:tc>
        <w:tc>
          <w:tcPr>
            <w:tcW w:w="2040" w:type="dxa"/>
            <w:vAlign w:val="bottom"/>
          </w:tcPr>
          <w:p>
            <w:pPr>
              <w:spacing w:after="0"/>
              <w:rPr>
                <w:sz w:val="18"/>
                <w:szCs w:val="18"/>
                <w:color w:val="auto"/>
              </w:rPr>
            </w:pP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6.1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0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tcPr>
          <w:p>
            <w:pPr>
              <w:spacing w:after="0"/>
              <w:rPr>
                <w:sz w:val="20"/>
                <w:szCs w:val="20"/>
                <w:color w:val="auto"/>
              </w:rPr>
            </w:pP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with tenure equal to the expected life. The expected dividend yield is zero considering the stage of the Group.</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Reference is made to Note 5 for allocation of expenses in lines of the unaudited condensed consolidated statement of income or loss and other comprehensive income (loss).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Basic and diluted loss per share is calculated by dividing the loss attributable to equity holders of the Company by the weighted average number of issued and outstanding ordinary shares during the nine months ended September 30, 2020 and 2019.</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attributable to ordinary stockholders as the effect of including them would be antidilutive.</w:t>
      </w:r>
    </w:p>
    <w:p>
      <w:pPr>
        <w:spacing w:after="0" w:line="170"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Potentially dilutive shares that were not included in the diluted per share calculations because they would be anti-dilutive were 5,242,850 Series A preferred shared and 7,650,147 Series B preferred shares as of September 30, 2020 and 5,242,850 Series A preferred shared and 3,003,391 Series B preferred shares as of September 30,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40" w:type="dxa"/>
            <w:vAlign w:val="bottom"/>
          </w:tcPr>
          <w:p>
            <w:pPr>
              <w:spacing w:after="0"/>
              <w:rPr>
                <w:sz w:val="14"/>
                <w:szCs w:val="14"/>
                <w:color w:val="auto"/>
              </w:rPr>
            </w:pPr>
          </w:p>
        </w:tc>
        <w:tc>
          <w:tcPr>
            <w:tcW w:w="184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September 30, 2020</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w w:val="88"/>
              </w:rPr>
              <w:t>September 30, 2019</w:t>
            </w:r>
          </w:p>
        </w:tc>
      </w:tr>
      <w:tr>
        <w:trPr>
          <w:trHeight w:val="142"/>
        </w:trPr>
        <w:tc>
          <w:tcPr>
            <w:tcW w:w="814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Pr>
          <w:p>
            <w:pPr>
              <w:spacing w:after="0"/>
              <w:rPr>
                <w:sz w:val="12"/>
                <w:szCs w:val="12"/>
                <w:color w:val="auto"/>
              </w:rPr>
            </w:pPr>
          </w:p>
        </w:tc>
        <w:tc>
          <w:tcPr>
            <w:tcW w:w="1160" w:type="dxa"/>
            <w:vAlign w:val="bottom"/>
            <w:tcBorders>
              <w:top w:val="single" w:sz="8" w:color="auto"/>
            </w:tcBorders>
          </w:tcPr>
          <w:p>
            <w:pPr>
              <w:jc w:val="right"/>
              <w:ind w:right="477"/>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equity holders of the Company</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(15,421,796)</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(4,568,776)</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4,850,000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4,850,000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claims known to management related to the activities of the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commitments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Group’s research and development commitments amounted to €7,621,000 as at September 30, 2020 (December 31, 2019: €5,013,700), all of which is due within 3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contingent liabilities and no contingent assets at September 30,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Charité Research Organisation GmbH (Charité CRO)</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Dr. Knolle, who has served as Chief Scientific Officer and Chief Operating Officer since its inception, is a member of the board of Charité CRO. The Group has entered into a service contract with Charité CRO according to which Charité CRO provides services supporting research for the Group. The aggregate transaction value of the transactions with Charité CRO during the nine months ended September 30, 2020 and 2019 were €1,018,625 and €504,607, respectively. The outstanding balances with Charité CRO amounts €662,022 and €0 on September 30, 2020 and December 31, 2019 respectively.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color w:val="auto"/>
                <w:w w:val="90"/>
              </w:rPr>
              <w:t>Nine months ended</w:t>
            </w:r>
          </w:p>
        </w:tc>
      </w:tr>
      <w:tr>
        <w:trPr>
          <w:trHeight w:val="148"/>
        </w:trPr>
        <w:tc>
          <w:tcPr>
            <w:tcW w:w="9760" w:type="dxa"/>
            <w:vAlign w:val="bottom"/>
          </w:tcPr>
          <w:p>
            <w:pPr>
              <w:spacing w:after="0"/>
              <w:rPr>
                <w:sz w:val="12"/>
                <w:szCs w:val="12"/>
                <w:color w:val="auto"/>
              </w:rPr>
            </w:pPr>
          </w:p>
        </w:tc>
        <w:tc>
          <w:tcPr>
            <w:tcW w:w="1480" w:type="dxa"/>
            <w:vAlign w:val="bottom"/>
            <w:gridSpan w:val="5"/>
          </w:tcPr>
          <w:p>
            <w:pPr>
              <w:jc w:val="center"/>
              <w:ind w:right="6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97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Short term employee benefits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Post employee benefits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31,203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607,543</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1,661,163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9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An amount of €220,000 of the short term employee benefits is capitalized on the unaudited condensed consolidated statements of financial position, and will be recognized in the Group’s statements of profit or loss and other comprehensive income (loss) in the period between October 2020 and June 2021.</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total of 1,040,000 stock options are granted to key management during the nine months ended September 30, 2020. Refer to note 15 for disclosure on the share-based payments.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Group engages several management entities for the purpose of providing key management services to the Group. The aggregate value of transactions related to key management personnel, or entities which they control were €1,217,298 and €937,753 in the nine months ended September 30, 2020 and 2019, respectively.</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outstanding balances payable to key management personnel, or entities which they control, as per September 30, 2020 and December 31, 2019 were €194,509 and €55,250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Events after the reporting period</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3, 2020, the Company completed a $80 million Series C equity financing, which financing was received on November 5, 2020, pursuant to which the Company issued 5,826,279 preferred shares C.</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December 17, 2020 the Board of directors has approved a total grant of 129,650 restricted stock units (RSUs) and 32,445 share options to Group’s employees and consultants.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Signatories to the unaudited condensed consolidated interim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Leiden, December 18,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Pharvaris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B.A.E. Modig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B.A.E. Modig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/s/ M. Kleijwegt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 Kleijwegt</w:t>
      </w:r>
    </w:p>
    <w:p>
      <w:pPr>
        <w:spacing w:after="0" w:line="200" w:lineRule="exact"/>
        <w:rPr>
          <w:sz w:val="20"/>
          <w:szCs w:val="20"/>
          <w:color w:val="auto"/>
        </w:rPr>
      </w:pPr>
    </w:p>
    <w:p>
      <w:pPr>
        <w:sectPr>
          <w:pgSz w:w="11900" w:h="16838" w:orient="portrait"/>
          <w:cols w:equalWidth="0" w:num="2">
            <w:col w:w="7260" w:space="720"/>
            <w:col w:w="215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/s/ R.P.L. Droller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R.P.L. Droller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 M.E. Rome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 Rome</w:t>
      </w:r>
    </w:p>
    <w:p>
      <w:pPr>
        <w:spacing w:after="0" w:line="200" w:lineRule="exact"/>
        <w:rPr>
          <w:sz w:val="20"/>
          <w:szCs w:val="20"/>
          <w:color w:val="auto"/>
        </w:rPr>
      </w:pPr>
    </w:p>
    <w:p>
      <w:pPr>
        <w:sectPr>
          <w:pgSz w:w="11900" w:h="16838" w:orient="portrait"/>
          <w:cols w:equalWidth="0" w:num="2">
            <w:col w:w="7260" w:space="720"/>
            <w:col w:w="215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/s/ R.S. Gaster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R.S. Gaster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/s/ J.G.C.P. Schikan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J.G.C.P. Schikan</w:t>
      </w:r>
    </w:p>
    <w:p>
      <w:pPr>
        <w:spacing w:after="0" w:line="143" w:lineRule="exact"/>
        <w:rPr>
          <w:sz w:val="20"/>
          <w:szCs w:val="20"/>
          <w:color w:val="auto"/>
        </w:rPr>
      </w:pPr>
    </w:p>
    <w:p>
      <w:pPr>
        <w:sectPr>
          <w:pgSz w:w="11900" w:h="16838" w:orient="portrait"/>
          <w:cols w:equalWidth="0" w:num="2">
            <w:col w:w="7260" w:space="720"/>
            <w:col w:w="2159"/>
          </w:cols>
          <w:pgMar w:left="320" w:top="459" w:right="1440" w:bottom="1440" w:gutter="0" w:footer="0" w:header="0"/>
          <w:type w:val="continuous"/>
        </w:sectPr>
      </w:pPr>
    </w:p>
    <w:p>
      <w:pPr>
        <w:ind w:left="546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0139"/>
          </w:cols>
          <w:pgMar w:left="320" w:top="459" w:right="1440" w:bottom="1440" w:gutter="0" w:footer="0" w:header="0"/>
          <w:type w:val="continuous"/>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32"/>
          <w:szCs w:val="32"/>
          <w:i w:val="1"/>
          <w:iCs w:val="1"/>
          <w:color w:val="auto"/>
        </w:rPr>
        <w:t>6,950,000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335915</wp:posOffset>
            </wp:positionV>
            <wp:extent cx="1962785"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9627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Joint Book-Running Managers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25"/>
          <w:szCs w:val="25"/>
          <w:i w:val="1"/>
          <w:iCs w:val="1"/>
          <w:color w:val="auto"/>
        </w:rPr>
        <w:t>Morgan Stanley</w:t>
      </w:r>
    </w:p>
    <w:p>
      <w:pPr>
        <w:spacing w:after="0" w:line="32" w:lineRule="exact"/>
        <w:rPr>
          <w:sz w:val="20"/>
          <w:szCs w:val="20"/>
          <w:color w:val="auto"/>
        </w:rPr>
      </w:pPr>
    </w:p>
    <w:p>
      <w:pPr>
        <w:jc w:val="center"/>
        <w:ind w:right="-199"/>
        <w:spacing w:after="0"/>
        <w:rPr>
          <w:sz w:val="20"/>
          <w:szCs w:val="20"/>
          <w:color w:val="auto"/>
        </w:rPr>
      </w:pPr>
      <w:r>
        <w:rPr>
          <w:rFonts w:ascii="Arial" w:cs="Arial" w:eastAsia="Arial" w:hAnsi="Arial"/>
          <w:sz w:val="25"/>
          <w:szCs w:val="25"/>
          <w:i w:val="1"/>
          <w:iCs w:val="1"/>
          <w:color w:val="auto"/>
        </w:rPr>
        <w:t>BofA Securities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i w:val="1"/>
          <w:iCs w:val="1"/>
          <w:color w:val="auto"/>
        </w:rPr>
        <w:t>SVB Leerink</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Co-Managers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25"/>
          <w:szCs w:val="25"/>
          <w:i w:val="1"/>
          <w:iCs w:val="1"/>
          <w:color w:val="auto"/>
        </w:rPr>
        <w:t>Oppenheimer &amp; Co.</w:t>
      </w:r>
    </w:p>
    <w:p>
      <w:pPr>
        <w:spacing w:after="0" w:line="32" w:lineRule="exact"/>
        <w:rPr>
          <w:sz w:val="20"/>
          <w:szCs w:val="20"/>
          <w:color w:val="auto"/>
        </w:rPr>
      </w:pPr>
    </w:p>
    <w:p>
      <w:pPr>
        <w:jc w:val="center"/>
        <w:ind w:right="-199"/>
        <w:spacing w:after="0"/>
        <w:rPr>
          <w:sz w:val="20"/>
          <w:szCs w:val="20"/>
          <w:color w:val="auto"/>
        </w:rPr>
      </w:pPr>
      <w:r>
        <w:rPr>
          <w:rFonts w:ascii="Arial" w:cs="Arial" w:eastAsia="Arial" w:hAnsi="Arial"/>
          <w:sz w:val="25"/>
          <w:szCs w:val="25"/>
          <w:i w:val="1"/>
          <w:iCs w:val="1"/>
          <w:color w:val="auto"/>
        </w:rPr>
        <w:t>Kempen &amp; Co</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Through and including , 2021 (the 25th calendar date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040"/>
          </w:cols>
          <w:pgMar w:left="320" w:top="459" w:right="5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Under Dutch law, members of the Board may be liable for damages in the event of improper or negligent performance of their duties. They may be jointly and severally liable for damages to the Company and to third parties for infringement of the Articles of Association or of certain provisions of Dutch law. In certain circumstances, they may also incur additional specific civil and criminal liabilities. Members of the Board and Senior Management and certain other officers of the Company and certain subsidiaries are insured under an insurance policy against damages resulting from their conduct when acting in the capacities as such members or officers.</w:t>
      </w:r>
    </w:p>
    <w:p>
      <w:pPr>
        <w:spacing w:after="0" w:line="188"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Set forth below is information regarding share capital issued by us since January 1, 2018 that were not registered under the Securities Act.</w:t>
      </w:r>
    </w:p>
    <w:p>
      <w:pPr>
        <w:spacing w:after="0" w:line="142" w:lineRule="exact"/>
        <w:rPr>
          <w:sz w:val="20"/>
          <w:szCs w:val="20"/>
          <w:color w:val="auto"/>
        </w:rPr>
      </w:pPr>
    </w:p>
    <w:p>
      <w:pPr>
        <w:ind w:left="1000" w:right="380" w:hanging="547"/>
        <w:spacing w:after="0" w:line="27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December 2018, we granted 25,295 restricted stock units with an exercise price of €0.01 per unit to Morgan Conn, our Chief Business Officer.</w:t>
      </w:r>
    </w:p>
    <w:p>
      <w:pPr>
        <w:spacing w:after="0" w:line="75" w:lineRule="exact"/>
        <w:rPr>
          <w:rFonts w:ascii="Arial" w:cs="Arial" w:eastAsia="Arial" w:hAnsi="Arial"/>
          <w:sz w:val="18"/>
          <w:szCs w:val="18"/>
          <w:color w:val="auto"/>
        </w:rPr>
      </w:pPr>
    </w:p>
    <w:p>
      <w:pPr>
        <w:ind w:left="1000" w:right="20" w:hanging="547"/>
        <w:spacing w:after="0" w:line="342" w:lineRule="auto"/>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August 2019, following the execution of a share subscription agreement, we issued to Foresite Capital Fund IV, L.P. a total of 1,137,649 Series B preferred shares, and in July 2020 a total of 1,760,134 Series B preferred shares for an aggregate investment amount of $25,000,000.</w:t>
      </w:r>
    </w:p>
    <w:p>
      <w:pPr>
        <w:spacing w:after="0" w:line="29" w:lineRule="exact"/>
        <w:rPr>
          <w:rFonts w:ascii="Arial" w:cs="Arial" w:eastAsia="Arial" w:hAnsi="Arial"/>
          <w:sz w:val="16"/>
          <w:szCs w:val="16"/>
          <w:color w:val="auto"/>
        </w:rPr>
      </w:pPr>
    </w:p>
    <w:p>
      <w:pPr>
        <w:jc w:val="both"/>
        <w:ind w:left="1000" w:right="380" w:hanging="547"/>
        <w:spacing w:after="0" w:line="263"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August 2019, following the execution of a share subscription agreement, we issued to Bain Capital Life Sciences Fund, L.P. a total of 784,330 Series B preferred shares, and in July 2020 a total of 1,213,490 Series B preferred shares for an aggregate investment amount of $17,235,757.</w:t>
      </w:r>
    </w:p>
    <w:p>
      <w:pPr>
        <w:spacing w:after="0" w:line="89" w:lineRule="exact"/>
        <w:rPr>
          <w:rFonts w:ascii="Arial" w:cs="Arial" w:eastAsia="Arial" w:hAnsi="Arial"/>
          <w:sz w:val="18"/>
          <w:szCs w:val="18"/>
          <w:color w:val="auto"/>
        </w:rPr>
      </w:pPr>
    </w:p>
    <w:p>
      <w:pPr>
        <w:ind w:left="1000" w:hanging="547"/>
        <w:spacing w:after="0" w:line="342" w:lineRule="auto"/>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August 2019, following the execution of a share subscription agreement, we issued to BCIP Life Sciences Associates, L.P. a total of 80,284 Series B preferred shares, and in July 2020 a total of 124,212 Series B preferred shares for an aggregate investment amount of $1,764,243.</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80" w:hanging="547"/>
        <w:spacing w:after="0" w:line="263"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August 2019, following the execution of a share subscription agreement, we issued to venBio Global Strategic Fund III, L.P., a total of 500,565 Series B preferred shares, and in July 2020 a total of 774,460 Series B preferred shares for an aggregate investment amount of $11,000,000.</w:t>
      </w:r>
    </w:p>
    <w:p>
      <w:pPr>
        <w:spacing w:after="0" w:line="89" w:lineRule="exact"/>
        <w:rPr>
          <w:rFonts w:ascii="Arial" w:cs="Arial" w:eastAsia="Arial" w:hAnsi="Arial"/>
          <w:sz w:val="18"/>
          <w:szCs w:val="18"/>
          <w:color w:val="auto"/>
        </w:rPr>
      </w:pPr>
    </w:p>
    <w:p>
      <w:pPr>
        <w:ind w:left="1000" w:right="60" w:hanging="547"/>
        <w:spacing w:after="0" w:line="263"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August 2019, following the execution of a share subscription agreement, we issued to Venrock Healthcare Capital Partners III, L.P. a total of 41,369 Series B preferred shares, and in July 2020 a total of 64,005 Series B preferred shares for an aggregate investment amount of $909,090.91.</w:t>
      </w:r>
    </w:p>
    <w:p>
      <w:pPr>
        <w:spacing w:after="0" w:line="89" w:lineRule="exact"/>
        <w:rPr>
          <w:rFonts w:ascii="Arial" w:cs="Arial" w:eastAsia="Arial" w:hAnsi="Arial"/>
          <w:sz w:val="18"/>
          <w:szCs w:val="18"/>
          <w:color w:val="auto"/>
        </w:rPr>
      </w:pPr>
    </w:p>
    <w:p>
      <w:pPr>
        <w:ind w:left="1000" w:right="120" w:hanging="547"/>
        <w:spacing w:after="0" w:line="263"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August 2019, following the execution of a share subscription agreement, we issued to VHCP Co-Investment Holdings III, LLC a total of 4,136 Series B preferred shares, and in July 2020 a total of 6,401 Series B preferred shares for an aggregate investment amount of $90,909.09.</w:t>
      </w:r>
    </w:p>
    <w:p>
      <w:pPr>
        <w:spacing w:after="0" w:line="89" w:lineRule="exact"/>
        <w:rPr>
          <w:rFonts w:ascii="Arial" w:cs="Arial" w:eastAsia="Arial" w:hAnsi="Arial"/>
          <w:sz w:val="18"/>
          <w:szCs w:val="18"/>
          <w:color w:val="auto"/>
        </w:rPr>
      </w:pPr>
    </w:p>
    <w:p>
      <w:pPr>
        <w:ind w:left="1000" w:right="80" w:hanging="547"/>
        <w:spacing w:after="0" w:line="342"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August 2019, following the execution of a share subscription agreement, we issued to LSP V Coöperatieve U.A. a total of 318,541 Series B preferred shares, and in July 2020 a total of 492,838 Series B preferred shares for an aggregate investment amount of $7,000,000.</w:t>
      </w:r>
    </w:p>
    <w:p>
      <w:pPr>
        <w:spacing w:after="0" w:line="29" w:lineRule="exact"/>
        <w:rPr>
          <w:rFonts w:ascii="Arial" w:cs="Arial" w:eastAsia="Arial" w:hAnsi="Arial"/>
          <w:sz w:val="16"/>
          <w:szCs w:val="16"/>
          <w:color w:val="auto"/>
        </w:rPr>
      </w:pPr>
    </w:p>
    <w:p>
      <w:pPr>
        <w:ind w:left="1000" w:right="220" w:hanging="547"/>
        <w:spacing w:after="0" w:line="342"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August 2019, following the execution of a share subscription agreement, we issued to KURMA BIOFUND II a total of 45,505 Series B preferred shares, and in July 2020 a total of 70,406 Series B preferred shares for an aggregate investment amount of $1,000,000.</w:t>
      </w:r>
    </w:p>
    <w:p>
      <w:pPr>
        <w:spacing w:after="0" w:line="29" w:lineRule="exact"/>
        <w:rPr>
          <w:rFonts w:ascii="Arial" w:cs="Arial" w:eastAsia="Arial" w:hAnsi="Arial"/>
          <w:sz w:val="16"/>
          <w:szCs w:val="16"/>
          <w:color w:val="auto"/>
        </w:rPr>
      </w:pPr>
    </w:p>
    <w:p>
      <w:pPr>
        <w:ind w:left="100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August 2019, following the execution of a share subscription agreement, we issued to Objectif Innovation Patrimoine n</w:t>
      </w:r>
      <w:r>
        <w:rPr>
          <w:rFonts w:ascii="Arial" w:cs="Arial" w:eastAsia="Arial" w:hAnsi="Arial"/>
          <w:sz w:val="15"/>
          <w:szCs w:val="15"/>
          <w:color w:val="auto"/>
        </w:rPr>
        <w:t>o</w:t>
      </w:r>
      <w:r>
        <w:rPr>
          <w:rFonts w:ascii="Arial" w:cs="Arial" w:eastAsia="Arial" w:hAnsi="Arial"/>
          <w:sz w:val="18"/>
          <w:szCs w:val="18"/>
          <w:color w:val="auto"/>
        </w:rPr>
        <w:t>9 a total of 49,328 Series B preferred shares for an aggregate investment amount of $410,602.55.</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August 2019, following the execution of a share subscription agreement, we issued to Idinvest Patrimoine n</w:t>
      </w:r>
      <w:r>
        <w:rPr>
          <w:rFonts w:ascii="Arial" w:cs="Arial" w:eastAsia="Arial" w:hAnsi="Arial"/>
          <w:sz w:val="15"/>
          <w:szCs w:val="15"/>
          <w:color w:val="auto"/>
        </w:rPr>
        <w:t>o</w:t>
      </w:r>
      <w:r>
        <w:rPr>
          <w:rFonts w:ascii="Arial" w:cs="Arial" w:eastAsia="Arial" w:hAnsi="Arial"/>
          <w:sz w:val="18"/>
          <w:szCs w:val="18"/>
          <w:color w:val="auto"/>
        </w:rPr>
        <w:t>6 a total of 41,684 Series B preferred shares for an aggregate investment amount of $346,974.47.</w:t>
      </w:r>
    </w:p>
    <w:p>
      <w:pPr>
        <w:spacing w:after="0" w:line="75"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July 2020, following the execution of an amendment to a share subscription agreement, we issued to Idinvest Patrimoine 2019 76,460 Series B preferred shares for an aggregate investment amount of $674,632.61.</w:t>
      </w:r>
    </w:p>
    <w:p>
      <w:pPr>
        <w:spacing w:after="0" w:line="75"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July 2020, following the execution of an amendment to a share subscription agreement, we issued to Objectif Innovation 2019 64,350 Series B preferred shares for an aggregate investment amount of $567,784.72.</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Foresite Capital Fund IV, L.P. a total of 364,143 Series C preferred shares for an aggregate investment amount of $5,000,011.12.</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Foresite Capital Fund V, L.P., a total of 364,142 Series C preferred shares for an aggregate investment amount of $4,999,997.39.</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Bain Capital Life Sciences Fund, L.P. a total of 660,660 Series C preferred shares for an aggregate investment amount of $9,071,456.39.</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BCIP Life Sciences Associates, L.P. a total of 67,625 Series C preferred shares for an aggregate investment amount of $928,552.11.</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venBio Global Strategic Fund III, L.P., a total of 728,285 Series C preferred shares for an aggregate investment amount of $10,000,008.51.</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Venrock Healthcare Capital Partners III, L.P. a total of 197,118 Series C preferred shares for an aggregate investment amount of $ 2,706,607.55.</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320" w:top="459" w:right="3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40" w:hanging="547"/>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VHCP Co-Investment Holdings III, LLC a total of 19,707 Series C preferred shares for an aggregate investment amount of $270,594.85.</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Venrock Healthcare Capital Partners Eg, L.P., a total of 220,146 Series C preferred shares for an aggregate investment amount of $3,022,802.71.</w:t>
      </w:r>
    </w:p>
    <w:p>
      <w:pPr>
        <w:spacing w:after="0" w:line="75" w:lineRule="exact"/>
        <w:rPr>
          <w:rFonts w:ascii="Arial" w:cs="Arial" w:eastAsia="Arial" w:hAnsi="Arial"/>
          <w:sz w:val="18"/>
          <w:szCs w:val="18"/>
          <w:color w:val="auto"/>
        </w:rPr>
      </w:pPr>
    </w:p>
    <w:p>
      <w:pPr>
        <w:ind w:left="1000" w:right="40" w:hanging="547"/>
        <w:spacing w:after="0" w:line="308" w:lineRule="auto"/>
        <w:tabs>
          <w:tab w:leader="none" w:pos="10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November 2020, following the execution of a share subscription agreement, we issued to Viking Global Opportunities Illiquid Investments Sub-Master LP a total of 1,420,155 Series C preferred shares for an aggregate investment amount of $19,500,006.29.</w:t>
      </w:r>
    </w:p>
    <w:p>
      <w:pPr>
        <w:spacing w:after="0" w:line="51" w:lineRule="exact"/>
        <w:rPr>
          <w:rFonts w:ascii="Arial" w:cs="Arial" w:eastAsia="Arial" w:hAnsi="Arial"/>
          <w:sz w:val="17"/>
          <w:szCs w:val="17"/>
          <w:color w:val="auto"/>
        </w:rPr>
      </w:pPr>
    </w:p>
    <w:p>
      <w:pPr>
        <w:ind w:left="1000" w:right="300" w:hanging="547"/>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General Atlantic PH B.V. a total of 1,420,155 Series C preferred shares for an aggregate investment amount of $19,500,006.29.</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Cormorant Global Healthcare Master Fund, LP a total of 67,840 Series C preferred shares for an aggregate investment amount of $931,504,26.</w:t>
      </w:r>
    </w:p>
    <w:p>
      <w:pPr>
        <w:spacing w:after="0" w:line="75"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Cormorant Private Healthcare Fund III, LP, a total of 291,460 Series C preferred shares for an aggregate investment amount of $4,002,008.11.</w:t>
      </w:r>
    </w:p>
    <w:p>
      <w:pPr>
        <w:spacing w:after="0" w:line="75"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November 2020, following the execution of a share subscription agreement, we issued to CRMA SPV, L.P. a total of 4,843 Series C preferred shares for an aggregate investment amount of $66,498.75.</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December 2020, we granted 129,650 restricted stock units to certain employees and consultants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sales were exempt from registration under Section 4(a)(2) of the Securities Act, Rule 701 and/or Regulation S under the Securities Act.</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Grants</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table below summarizes the share options we granted to our employees within the past three years. The grant of the options and the issuance of ordinary shares upon the exercise of options described in the table below were or will be made pursuant to Regulation S under the Securities Act or Section 4(a)(2) of the Securities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95"/>
              </w:rPr>
              <w:t>Grant Date</w:t>
            </w:r>
          </w:p>
        </w:tc>
        <w:tc>
          <w:tcPr>
            <w:tcW w:w="6420" w:type="dxa"/>
            <w:vAlign w:val="bottom"/>
          </w:tcPr>
          <w:p>
            <w:pPr>
              <w:spacing w:after="0"/>
              <w:rPr>
                <w:sz w:val="17"/>
                <w:szCs w:val="17"/>
                <w:color w:val="auto"/>
              </w:rPr>
            </w:pPr>
          </w:p>
        </w:tc>
        <w:tc>
          <w:tcPr>
            <w:tcW w:w="21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1"/>
              </w:rPr>
              <w:t>Number of underlying</w:t>
            </w:r>
          </w:p>
        </w:tc>
        <w:tc>
          <w:tcPr>
            <w:tcW w:w="58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8"/>
              </w:rPr>
              <w:t>Exercise price per</w:t>
            </w: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vMerge w:val="continue"/>
          </w:tcPr>
          <w:p>
            <w:pPr>
              <w:spacing w:after="0"/>
              <w:rPr>
                <w:sz w:val="19"/>
                <w:szCs w:val="19"/>
                <w:color w:val="auto"/>
              </w:rPr>
            </w:pPr>
          </w:p>
        </w:tc>
        <w:tc>
          <w:tcPr>
            <w:tcW w:w="6420" w:type="dxa"/>
            <w:vAlign w:val="bottom"/>
          </w:tcPr>
          <w:p>
            <w:pPr>
              <w:spacing w:after="0"/>
              <w:rPr>
                <w:sz w:val="19"/>
                <w:szCs w:val="19"/>
                <w:color w:val="auto"/>
              </w:rPr>
            </w:pPr>
          </w:p>
        </w:tc>
        <w:tc>
          <w:tcPr>
            <w:tcW w:w="2140" w:type="dxa"/>
            <w:vAlign w:val="bottom"/>
            <w:gridSpan w:val="2"/>
          </w:tcPr>
          <w:p>
            <w:pPr>
              <w:jc w:val="right"/>
              <w:ind w:right="1120"/>
              <w:spacing w:after="0"/>
              <w:rPr>
                <w:sz w:val="20"/>
                <w:szCs w:val="20"/>
                <w:color w:val="auto"/>
              </w:rPr>
            </w:pPr>
            <w:r>
              <w:rPr>
                <w:rFonts w:ascii="Arial" w:cs="Arial" w:eastAsia="Arial" w:hAnsi="Arial"/>
                <w:sz w:val="16"/>
                <w:szCs w:val="16"/>
                <w:b w:val="1"/>
                <w:bCs w:val="1"/>
                <w:color w:val="auto"/>
              </w:rPr>
              <w:t>options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w:t>
            </w: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February 3, 2020</w:t>
            </w:r>
          </w:p>
        </w:tc>
        <w:tc>
          <w:tcPr>
            <w:tcW w:w="2140" w:type="dxa"/>
            <w:vAlign w:val="bottom"/>
            <w:gridSpan w:val="2"/>
          </w:tcPr>
          <w:p>
            <w:pPr>
              <w:jc w:val="right"/>
              <w:ind w:right="600"/>
              <w:spacing w:after="0"/>
              <w:rPr>
                <w:sz w:val="20"/>
                <w:szCs w:val="20"/>
                <w:color w:val="auto"/>
              </w:rPr>
            </w:pPr>
            <w:r>
              <w:rPr>
                <w:rFonts w:ascii="Arial" w:cs="Arial" w:eastAsia="Arial" w:hAnsi="Arial"/>
                <w:sz w:val="18"/>
                <w:szCs w:val="18"/>
                <w:color w:val="auto"/>
              </w:rPr>
              <w:t>440,000</w:t>
            </w:r>
          </w:p>
        </w:tc>
        <w:tc>
          <w:tcPr>
            <w:tcW w:w="8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2020</w:t>
            </w:r>
          </w:p>
        </w:tc>
        <w:tc>
          <w:tcPr>
            <w:tcW w:w="2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32,445</w:t>
            </w:r>
          </w:p>
        </w:tc>
        <w:tc>
          <w:tcPr>
            <w:tcW w:w="8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January 1, 2021</w:t>
            </w:r>
          </w:p>
        </w:tc>
        <w:tc>
          <w:tcPr>
            <w:tcW w:w="2140" w:type="dxa"/>
            <w:vAlign w:val="bottom"/>
            <w:gridSpan w:val="2"/>
          </w:tcPr>
          <w:p>
            <w:pPr>
              <w:jc w:val="right"/>
              <w:ind w:right="600"/>
              <w:spacing w:after="0"/>
              <w:rPr>
                <w:sz w:val="20"/>
                <w:szCs w:val="20"/>
                <w:color w:val="auto"/>
              </w:rPr>
            </w:pPr>
            <w:r>
              <w:rPr>
                <w:rFonts w:ascii="Arial" w:cs="Arial" w:eastAsia="Arial" w:hAnsi="Arial"/>
                <w:sz w:val="18"/>
                <w:szCs w:val="18"/>
                <w:color w:val="auto"/>
              </w:rPr>
              <w:t>107,000</w:t>
            </w:r>
          </w:p>
        </w:tc>
        <w:tc>
          <w:tcPr>
            <w:tcW w:w="8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539"/>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Item 8. Exhibits and Financial Statement Schedules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20" w:type="dxa"/>
            <w:vAlign w:val="bottom"/>
            <w:gridSpan w:val="2"/>
          </w:tcPr>
          <w:p>
            <w:pPr>
              <w:ind w:left="460"/>
              <w:spacing w:after="0"/>
              <w:rPr>
                <w:sz w:val="20"/>
                <w:szCs w:val="20"/>
                <w:color w:val="auto"/>
              </w:rPr>
            </w:pPr>
            <w:r>
              <w:rPr>
                <w:rFonts w:ascii="Arial" w:cs="Arial" w:eastAsia="Arial" w:hAnsi="Arial"/>
                <w:sz w:val="18"/>
                <w:szCs w:val="18"/>
                <w:color w:val="auto"/>
              </w:rPr>
              <w:t>(i) The following documents are filed as part of this registration statement:</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1.1</w:t>
            </w:r>
          </w:p>
        </w:tc>
        <w:tc>
          <w:tcPr>
            <w:tcW w:w="6420" w:type="dxa"/>
            <w:vAlign w:val="bottom"/>
          </w:tcPr>
          <w:p>
            <w:pPr>
              <w:ind w:left="160"/>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Form of Underwriting Agreement</w:t>
              </w:r>
            </w:hyperlink>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6420" w:type="dxa"/>
            <w:vAlign w:val="bottom"/>
          </w:tcPr>
          <w:p>
            <w:pPr>
              <w:ind w:left="160"/>
              <w:spacing w:after="0"/>
              <w:rPr>
                <w:rFonts w:ascii="Arial" w:cs="Arial" w:eastAsia="Arial" w:hAnsi="Arial"/>
                <w:sz w:val="18"/>
                <w:szCs w:val="18"/>
                <w:u w:val="single" w:color="auto"/>
                <w:color w:val="0000EE"/>
              </w:rPr>
            </w:pPr>
            <w:hyperlink w:anchor="page307">
              <w:r>
                <w:rPr>
                  <w:rFonts w:ascii="Arial" w:cs="Arial" w:eastAsia="Arial" w:hAnsi="Arial"/>
                  <w:sz w:val="18"/>
                  <w:szCs w:val="18"/>
                  <w:u w:val="single" w:color="auto"/>
                  <w:color w:val="0000EE"/>
                </w:rPr>
                <w:t>Form of Articles of Association of Pharvaris N.V.</w:t>
              </w:r>
            </w:hyperlink>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6420" w:type="dxa"/>
            <w:vAlign w:val="bottom"/>
          </w:tcPr>
          <w:p>
            <w:pPr>
              <w:ind w:left="160"/>
              <w:spacing w:after="0"/>
              <w:rPr>
                <w:rFonts w:ascii="Arial" w:cs="Arial" w:eastAsia="Arial" w:hAnsi="Arial"/>
                <w:sz w:val="18"/>
                <w:szCs w:val="18"/>
                <w:u w:val="single" w:color="auto"/>
                <w:color w:val="0000EE"/>
              </w:rPr>
            </w:pPr>
            <w:hyperlink r:id="rId308">
              <w:r>
                <w:rPr>
                  <w:rFonts w:ascii="Arial" w:cs="Arial" w:eastAsia="Arial" w:hAnsi="Arial"/>
                  <w:sz w:val="18"/>
                  <w:szCs w:val="18"/>
                  <w:u w:val="single" w:color="auto"/>
                  <w:color w:val="0000EE"/>
                </w:rPr>
                <w:t>Articles of Association of Pharvaris B.V.</w:t>
              </w:r>
            </w:hyperlink>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8560" w:type="dxa"/>
            <w:vAlign w:val="bottom"/>
            <w:gridSpan w:val="3"/>
          </w:tcPr>
          <w:p>
            <w:pPr>
              <w:ind w:left="160"/>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Opinion of NautaDutilh N.V., Dutch counsel of Pharvaris B.V., as to the validity of Ordinary Shares</w:t>
              </w:r>
            </w:hyperlink>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8.1</w:t>
            </w:r>
          </w:p>
        </w:tc>
        <w:tc>
          <w:tcPr>
            <w:tcW w:w="8560" w:type="dxa"/>
            <w:vAlign w:val="bottom"/>
            <w:gridSpan w:val="3"/>
          </w:tcPr>
          <w:p>
            <w:pPr>
              <w:ind w:left="160"/>
              <w:spacing w:after="0"/>
              <w:rPr>
                <w:rFonts w:ascii="Arial" w:cs="Arial" w:eastAsia="Arial" w:hAnsi="Arial"/>
                <w:sz w:val="18"/>
                <w:szCs w:val="18"/>
                <w:u w:val="single" w:color="auto"/>
                <w:color w:val="0000EE"/>
              </w:rPr>
            </w:pPr>
            <w:hyperlink w:anchor="page341">
              <w:r>
                <w:rPr>
                  <w:rFonts w:ascii="Arial" w:cs="Arial" w:eastAsia="Arial" w:hAnsi="Arial"/>
                  <w:sz w:val="18"/>
                  <w:szCs w:val="18"/>
                  <w:u w:val="single" w:color="auto"/>
                  <w:color w:val="0000EE"/>
                </w:rPr>
                <w:t>Opinion of NautaDutilh N.V., Dutch counsel of Pharvaris B.V., as to certain matters of Dutch tax law</w:t>
              </w:r>
            </w:hyperlink>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6420" w:type="dxa"/>
            <w:vAlign w:val="bottom"/>
          </w:tcPr>
          <w:p>
            <w:pPr>
              <w:ind w:left="4680"/>
              <w:spacing w:after="0"/>
              <w:rPr>
                <w:sz w:val="20"/>
                <w:szCs w:val="20"/>
                <w:color w:val="auto"/>
              </w:rPr>
            </w:pPr>
            <w:r>
              <w:rPr>
                <w:rFonts w:ascii="Arial" w:cs="Arial" w:eastAsia="Arial" w:hAnsi="Arial"/>
                <w:sz w:val="18"/>
                <w:szCs w:val="18"/>
                <w:color w:val="auto"/>
              </w:rPr>
              <w:t>II-3</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gridSpan w:val="2"/>
          </w:tcPr>
          <w:p>
            <w:pPr>
              <w:spacing w:after="0"/>
              <w:rPr>
                <w:rFonts w:ascii="Arial" w:cs="Arial" w:eastAsia="Arial" w:hAnsi="Arial"/>
                <w:sz w:val="18"/>
                <w:szCs w:val="18"/>
                <w:u w:val="single" w:color="auto"/>
                <w:color w:val="0000EE"/>
              </w:rPr>
            </w:pPr>
            <w:hyperlink r:id="rId310">
              <w:r>
                <w:rPr>
                  <w:rFonts w:ascii="Arial" w:cs="Arial" w:eastAsia="Arial" w:hAnsi="Arial"/>
                  <w:sz w:val="18"/>
                  <w:szCs w:val="18"/>
                  <w:u w:val="single" w:color="auto"/>
                  <w:color w:val="0000EE"/>
                </w:rPr>
                <w:t>Form of Indemnification Agreement</w:t>
              </w:r>
            </w:hyperlink>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180" w:type="dxa"/>
            <w:vAlign w:val="bottom"/>
            <w:gridSpan w:val="2"/>
          </w:tcPr>
          <w:p>
            <w:pPr>
              <w:spacing w:after="0"/>
              <w:rPr>
                <w:rFonts w:ascii="Arial" w:cs="Arial" w:eastAsia="Arial" w:hAnsi="Arial"/>
                <w:sz w:val="18"/>
                <w:szCs w:val="18"/>
                <w:u w:val="single" w:color="auto"/>
                <w:color w:val="0000EE"/>
              </w:rPr>
            </w:pPr>
            <w:hyperlink r:id="rId311">
              <w:r>
                <w:rPr>
                  <w:rFonts w:ascii="Arial" w:cs="Arial" w:eastAsia="Arial" w:hAnsi="Arial"/>
                  <w:sz w:val="18"/>
                  <w:szCs w:val="18"/>
                  <w:u w:val="single" w:color="auto"/>
                  <w:color w:val="0000EE"/>
                </w:rPr>
                <w:t>Share Subscription Agreement, dated July 26, 2019, between Pharvaris B.V. and certain of its shareholders</w:t>
              </w:r>
            </w:hyperlink>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0180" w:type="dxa"/>
            <w:vAlign w:val="bottom"/>
            <w:gridSpan w:val="2"/>
          </w:tcPr>
          <w:p>
            <w:pPr>
              <w:spacing w:after="0"/>
              <w:rPr>
                <w:rFonts w:ascii="Arial" w:cs="Arial" w:eastAsia="Arial" w:hAnsi="Arial"/>
                <w:sz w:val="18"/>
                <w:szCs w:val="18"/>
                <w:u w:val="single" w:color="auto"/>
                <w:color w:val="0000EE"/>
              </w:rPr>
            </w:pPr>
            <w:hyperlink r:id="rId312">
              <w:r>
                <w:rPr>
                  <w:rFonts w:ascii="Arial" w:cs="Arial" w:eastAsia="Arial" w:hAnsi="Arial"/>
                  <w:sz w:val="18"/>
                  <w:szCs w:val="18"/>
                  <w:u w:val="single" w:color="auto"/>
                  <w:color w:val="0000EE"/>
                </w:rPr>
                <w:t>Amendment Agreement, dated July 29, 2020, between Pharvaris B.V. and certain of its shareholders</w:t>
              </w:r>
            </w:hyperlink>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180" w:type="dxa"/>
            <w:vAlign w:val="bottom"/>
            <w:gridSpan w:val="2"/>
          </w:tcPr>
          <w:p>
            <w:pPr>
              <w:spacing w:after="0"/>
              <w:rPr>
                <w:rFonts w:ascii="Arial" w:cs="Arial" w:eastAsia="Arial" w:hAnsi="Arial"/>
                <w:sz w:val="18"/>
                <w:szCs w:val="18"/>
                <w:u w:val="single" w:color="auto"/>
                <w:color w:val="0000EE"/>
              </w:rPr>
            </w:pPr>
            <w:hyperlink r:id="rId313">
              <w:r>
                <w:rPr>
                  <w:rFonts w:ascii="Arial" w:cs="Arial" w:eastAsia="Arial" w:hAnsi="Arial"/>
                  <w:sz w:val="18"/>
                  <w:szCs w:val="18"/>
                  <w:u w:val="single" w:color="auto"/>
                  <w:color w:val="0000EE"/>
                </w:rPr>
                <w:t>Share Subscription Agreement, dated November 3, 2020, between Pharvaris B.V. and certain of its shareholders</w:t>
              </w:r>
            </w:hyperlink>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0180" w:type="dxa"/>
            <w:vAlign w:val="bottom"/>
            <w:gridSpan w:val="2"/>
          </w:tcPr>
          <w:p>
            <w:pPr>
              <w:spacing w:after="0"/>
              <w:rPr>
                <w:rFonts w:ascii="Arial" w:cs="Arial" w:eastAsia="Arial" w:hAnsi="Arial"/>
                <w:sz w:val="18"/>
                <w:szCs w:val="18"/>
                <w:u w:val="single" w:color="auto"/>
                <w:color w:val="0000EE"/>
                <w:w w:val="98"/>
              </w:rPr>
            </w:pPr>
            <w:hyperlink r:id="rId314">
              <w:r>
                <w:rPr>
                  <w:rFonts w:ascii="Arial" w:cs="Arial" w:eastAsia="Arial" w:hAnsi="Arial"/>
                  <w:sz w:val="18"/>
                  <w:szCs w:val="18"/>
                  <w:u w:val="single" w:color="auto"/>
                  <w:color w:val="0000EE"/>
                  <w:w w:val="98"/>
                </w:rPr>
                <w:t>Second Amended and Restated Shareholders Agreement, dated November 5, 2020, between Pharvaris B.V. and its shareholders</w:t>
              </w:r>
            </w:hyperlink>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10180" w:type="dxa"/>
            <w:vAlign w:val="bottom"/>
            <w:gridSpan w:val="2"/>
          </w:tcPr>
          <w:p>
            <w:pPr>
              <w:spacing w:after="0"/>
              <w:rPr>
                <w:rFonts w:ascii="Arial" w:cs="Arial" w:eastAsia="Arial" w:hAnsi="Arial"/>
                <w:sz w:val="18"/>
                <w:szCs w:val="18"/>
                <w:u w:val="single" w:color="auto"/>
                <w:color w:val="0000EE"/>
              </w:rPr>
            </w:pPr>
            <w:hyperlink r:id="rId315">
              <w:r>
                <w:rPr>
                  <w:rFonts w:ascii="Arial" w:cs="Arial" w:eastAsia="Arial" w:hAnsi="Arial"/>
                  <w:sz w:val="18"/>
                  <w:szCs w:val="18"/>
                  <w:u w:val="single" w:color="auto"/>
                  <w:color w:val="0000EE"/>
                </w:rPr>
                <w:t>License Agreement between Pharvaris B.V. and AnalytiCon Discovery GmbH dated as of March 31, 2016 †</w:t>
              </w:r>
            </w:hyperlink>
          </w:p>
        </w:tc>
      </w:tr>
      <w:tr>
        <w:trPr>
          <w:trHeight w:val="283"/>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0180" w:type="dxa"/>
            <w:vAlign w:val="bottom"/>
            <w:tcBorders>
              <w:bottom w:val="single" w:sz="8" w:color="0000EE"/>
            </w:tcBorders>
            <w:gridSpan w:val="2"/>
          </w:tcPr>
          <w:p>
            <w:pPr>
              <w:spacing w:after="0"/>
              <w:rPr>
                <w:rFonts w:ascii="Arial" w:cs="Arial" w:eastAsia="Arial" w:hAnsi="Arial"/>
                <w:sz w:val="18"/>
                <w:szCs w:val="18"/>
                <w:color w:val="0000EE"/>
                <w:w w:val="90"/>
              </w:rPr>
            </w:pPr>
            <w:hyperlink r:id="rId316">
              <w:r>
                <w:rPr>
                  <w:rFonts w:ascii="Arial" w:cs="Arial" w:eastAsia="Arial" w:hAnsi="Arial"/>
                  <w:sz w:val="18"/>
                  <w:szCs w:val="18"/>
                  <w:color w:val="0000EE"/>
                  <w:w w:val="90"/>
                </w:rPr>
                <w:t>Amendment 1, between Pharvaris Netherlands B.V. and AnalytiCon Discovery GmbH dated as of January 8, 2021, to the License Agreement</w:t>
              </w:r>
            </w:hyperlink>
          </w:p>
        </w:tc>
      </w:tr>
      <w:tr>
        <w:trPr>
          <w:trHeight w:val="196"/>
        </w:trPr>
        <w:tc>
          <w:tcPr>
            <w:tcW w:w="820" w:type="dxa"/>
            <w:vAlign w:val="bottom"/>
          </w:tcPr>
          <w:p>
            <w:pPr>
              <w:spacing w:after="0"/>
              <w:rPr>
                <w:sz w:val="17"/>
                <w:szCs w:val="17"/>
                <w:color w:val="auto"/>
              </w:rPr>
            </w:pPr>
          </w:p>
        </w:tc>
        <w:tc>
          <w:tcPr>
            <w:tcW w:w="10180" w:type="dxa"/>
            <w:vAlign w:val="bottom"/>
            <w:gridSpan w:val="2"/>
          </w:tcPr>
          <w:p>
            <w:pPr>
              <w:spacing w:after="0" w:line="196" w:lineRule="exact"/>
              <w:rPr>
                <w:rFonts w:ascii="Arial" w:cs="Arial" w:eastAsia="Arial" w:hAnsi="Arial"/>
                <w:sz w:val="18"/>
                <w:szCs w:val="18"/>
                <w:color w:val="0000EE"/>
              </w:rPr>
            </w:pPr>
            <w:hyperlink r:id="rId316">
              <w:r>
                <w:rPr>
                  <w:rFonts w:ascii="Arial" w:cs="Arial" w:eastAsia="Arial" w:hAnsi="Arial"/>
                  <w:sz w:val="18"/>
                  <w:szCs w:val="18"/>
                  <w:color w:val="0000EE"/>
                </w:rPr>
                <w:t>between Pharvaris B.V. and AnalytiCon Discovery GmbH dated as of March 31, 2016 †</w:t>
              </w:r>
            </w:hyperlink>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6340" w:type="dxa"/>
            <w:vAlign w:val="bottom"/>
            <w:tcBorders>
              <w:top w:val="single" w:sz="8" w:color="0000EE"/>
            </w:tcBorders>
          </w:tcPr>
          <w:p>
            <w:pPr>
              <w:spacing w:after="0"/>
              <w:rPr>
                <w:rFonts w:ascii="Arial" w:cs="Arial" w:eastAsia="Arial" w:hAnsi="Arial"/>
                <w:sz w:val="18"/>
                <w:szCs w:val="18"/>
                <w:u w:val="single" w:color="auto"/>
                <w:color w:val="0000EE"/>
              </w:rPr>
            </w:pPr>
            <w:hyperlink w:anchor="page345">
              <w:r>
                <w:rPr>
                  <w:rFonts w:ascii="Arial" w:cs="Arial" w:eastAsia="Arial" w:hAnsi="Arial"/>
                  <w:sz w:val="18"/>
                  <w:szCs w:val="18"/>
                  <w:u w:val="single" w:color="auto"/>
                  <w:color w:val="0000EE"/>
                </w:rPr>
                <w:t>Amended and Restated 2016 Equity Incentive Plan of Pharvaris B.V.</w:t>
              </w:r>
            </w:hyperlink>
          </w:p>
        </w:tc>
        <w:tc>
          <w:tcPr>
            <w:tcW w:w="3840" w:type="dxa"/>
            <w:vAlign w:val="bottom"/>
          </w:tcPr>
          <w:p>
            <w:pPr>
              <w:spacing w:after="0"/>
              <w:rPr>
                <w:sz w:val="24"/>
                <w:szCs w:val="24"/>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180" w:type="dxa"/>
            <w:vAlign w:val="bottom"/>
            <w:gridSpan w:val="2"/>
          </w:tcPr>
          <w:p>
            <w:pPr>
              <w:spacing w:after="0"/>
              <w:rPr>
                <w:rFonts w:ascii="Arial" w:cs="Arial" w:eastAsia="Arial" w:hAnsi="Arial"/>
                <w:sz w:val="18"/>
                <w:szCs w:val="18"/>
                <w:u w:val="single" w:color="auto"/>
                <w:color w:val="0000EE"/>
              </w:rPr>
            </w:pPr>
            <w:hyperlink w:anchor="page367">
              <w:r>
                <w:rPr>
                  <w:rFonts w:ascii="Arial" w:cs="Arial" w:eastAsia="Arial" w:hAnsi="Arial"/>
                  <w:sz w:val="18"/>
                  <w:szCs w:val="18"/>
                  <w:u w:val="single" w:color="auto"/>
                  <w:color w:val="0000EE"/>
                </w:rPr>
                <w:t>2021 Equity Incentive Plan of Pharvaris N.V.</w:t>
              </w:r>
            </w:hyperlink>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180" w:type="dxa"/>
            <w:vAlign w:val="bottom"/>
            <w:gridSpan w:val="2"/>
          </w:tcPr>
          <w:p>
            <w:pPr>
              <w:spacing w:after="0"/>
              <w:rPr>
                <w:rFonts w:ascii="Arial" w:cs="Arial" w:eastAsia="Arial" w:hAnsi="Arial"/>
                <w:sz w:val="18"/>
                <w:szCs w:val="18"/>
                <w:u w:val="single" w:color="auto"/>
                <w:color w:val="0000EE"/>
              </w:rPr>
            </w:pPr>
            <w:hyperlink w:anchor="page387">
              <w:r>
                <w:rPr>
                  <w:rFonts w:ascii="Arial" w:cs="Arial" w:eastAsia="Arial" w:hAnsi="Arial"/>
                  <w:sz w:val="18"/>
                  <w:szCs w:val="18"/>
                  <w:u w:val="single" w:color="auto"/>
                  <w:color w:val="0000EE"/>
                </w:rPr>
                <w:t>Form of Participation Side Letter</w:t>
              </w:r>
            </w:hyperlink>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10180" w:type="dxa"/>
            <w:vAlign w:val="bottom"/>
            <w:gridSpan w:val="2"/>
          </w:tcPr>
          <w:p>
            <w:pPr>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Form of Waiver to Participation Side Letter</w:t>
              </w:r>
            </w:hyperlink>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180" w:type="dxa"/>
            <w:vAlign w:val="bottom"/>
            <w:gridSpan w:val="2"/>
          </w:tcPr>
          <w:p>
            <w:pPr>
              <w:spacing w:after="0"/>
              <w:rPr>
                <w:rFonts w:ascii="Arial" w:cs="Arial" w:eastAsia="Arial" w:hAnsi="Arial"/>
                <w:sz w:val="18"/>
                <w:szCs w:val="18"/>
                <w:u w:val="single" w:color="auto"/>
                <w:color w:val="0000EE"/>
              </w:rPr>
            </w:pPr>
            <w:hyperlink r:id="rId317">
              <w:r>
                <w:rPr>
                  <w:rFonts w:ascii="Arial" w:cs="Arial" w:eastAsia="Arial" w:hAnsi="Arial"/>
                  <w:sz w:val="18"/>
                  <w:szCs w:val="18"/>
                  <w:u w:val="single" w:color="auto"/>
                  <w:color w:val="0000EE"/>
                </w:rPr>
                <w:t>Subsidiaries of the Registrant</w:t>
              </w:r>
            </w:hyperlink>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180" w:type="dxa"/>
            <w:vAlign w:val="bottom"/>
            <w:gridSpan w:val="2"/>
          </w:tcPr>
          <w:p>
            <w:pPr>
              <w:spacing w:after="0"/>
              <w:rPr>
                <w:rFonts w:ascii="Arial" w:cs="Arial" w:eastAsia="Arial" w:hAnsi="Arial"/>
                <w:sz w:val="18"/>
                <w:szCs w:val="18"/>
                <w:color w:val="0000EE"/>
              </w:rPr>
            </w:pPr>
            <w:hyperlink w:anchor="page393">
              <w:r>
                <w:rPr>
                  <w:rFonts w:ascii="Arial" w:cs="Arial" w:eastAsia="Arial" w:hAnsi="Arial"/>
                  <w:sz w:val="18"/>
                  <w:szCs w:val="18"/>
                  <w:u w:val="single" w:color="auto"/>
                  <w:color w:val="0000EE"/>
                </w:rPr>
                <w:t>Consent of PricewaterhouseCoopers Accountants N.V</w:t>
              </w:r>
              <w:r>
                <w:rPr>
                  <w:rFonts w:ascii="Arial" w:cs="Arial" w:eastAsia="Arial" w:hAnsi="Arial"/>
                  <w:sz w:val="18"/>
                  <w:szCs w:val="18"/>
                  <w:color w:val="0000EE"/>
                </w:rPr>
                <w:t>.</w:t>
              </w:r>
            </w:hyperlink>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10180" w:type="dxa"/>
            <w:vAlign w:val="bottom"/>
            <w:gridSpan w:val="2"/>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NautaDutilh N.V. (included in Exhibits </w:t>
            </w:r>
            <w:hyperlink w:anchor="page333">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341">
              <w:r>
                <w:rPr>
                  <w:rFonts w:ascii="Arial" w:cs="Arial" w:eastAsia="Arial" w:hAnsi="Arial"/>
                  <w:sz w:val="18"/>
                  <w:szCs w:val="18"/>
                  <w:u w:val="single" w:color="auto"/>
                  <w:color w:val="0000EE"/>
                </w:rPr>
                <w:t>8.1</w:t>
              </w:r>
            </w:hyperlink>
            <w:r>
              <w:rPr>
                <w:rFonts w:ascii="Arial" w:cs="Arial" w:eastAsia="Arial" w:hAnsi="Arial"/>
                <w:sz w:val="18"/>
                <w:szCs w:val="18"/>
                <w:color w:val="auto"/>
              </w:rPr>
              <w: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24.1**</w:t>
            </w:r>
          </w:p>
        </w:tc>
        <w:tc>
          <w:tcPr>
            <w:tcW w:w="10180" w:type="dxa"/>
            <w:vAlign w:val="bottom"/>
            <w:gridSpan w:val="2"/>
          </w:tcPr>
          <w:p>
            <w:pPr>
              <w:spacing w:after="0"/>
              <w:rPr>
                <w:rFonts w:ascii="Arial" w:cs="Arial" w:eastAsia="Arial" w:hAnsi="Arial"/>
                <w:sz w:val="18"/>
                <w:szCs w:val="18"/>
                <w:color w:val="0000EE"/>
              </w:rPr>
            </w:pPr>
            <w:hyperlink w:anchor="page255">
              <w:r>
                <w:rPr>
                  <w:rFonts w:ascii="Arial" w:cs="Arial" w:eastAsia="Arial" w:hAnsi="Arial"/>
                  <w:sz w:val="18"/>
                  <w:szCs w:val="18"/>
                  <w:u w:val="single" w:color="auto"/>
                  <w:color w:val="0000EE"/>
                </w:rPr>
                <w:t>Powers of Attorney</w:t>
              </w:r>
              <w:r>
                <w:rPr>
                  <w:rFonts w:ascii="Arial" w:cs="Arial" w:eastAsia="Arial" w:hAnsi="Arial"/>
                  <w:sz w:val="18"/>
                  <w:szCs w:val="18"/>
                  <w:color w:val="0000EE"/>
                </w:rPr>
                <w:t xml:space="preserve"> </w:t>
              </w:r>
            </w:hyperlink>
            <w:r>
              <w:rPr>
                <w:rFonts w:ascii="Arial" w:cs="Arial" w:eastAsia="Arial" w:hAnsi="Arial"/>
                <w:sz w:val="18"/>
                <w:szCs w:val="18"/>
                <w:color w:val="000000"/>
              </w:rPr>
              <w:t>(included</w:t>
            </w:r>
            <w:r>
              <w:rPr>
                <w:rFonts w:ascii="Arial" w:cs="Arial" w:eastAsia="Arial" w:hAnsi="Arial"/>
                <w:sz w:val="18"/>
                <w:szCs w:val="18"/>
                <w:color w:val="0000EE"/>
              </w:rPr>
              <w:t xml:space="preserve"> </w:t>
            </w:r>
            <w:r>
              <w:rPr>
                <w:rFonts w:ascii="Arial" w:cs="Arial" w:eastAsia="Arial" w:hAnsi="Arial"/>
                <w:sz w:val="18"/>
                <w:szCs w:val="18"/>
                <w:color w:val="000000"/>
              </w:rPr>
              <w:t>on signature page to the registration statement)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10180" w:type="dxa"/>
            <w:vAlign w:val="bottom"/>
            <w:gridSpan w:val="2"/>
          </w:tcPr>
          <w:p>
            <w:pPr>
              <w:spacing w:after="0"/>
              <w:rPr>
                <w:rFonts w:ascii="Arial" w:cs="Arial" w:eastAsia="Arial" w:hAnsi="Arial"/>
                <w:sz w:val="18"/>
                <w:szCs w:val="18"/>
                <w:u w:val="single" w:color="auto"/>
                <w:color w:val="0000EE"/>
              </w:rPr>
            </w:pPr>
            <w:hyperlink r:id="rId318">
              <w:r>
                <w:rPr>
                  <w:rFonts w:ascii="Arial" w:cs="Arial" w:eastAsia="Arial" w:hAnsi="Arial"/>
                  <w:sz w:val="18"/>
                  <w:szCs w:val="18"/>
                  <w:u w:val="single" w:color="auto"/>
                  <w:color w:val="0000EE"/>
                </w:rPr>
                <w:t>Pharvaris B.V.’s representation under Item 8.A.4 of Form 20-F</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submitted</w:t>
      </w:r>
    </w:p>
    <w:p>
      <w:pPr>
        <w:spacing w:after="0" w:line="23" w:lineRule="exact"/>
        <w:rPr>
          <w:sz w:val="20"/>
          <w:szCs w:val="20"/>
          <w:color w:val="auto"/>
        </w:rPr>
      </w:pPr>
    </w:p>
    <w:p>
      <w:pPr>
        <w:ind w:left="460" w:right="640" w:hanging="452"/>
        <w:spacing w:after="0" w:line="260"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Certain information has been excluded from the exhibit because it both (i) is not material and (ii) would likely cause competitive harm to the Company if publicly disclosed.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right="20" w:firstLine="457"/>
        <w:spacing w:after="0" w:line="254" w:lineRule="auto"/>
        <w:tabs>
          <w:tab w:leader="none" w:pos="69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4" w:lineRule="exact"/>
        <w:rPr>
          <w:rFonts w:ascii="Arial" w:cs="Arial" w:eastAsia="Arial" w:hAnsi="Arial"/>
          <w:sz w:val="18"/>
          <w:szCs w:val="18"/>
          <w:color w:val="auto"/>
        </w:rPr>
      </w:pPr>
    </w:p>
    <w:p>
      <w:pPr>
        <w:ind w:left="720" w:hanging="263"/>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220" w:hanging="659"/>
        <w:spacing w:after="0" w:line="259" w:lineRule="auto"/>
        <w:tabs>
          <w:tab w:leader="none" w:pos="12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220" w:right="160" w:hanging="659"/>
        <w:spacing w:after="0" w:line="263" w:lineRule="auto"/>
        <w:tabs>
          <w:tab w:leader="none" w:pos="12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459" w:right="3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Amsterdam, The Netherlands on February 1, 2021.</w:t>
      </w:r>
    </w:p>
    <w:p>
      <w:pPr>
        <w:spacing w:after="0" w:line="27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PHARVARIS B.V.</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Berndt Modig</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Title:  Chief Executive Officer and Member of the Board</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 2021 in the capacities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4"/>
              </w:rPr>
              <w:t>Name</w:t>
            </w:r>
          </w:p>
        </w:tc>
        <w:tc>
          <w:tcPr>
            <w:tcW w:w="220" w:type="dxa"/>
            <w:vAlign w:val="bottom"/>
          </w:tcPr>
          <w:p>
            <w:pPr>
              <w:spacing w:after="0"/>
              <w:rPr>
                <w:sz w:val="16"/>
                <w:szCs w:val="16"/>
                <w:color w:val="auto"/>
              </w:rPr>
            </w:pP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12"/>
        </w:trPr>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3"/>
              </w:rPr>
              <w:t>/s/ Berndt Modig</w:t>
            </w: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Member of the Board (Principal Executive Officer)</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Berndt Modig</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431"/>
        </w:trPr>
        <w:tc>
          <w:tcPr>
            <w:tcW w:w="44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3"/>
              </w:rPr>
              <w:t>Finance Director and Principal Accounting Officer (Principal Financial Officer</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Anna Nijdam</w:t>
            </w:r>
          </w:p>
        </w:tc>
        <w:tc>
          <w:tcPr>
            <w:tcW w:w="220" w:type="dxa"/>
            <w:vAlign w:val="bottom"/>
          </w:tcPr>
          <w:p>
            <w:pPr>
              <w:spacing w:after="0"/>
              <w:rPr>
                <w:sz w:val="19"/>
                <w:szCs w:val="19"/>
                <w:color w:val="auto"/>
              </w:rPr>
            </w:pPr>
          </w:p>
        </w:tc>
        <w:tc>
          <w:tcPr>
            <w:tcW w:w="5860" w:type="dxa"/>
            <w:vAlign w:val="bottom"/>
          </w:tcPr>
          <w:p>
            <w:pPr>
              <w:ind w:left="1800"/>
              <w:spacing w:after="0"/>
              <w:rPr>
                <w:sz w:val="20"/>
                <w:szCs w:val="20"/>
                <w:color w:val="auto"/>
              </w:rPr>
            </w:pPr>
            <w:r>
              <w:rPr>
                <w:rFonts w:ascii="Arial" w:cs="Arial" w:eastAsia="Arial" w:hAnsi="Arial"/>
                <w:sz w:val="18"/>
                <w:szCs w:val="18"/>
                <w:color w:val="auto"/>
              </w:rPr>
              <w:t>and Principal Accounting Officer)</w:t>
            </w:r>
          </w:p>
        </w:tc>
      </w:tr>
      <w:tr>
        <w:trPr>
          <w:trHeight w:val="431"/>
        </w:trPr>
        <w:tc>
          <w:tcPr>
            <w:tcW w:w="44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David Meeker, M.D.</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431"/>
        </w:trPr>
        <w:tc>
          <w:tcPr>
            <w:tcW w:w="44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Rémi Droller</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431"/>
        </w:trPr>
        <w:tc>
          <w:tcPr>
            <w:tcW w:w="44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Richard Gaster, M.D., Ph.D.</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431"/>
        </w:trPr>
        <w:tc>
          <w:tcPr>
            <w:tcW w:w="44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Robert Glassman, M.D.</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431"/>
        </w:trPr>
        <w:tc>
          <w:tcPr>
            <w:tcW w:w="44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Martijn Kleijwegt</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431"/>
        </w:trPr>
        <w:tc>
          <w:tcPr>
            <w:tcW w:w="44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Hans Schikan, Pharm.D.</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431"/>
        </w:trPr>
        <w:tc>
          <w:tcPr>
            <w:tcW w:w="44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0"/>
              </w:rPr>
              <w:t>Authorized Representative in the United States</w:t>
            </w:r>
          </w:p>
        </w:tc>
      </w:tr>
      <w:tr>
        <w:trPr>
          <w:trHeight w:val="224"/>
        </w:trPr>
        <w:tc>
          <w:tcPr>
            <w:tcW w:w="500" w:type="dxa"/>
            <w:vAlign w:val="bottom"/>
          </w:tcPr>
          <w:p>
            <w:pPr>
              <w:spacing w:after="0"/>
              <w:rPr>
                <w:sz w:val="19"/>
                <w:szCs w:val="19"/>
                <w:color w:val="auto"/>
              </w:rPr>
            </w:pPr>
          </w:p>
        </w:tc>
        <w:tc>
          <w:tcPr>
            <w:tcW w:w="46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Morgan Conn</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580"/>
        </w:trPr>
        <w:tc>
          <w:tcPr>
            <w:tcW w:w="5160" w:type="dxa"/>
            <w:vAlign w:val="bottom"/>
            <w:gridSpan w:val="3"/>
          </w:tcPr>
          <w:p>
            <w:pPr>
              <w:spacing w:after="0"/>
              <w:rPr>
                <w:sz w:val="20"/>
                <w:szCs w:val="20"/>
                <w:color w:val="auto"/>
              </w:rPr>
            </w:pPr>
            <w:r>
              <w:rPr>
                <w:rFonts w:ascii="Arial" w:cs="Arial" w:eastAsia="Arial" w:hAnsi="Arial"/>
                <w:sz w:val="18"/>
                <w:szCs w:val="18"/>
                <w:color w:val="auto"/>
              </w:rPr>
              <w:t>*By:  /s/ Berndt Modig</w:t>
            </w:r>
          </w:p>
        </w:tc>
        <w:tc>
          <w:tcPr>
            <w:tcW w:w="22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Berndt Modig</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220" w:type="dxa"/>
            <w:vAlign w:val="bottom"/>
          </w:tcPr>
          <w:p>
            <w:pPr>
              <w:spacing w:after="0"/>
              <w:rPr>
                <w:sz w:val="20"/>
                <w:szCs w:val="20"/>
                <w:color w:val="auto"/>
              </w:rPr>
            </w:pPr>
          </w:p>
        </w:tc>
        <w:tc>
          <w:tcPr>
            <w:tcW w:w="5860" w:type="dxa"/>
            <w:vAlign w:val="bottom"/>
          </w:tcPr>
          <w:p>
            <w:pPr>
              <w:spacing w:after="0"/>
              <w:rPr>
                <w:sz w:val="20"/>
                <w:szCs w:val="20"/>
                <w:color w:val="auto"/>
              </w:rPr>
            </w:pPr>
          </w:p>
        </w:tc>
      </w:tr>
    </w:tbl>
    <w:p>
      <w:pPr>
        <w:sectPr>
          <w:pgSz w:w="11900" w:h="16838" w:orient="portrait"/>
          <w:cols w:equalWidth="0" w:num="1">
            <w:col w:w="11240"/>
          </w:cols>
          <w:pgMar w:left="320" w:top="459"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PHARVARIS B.V.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 (NOMINAL VALUE €0.12 PER SHARE)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020"/>
          </w:cols>
          <w:pgMar w:left="440" w:top="121" w:right="4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SVB Leerink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Pharvaris B.V., a private company with limited liability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with its registered seat in Leiden, the Netherlands (to change its legal form into a Dutch public company with limited liability (</w:t>
      </w:r>
      <w:r>
        <w:rPr>
          <w:rFonts w:ascii="Arial" w:cs="Arial" w:eastAsia="Arial" w:hAnsi="Arial"/>
          <w:sz w:val="17"/>
          <w:szCs w:val="17"/>
          <w:i w:val="1"/>
          <w:iCs w:val="1"/>
          <w:color w:val="auto"/>
        </w:rPr>
        <w:t>naamloze vennootschap</w:t>
      </w:r>
      <w:r>
        <w:rPr>
          <w:rFonts w:ascii="Arial" w:cs="Arial" w:eastAsia="Arial" w:hAnsi="Arial"/>
          <w:sz w:val="17"/>
          <w:szCs w:val="17"/>
          <w:color w:val="auto"/>
        </w:rPr>
        <w:t>) with ordinary shares of €0.12 par value per share organized and existing under the laws of the Netherlands and its corporate name to Pharvaris N.V. prior to the consummation of the offering of Shares described herein)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Morgan Stanley &amp; Co. LLC (“</w:t>
      </w:r>
      <w:r>
        <w:rPr>
          <w:rFonts w:ascii="Arial" w:cs="Arial" w:eastAsia="Arial" w:hAnsi="Arial"/>
          <w:sz w:val="17"/>
          <w:szCs w:val="17"/>
          <w:b w:val="1"/>
          <w:bCs w:val="1"/>
          <w:color w:val="auto"/>
        </w:rPr>
        <w:t>Morgan Stanley</w:t>
      </w:r>
      <w:r>
        <w:rPr>
          <w:rFonts w:ascii="Arial" w:cs="Arial" w:eastAsia="Arial" w:hAnsi="Arial"/>
          <w:sz w:val="17"/>
          <w:szCs w:val="17"/>
          <w:color w:val="auto"/>
        </w:rPr>
        <w:t>”), BofA Securities, Inc. and SVB Leerink LLC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 ordinary shares with a nominal value of €0.12 per share in the capital of the Company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not more than an additional [•] ordinary shares with a nominal value of €0.12 per share in the capital of the Company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the Representatives of the offering shall have determined to exercise, on behalf of the Underwriters, the right to purchase such ordinary shares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ordinary shares with a nominal value of €0.12 per share in the capital of the Company to be outstanding after giving effect to the issuance and sales contemplated hereby are hereinafter referred to as the “</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ectPr>
          <w:pgSz w:w="11900" w:h="16838" w:orient="portrait"/>
          <w:cols w:equalWidth="0" w:num="1">
            <w:col w:w="11020"/>
          </w:cols>
          <w:pgMar w:left="440" w:top="274" w:right="439" w:bottom="1440" w:gutter="0" w:footer="0" w:header="0"/>
        </w:sectPr>
      </w:pPr>
    </w:p>
    <w:bookmarkStart w:id="257" w:name="page258"/>
    <w:bookmarkEnd w:id="257"/>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F-1 (File</w:t>
      </w:r>
    </w:p>
    <w:p>
      <w:pPr>
        <w:spacing w:after="0" w:line="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 333-252157),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Ordinary Shares pursuant to Rule 462(b) under the Securities Act (a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deemed to include such Rule 462 Registration Statement.</w:t>
      </w:r>
    </w:p>
    <w:p>
      <w:pPr>
        <w:spacing w:after="0" w:line="17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For purposes of this Underwriting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preliminary prospectus</w:t>
      </w:r>
      <w:r>
        <w:rPr>
          <w:rFonts w:ascii="Arial" w:cs="Arial" w:eastAsia="Arial" w:hAnsi="Arial"/>
          <w:sz w:val="17"/>
          <w:szCs w:val="17"/>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contained in the Registration Statement at the time of its effectiveness together with the documents and pricing information set forth in Schedule II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Morgan Stanley has agreed to reserve a portion of the Shares to be purchased by it under this Agreement for sale to the Company’s directors, officers, employees and business associates and other parties related to the Company (collectively, “</w:t>
      </w:r>
      <w:r>
        <w:rPr>
          <w:rFonts w:ascii="Arial" w:cs="Arial" w:eastAsia="Arial" w:hAnsi="Arial"/>
          <w:sz w:val="18"/>
          <w:szCs w:val="18"/>
          <w:b w:val="1"/>
          <w:bCs w:val="1"/>
          <w:color w:val="auto"/>
        </w:rPr>
        <w:t>Participants</w:t>
      </w:r>
      <w:r>
        <w:rPr>
          <w:rFonts w:ascii="Arial" w:cs="Arial" w:eastAsia="Arial" w:hAnsi="Arial"/>
          <w:sz w:val="18"/>
          <w:szCs w:val="18"/>
          <w:color w:val="auto"/>
        </w:rPr>
        <w:t>”), as set forth in each of the Time of Sale Prospectus and the Prospectus under the heading “Underwriters” (the “</w:t>
      </w:r>
      <w:r>
        <w:rPr>
          <w:rFonts w:ascii="Arial" w:cs="Arial" w:eastAsia="Arial" w:hAnsi="Arial"/>
          <w:sz w:val="18"/>
          <w:szCs w:val="18"/>
          <w:b w:val="1"/>
          <w:bCs w:val="1"/>
          <w:color w:val="auto"/>
        </w:rPr>
        <w:t>Directed Share Program</w:t>
      </w:r>
      <w:r>
        <w:rPr>
          <w:rFonts w:ascii="Arial" w:cs="Arial" w:eastAsia="Arial" w:hAnsi="Arial"/>
          <w:sz w:val="18"/>
          <w:szCs w:val="18"/>
          <w:color w:val="auto"/>
        </w:rPr>
        <w:t>”). The Shares to be sold by Morgan Stanley and its affiliates pursuant to the Directed Share Program, at the direction of the Company, are referred to hereinafter as the “</w:t>
      </w:r>
      <w:r>
        <w:rPr>
          <w:rFonts w:ascii="Arial" w:cs="Arial" w:eastAsia="Arial" w:hAnsi="Arial"/>
          <w:sz w:val="18"/>
          <w:szCs w:val="18"/>
          <w:b w:val="1"/>
          <w:bCs w:val="1"/>
          <w:color w:val="auto"/>
        </w:rPr>
        <w:t>Directed Shares</w:t>
      </w:r>
      <w:r>
        <w:rPr>
          <w:rFonts w:ascii="Arial" w:cs="Arial" w:eastAsia="Arial" w:hAnsi="Arial"/>
          <w:sz w:val="18"/>
          <w:szCs w:val="18"/>
          <w:color w:val="auto"/>
        </w:rPr>
        <w:t>”. Any Directed Shares not orally confirmed for purchase by any Participant by the end of the business day on which this Agreement is executed will be offered to the public by the Underwriters as set forth in the Prospectus.</w:t>
      </w:r>
    </w:p>
    <w:p>
      <w:pPr>
        <w:spacing w:after="0" w:line="192" w:lineRule="exact"/>
        <w:rPr>
          <w:sz w:val="20"/>
          <w:szCs w:val="20"/>
          <w:color w:val="auto"/>
        </w:rPr>
      </w:pPr>
    </w:p>
    <w:p>
      <w:pPr>
        <w:ind w:left="1160" w:hanging="173"/>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ind w:left="440" w:right="200" w:firstLine="419"/>
        <w:spacing w:after="0" w:line="263" w:lineRule="auto"/>
        <w:tabs>
          <w:tab w:leader="none" w:pos="110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the Company’s knowledge, threatened by the Commission.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58" w:name="page259"/>
    <w:bookmarkEnd w:id="258"/>
    <w:p>
      <w:pPr>
        <w:ind w:right="20" w:firstLine="419"/>
        <w:spacing w:after="0" w:line="285" w:lineRule="auto"/>
        <w:tabs>
          <w:tab w:leader="none" w:pos="678"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comply, as of the date of such amendment or supplement,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will not contain, as of the date of such amendment or supplement,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or on their behalf expressly for use therein.</w:t>
      </w:r>
    </w:p>
    <w:p>
      <w:pPr>
        <w:spacing w:after="0" w:line="68" w:lineRule="exact"/>
        <w:rPr>
          <w:rFonts w:ascii="Arial" w:cs="Arial" w:eastAsia="Arial" w:hAnsi="Arial"/>
          <w:sz w:val="16"/>
          <w:szCs w:val="16"/>
          <w:color w:val="auto"/>
        </w:rPr>
      </w:pPr>
    </w:p>
    <w:p>
      <w:pPr>
        <w:ind w:firstLine="419"/>
        <w:spacing w:after="0" w:line="290" w:lineRule="auto"/>
        <w:tabs>
          <w:tab w:leader="none" w:pos="66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Underwriters before first use, the Company has not prepared, used or referred to, and will not, without the Representatives’ prior consent, prepare, use or refer to, any free writing prospectus.</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80" w:top="274" w:right="479" w:bottom="1440" w:gutter="0" w:footer="0" w:header="0"/>
        </w:sectPr>
      </w:pPr>
    </w:p>
    <w:bookmarkStart w:id="259" w:name="page260"/>
    <w:bookmarkEnd w:id="259"/>
    <w:p>
      <w:pPr>
        <w:ind w:left="680" w:hanging="261"/>
        <w:spacing w:after="0"/>
        <w:tabs>
          <w:tab w:leader="none" w:pos="6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been duly incorporated and is currently validly existing as a private company with limited liability (</w:t>
      </w:r>
      <w:r>
        <w:rPr>
          <w:rFonts w:ascii="Arial" w:cs="Arial" w:eastAsia="Arial" w:hAnsi="Arial"/>
          <w:sz w:val="17"/>
          <w:szCs w:val="17"/>
          <w:i w:val="1"/>
          <w:iCs w:val="1"/>
          <w:color w:val="auto"/>
        </w:rPr>
        <w:t>besloten</w:t>
      </w:r>
    </w:p>
    <w:p>
      <w:pPr>
        <w:spacing w:after="0" w:line="34" w:lineRule="exact"/>
        <w:rPr>
          <w:rFonts w:ascii="Arial" w:cs="Arial" w:eastAsia="Arial" w:hAnsi="Arial"/>
          <w:sz w:val="17"/>
          <w:szCs w:val="17"/>
          <w:color w:val="auto"/>
        </w:rPr>
      </w:pPr>
    </w:p>
    <w:p>
      <w:pPr>
        <w:ind w:right="40"/>
        <w:spacing w:after="0" w:line="252" w:lineRule="auto"/>
        <w:rPr>
          <w:rFonts w:ascii="Arial" w:cs="Arial" w:eastAsia="Arial" w:hAnsi="Arial"/>
          <w:sz w:val="17"/>
          <w:szCs w:val="17"/>
          <w:color w:val="auto"/>
        </w:rPr>
      </w:pPr>
      <w:r>
        <w:rPr>
          <w:rFonts w:ascii="Arial" w:cs="Arial" w:eastAsia="Arial" w:hAnsi="Arial"/>
          <w:sz w:val="18"/>
          <w:szCs w:val="18"/>
          <w:i w:val="1"/>
          <w:iCs w:val="1"/>
          <w:color w:val="auto"/>
        </w:rPr>
        <w:t>vennootschap met beperkte aansprakelijkheid</w:t>
      </w:r>
      <w:r>
        <w:rPr>
          <w:rFonts w:ascii="Arial" w:cs="Arial" w:eastAsia="Arial" w:hAnsi="Arial"/>
          <w:sz w:val="18"/>
          <w:szCs w:val="18"/>
          <w:color w:val="auto"/>
        </w:rPr>
        <w:t>) under the laws of the Netherlands and will, after its conversion into a public company with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under the laws of the Netherlands, be validly existing as a public company with limited liability (</w:t>
      </w:r>
      <w:r>
        <w:rPr>
          <w:rFonts w:ascii="Arial" w:cs="Arial" w:eastAsia="Arial" w:hAnsi="Arial"/>
          <w:sz w:val="18"/>
          <w:szCs w:val="18"/>
          <w:i w:val="1"/>
          <w:iCs w:val="1"/>
          <w:color w:val="auto"/>
        </w:rPr>
        <w:t>naamloze</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w:t>
      </w:r>
      <w:r>
        <w:rPr>
          <w:rFonts w:ascii="Arial" w:cs="Arial" w:eastAsia="Arial" w:hAnsi="Arial"/>
          <w:sz w:val="18"/>
          <w:szCs w:val="18"/>
          <w:color w:val="auto"/>
        </w:rPr>
        <w:t>) under the laws of the Netherlands, has the corporate power and authority to own or lease its property and to conduct its business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each of the Registration Statement, the Time of Sale Prospectus and the Prospectus and is duly qualified to transact business in each jurisdiction in which the conduct of its business or its ownership or leasing of property requires such qualification, except to the extent that the failure to be so qualified would not, singly or in the aggregate, have a material adverse effect on the Company and its subsidiaries, taken as a whole.</w:t>
      </w:r>
    </w:p>
    <w:p>
      <w:pPr>
        <w:spacing w:after="0" w:line="84" w:lineRule="exact"/>
        <w:rPr>
          <w:rFonts w:ascii="Arial" w:cs="Arial" w:eastAsia="Arial" w:hAnsi="Arial"/>
          <w:sz w:val="17"/>
          <w:szCs w:val="17"/>
          <w:color w:val="auto"/>
        </w:rPr>
      </w:pPr>
    </w:p>
    <w:p>
      <w:pPr>
        <w:ind w:right="80" w:firstLine="419"/>
        <w:spacing w:after="0" w:line="269" w:lineRule="auto"/>
        <w:tabs>
          <w:tab w:leader="none" w:pos="66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Each subsidiary of the Company has been duly incorporated, organized or formed, is validly existing as a corporation or other business entity in good standing (to the extent the concept of good standing is applicable in such jurisdiction) under the laws of the jurisdiction of its incorporation, organization or formation, as applicable,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under relevant law) and are owned directly or indirectly by the Company, free and clear of all liens, encumbrances, equities or claims.</w:t>
      </w:r>
    </w:p>
    <w:p>
      <w:pPr>
        <w:spacing w:after="0" w:line="73" w:lineRule="exact"/>
        <w:rPr>
          <w:rFonts w:ascii="Arial" w:cs="Arial" w:eastAsia="Arial" w:hAnsi="Arial"/>
          <w:sz w:val="17"/>
          <w:szCs w:val="17"/>
          <w:color w:val="auto"/>
        </w:rPr>
      </w:pPr>
    </w:p>
    <w:p>
      <w:pPr>
        <w:ind w:left="640" w:hanging="221"/>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700" w:firstLine="419"/>
        <w:spacing w:after="0" w:line="308" w:lineRule="auto"/>
        <w:tabs>
          <w:tab w:leader="none" w:pos="67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authorized, issued and outstanding share capital of the Company conforms in all material respects as to legal matters to the description thereof contained in each of the Registration Statement, the Time of Sale Prospectus and the Prospectus.</w:t>
      </w:r>
    </w:p>
    <w:p>
      <w:pPr>
        <w:spacing w:after="0" w:line="38" w:lineRule="exact"/>
        <w:rPr>
          <w:rFonts w:ascii="Arial" w:cs="Arial" w:eastAsia="Arial" w:hAnsi="Arial"/>
          <w:sz w:val="17"/>
          <w:szCs w:val="17"/>
          <w:color w:val="auto"/>
        </w:rPr>
      </w:pPr>
    </w:p>
    <w:p>
      <w:pPr>
        <w:ind w:firstLine="419"/>
        <w:spacing w:after="0" w:line="277" w:lineRule="auto"/>
        <w:tabs>
          <w:tab w:leader="none" w:pos="6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ordinary shares in the capital of the Company outstanding immediately prior to the issuance of the Shares have been duly authorized and are validly issued, fully paid and non-assessable.</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260" w:name="page261"/>
    <w:bookmarkEnd w:id="260"/>
    <w:p>
      <w:pPr>
        <w:ind w:right="100" w:firstLine="419"/>
        <w:spacing w:after="0" w:line="342" w:lineRule="auto"/>
        <w:tabs>
          <w:tab w:leader="none" w:pos="638"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have been duly authorized and, when issued, delivered and paid for in accordance with the terms of this Agreement, will be validly issued, fully paid and non-assessable, and any preemptive or similar rights with respect to the issuance of the Shares are validly excluded.</w:t>
      </w:r>
    </w:p>
    <w:p>
      <w:pPr>
        <w:spacing w:after="0" w:line="15" w:lineRule="exact"/>
        <w:rPr>
          <w:rFonts w:ascii="Arial" w:cs="Arial" w:eastAsia="Arial" w:hAnsi="Arial"/>
          <w:sz w:val="16"/>
          <w:szCs w:val="16"/>
          <w:color w:val="auto"/>
        </w:rPr>
      </w:pPr>
    </w:p>
    <w:p>
      <w:pPr>
        <w:ind w:firstLine="419"/>
        <w:spacing w:after="0" w:line="289" w:lineRule="auto"/>
        <w:tabs>
          <w:tab w:leader="none" w:pos="63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will not contravene any provision of (i) applicable law or any judgment, order or decree of any governmental body, agency or court having jurisdiction over the Company or any subsidiary, (ii) the articles of association or by-laws or analogous governing instruments, as applicable) of the Company or (iii) any agreement or other instrument binding upon the Company or any of its subsidiaries that is material to the Company and its subsidiaries, taken as a whole, except in the cases (i) and (iii) for such contraventions that would not, individually or in the aggregate, have a material adverse effect on the Company and its subsidiaries, taken as a whole. No consent, approval, authorization or order of, or qualification with, any governmental body, agency or court is required for the performance by the Company of its obligations under this Agreement, except such as has previously been obtained and such as may be required by the securities or Blue Sky laws of the various states or the rules and regulations of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offer and sale of the Shares.</w:t>
      </w:r>
    </w:p>
    <w:p>
      <w:pPr>
        <w:spacing w:after="0" w:line="58" w:lineRule="exact"/>
        <w:rPr>
          <w:rFonts w:ascii="Arial" w:cs="Arial" w:eastAsia="Arial" w:hAnsi="Arial"/>
          <w:sz w:val="16"/>
          <w:szCs w:val="16"/>
          <w:color w:val="auto"/>
        </w:rPr>
      </w:pPr>
    </w:p>
    <w:p>
      <w:pPr>
        <w:ind w:right="280" w:firstLine="419"/>
        <w:spacing w:after="0" w:line="263" w:lineRule="auto"/>
        <w:tabs>
          <w:tab w:leader="none" w:pos="6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5" w:lineRule="exact"/>
        <w:rPr>
          <w:rFonts w:ascii="Arial" w:cs="Arial" w:eastAsia="Arial" w:hAnsi="Arial"/>
          <w:sz w:val="18"/>
          <w:szCs w:val="18"/>
          <w:color w:val="auto"/>
        </w:rPr>
      </w:pPr>
    </w:p>
    <w:p>
      <w:pPr>
        <w:ind w:firstLine="419"/>
        <w:spacing w:after="0" w:line="288" w:lineRule="auto"/>
        <w:tabs>
          <w:tab w:leader="none" w:pos="63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have a material adverse effect on the Company and its subsidiaries, taken as a whole, or a material adverse effect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261" w:name="page262"/>
    <w:bookmarkEnd w:id="261"/>
    <w:p>
      <w:pPr>
        <w:ind w:left="4" w:right="100" w:firstLine="419"/>
        <w:spacing w:after="0" w:line="263" w:lineRule="auto"/>
        <w:tabs>
          <w:tab w:leader="none" w:pos="731" w:val="left"/>
        </w:tabs>
        <w:numPr>
          <w:ilvl w:val="1"/>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jc w:val="both"/>
        <w:ind w:left="4" w:right="20" w:firstLine="419"/>
        <w:spacing w:after="0" w:line="263" w:lineRule="auto"/>
        <w:tabs>
          <w:tab w:leader="none" w:pos="68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684" w:hanging="261"/>
        <w:spacing w:after="0"/>
        <w:tabs>
          <w:tab w:leader="none" w:pos="684"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Except as would not singly or in the aggregate have a material adverse effect on the Company and its subsidiaries, taken as a whole,</w:t>
      </w:r>
    </w:p>
    <w:p>
      <w:pPr>
        <w:spacing w:after="0" w:line="46" w:lineRule="exact"/>
        <w:rPr>
          <w:rFonts w:ascii="Arial" w:cs="Arial" w:eastAsia="Arial" w:hAnsi="Arial"/>
          <w:sz w:val="16"/>
          <w:szCs w:val="16"/>
          <w:color w:val="auto"/>
        </w:rPr>
      </w:pPr>
    </w:p>
    <w:p>
      <w:pPr>
        <w:ind w:left="4" w:hanging="4"/>
        <w:spacing w:after="0" w:line="281" w:lineRule="auto"/>
        <w:tabs>
          <w:tab w:leader="none" w:pos="21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and each of its subsidiaries (w) are in compliance with any and all applicable foreign, federal, state and local laws and rules, regulations, requirements, decisions, orders, decrees, consents and other legally enforceable requirements relating to the protection of the environment, hazardous or toxic substances, wastes, pollutants, chemicals, or contaminants (“</w:t>
      </w:r>
      <w:r>
        <w:rPr>
          <w:rFonts w:ascii="Arial" w:cs="Arial" w:eastAsia="Arial" w:hAnsi="Arial"/>
          <w:sz w:val="16"/>
          <w:szCs w:val="16"/>
          <w:b w:val="1"/>
          <w:bCs w:val="1"/>
          <w:color w:val="auto"/>
        </w:rPr>
        <w:t>Hazardous Materials</w:t>
      </w:r>
      <w:r>
        <w:rPr>
          <w:rFonts w:ascii="Arial" w:cs="Arial" w:eastAsia="Arial" w:hAnsi="Arial"/>
          <w:sz w:val="16"/>
          <w:szCs w:val="16"/>
          <w:color w:val="auto"/>
        </w:rPr>
        <w:t>”) or human health and safety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(x) have received all permits, licenses or other approvals required of them under applicable Environmental Laws to conduct their respective businesses, (y) are in compliance with all terms and conditions of any such permit, license or approval, and</w:t>
      </w:r>
    </w:p>
    <w:p>
      <w:pPr>
        <w:spacing w:after="0" w:line="2" w:lineRule="exact"/>
        <w:rPr>
          <w:rFonts w:ascii="Arial" w:cs="Arial" w:eastAsia="Arial" w:hAnsi="Arial"/>
          <w:sz w:val="16"/>
          <w:szCs w:val="16"/>
          <w:color w:val="auto"/>
        </w:rPr>
      </w:pPr>
    </w:p>
    <w:p>
      <w:pPr>
        <w:ind w:left="4" w:right="160" w:hanging="4"/>
        <w:spacing w:after="0" w:line="277" w:lineRule="auto"/>
        <w:tabs>
          <w:tab w:leader="none" w:pos="24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have not received notice of any actual or potential violation, liability or obligation, and there are no pending or to the Company’s knowledge, threatened complaint, action, suit, proceeding investigation or claim, under or relating to Environmental Laws, and(ii) there are no costs, obligations or liabilities associated with or arising under Environmental Laws of or relating to the Company or its subsidiaries.</w:t>
      </w:r>
    </w:p>
    <w:p>
      <w:pPr>
        <w:spacing w:after="0" w:line="64" w:lineRule="exact"/>
        <w:rPr>
          <w:rFonts w:ascii="Arial" w:cs="Arial" w:eastAsia="Arial" w:hAnsi="Arial"/>
          <w:sz w:val="17"/>
          <w:szCs w:val="17"/>
          <w:color w:val="auto"/>
        </w:rPr>
      </w:pPr>
    </w:p>
    <w:p>
      <w:pPr>
        <w:jc w:val="both"/>
        <w:ind w:left="4" w:right="40" w:firstLine="419"/>
        <w:spacing w:after="0" w:line="259" w:lineRule="auto"/>
        <w:tabs>
          <w:tab w:leader="none" w:pos="68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8" w:lineRule="exact"/>
        <w:rPr>
          <w:rFonts w:ascii="Arial" w:cs="Arial" w:eastAsia="Arial" w:hAnsi="Arial"/>
          <w:sz w:val="18"/>
          <w:szCs w:val="18"/>
          <w:color w:val="auto"/>
        </w:rPr>
      </w:pPr>
    </w:p>
    <w:p>
      <w:pPr>
        <w:ind w:left="4" w:right="220" w:firstLine="419"/>
        <w:spacing w:after="0" w:line="259" w:lineRule="auto"/>
        <w:tabs>
          <w:tab w:leader="none" w:pos="68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Except as described in each of the Registration Statement, the Prospectus or the Time of Sale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262" w:name="page263"/>
    <w:bookmarkEnd w:id="262"/>
    <w:p>
      <w:pPr>
        <w:ind w:firstLine="419"/>
        <w:spacing w:after="0" w:line="269" w:lineRule="auto"/>
        <w:tabs>
          <w:tab w:leader="none" w:pos="648"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None of the Company or any of its subsidiaries or controlled affiliates, or any director, officer, or employee thereof, 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 applicable anti-corruption 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0" w:lineRule="exact"/>
        <w:rPr>
          <w:rFonts w:ascii="Arial" w:cs="Arial" w:eastAsia="Arial" w:hAnsi="Arial"/>
          <w:sz w:val="17"/>
          <w:szCs w:val="17"/>
          <w:color w:val="auto"/>
        </w:rPr>
      </w:pPr>
    </w:p>
    <w:p>
      <w:pPr>
        <w:ind w:right="60" w:firstLine="419"/>
        <w:spacing w:after="0" w:line="271" w:lineRule="auto"/>
        <w:tabs>
          <w:tab w:leader="none" w:pos="65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0" w:lineRule="exact"/>
        <w:rPr>
          <w:rFonts w:ascii="Arial" w:cs="Arial" w:eastAsia="Arial" w:hAnsi="Arial"/>
          <w:sz w:val="17"/>
          <w:szCs w:val="17"/>
          <w:color w:val="auto"/>
        </w:rPr>
      </w:pPr>
    </w:p>
    <w:p>
      <w:pPr>
        <w:ind w:right="140" w:firstLine="419"/>
        <w:spacing w:after="0" w:line="263" w:lineRule="auto"/>
        <w:tabs>
          <w:tab w:leader="none" w:pos="63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980" w:right="200" w:firstLine="391"/>
        <w:spacing w:after="0" w:line="263" w:lineRule="auto"/>
        <w:tabs>
          <w:tab w:leader="none" w:pos="165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4" w:right="499" w:bottom="1440" w:gutter="0" w:footer="0" w:header="0"/>
        </w:sectPr>
      </w:pPr>
    </w:p>
    <w:bookmarkStart w:id="263" w:name="page264"/>
    <w:bookmarkEnd w:id="263"/>
    <w:p>
      <w:pPr>
        <w:ind w:left="980" w:right="580" w:firstLine="391"/>
        <w:spacing w:after="0" w:line="277" w:lineRule="auto"/>
        <w:tabs>
          <w:tab w:leader="none" w:pos="1648" w:val="left"/>
        </w:tabs>
        <w:numPr>
          <w:ilvl w:val="2"/>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540" w:right="300" w:firstLine="408"/>
        <w:spacing w:after="0" w:line="277" w:lineRule="auto"/>
        <w:tabs>
          <w:tab w:leader="none" w:pos="120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80" w:right="200" w:firstLine="391"/>
        <w:spacing w:after="0" w:line="277" w:lineRule="auto"/>
        <w:tabs>
          <w:tab w:leader="none" w:pos="1658"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80" w:right="320" w:firstLine="391"/>
        <w:spacing w:after="0" w:line="277" w:lineRule="auto"/>
        <w:tabs>
          <w:tab w:leader="none" w:pos="1648" w:val="left"/>
        </w:tabs>
        <w:numPr>
          <w:ilvl w:val="2"/>
          <w:numId w:val="159"/>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540" w:right="440" w:firstLine="408"/>
        <w:spacing w:after="0" w:line="263" w:lineRule="auto"/>
        <w:tabs>
          <w:tab w:leader="none" w:pos="125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and each of its subsidiaries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firstLine="419"/>
        <w:spacing w:after="0" w:line="269" w:lineRule="auto"/>
        <w:tabs>
          <w:tab w:leader="none" w:pos="67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 other than in connection with (i) the exercise or forfeiture of equity awards outstanding on such respective dates as of which information is given in each of the Registration Statement, the Time of Sale Prospectus and the Prospectus and (ii) the changing of the legal form of the Company from a private company with limited liability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under the laws of the Netherlands into a public company with limited liability (</w:t>
      </w:r>
      <w:r>
        <w:rPr>
          <w:rFonts w:ascii="Arial" w:cs="Arial" w:eastAsia="Arial" w:hAnsi="Arial"/>
          <w:sz w:val="17"/>
          <w:szCs w:val="17"/>
          <w:i w:val="1"/>
          <w:iCs w:val="1"/>
          <w:color w:val="auto"/>
        </w:rPr>
        <w:t>naamloze vennootschap</w:t>
      </w:r>
      <w:r>
        <w:rPr>
          <w:rFonts w:ascii="Arial" w:cs="Arial" w:eastAsia="Arial" w:hAnsi="Arial"/>
          <w:sz w:val="17"/>
          <w:szCs w:val="17"/>
          <w:color w:val="auto"/>
        </w:rPr>
        <w:t>) under the laws of the Netherlands prior to the consummation of the offering and the conversion of all outstanding preferred shares in the capital of the Company into an aggregate of [•] Ordinary Shares immediately prior to the consummation of the offering as described in the Registration Statement.</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264" w:name="page265"/>
    <w:bookmarkEnd w:id="264"/>
    <w:p>
      <w:pPr>
        <w:ind w:firstLine="419"/>
        <w:spacing w:after="0" w:line="273" w:lineRule="auto"/>
        <w:tabs>
          <w:tab w:leader="none" w:pos="678" w:val="left"/>
        </w:tabs>
        <w:numPr>
          <w:ilvl w:val="0"/>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each of its subsidiaries have good and marketable title to all real property and good and marketable title to all personal property owned by them which is material to the business of the Company and its subsidiaries, taken as a whole, in each case free and clear of all liens, encumbrances and defects except such as do not have a material adverse effect on the Company and its subsidiaries taken as a whole and except for the bank accounts of the Company to which standard bank conditions apply; and any real property and buildings held under lease by the Company and its subsidiaries are held by them under valid, subsisting and enforceable leases, except as would not have a material adverse effect on the Company and its subsidiaries taken as a whole.</w:t>
      </w:r>
    </w:p>
    <w:p>
      <w:pPr>
        <w:spacing w:after="0" w:line="69" w:lineRule="exact"/>
        <w:rPr>
          <w:rFonts w:ascii="Arial" w:cs="Arial" w:eastAsia="Arial" w:hAnsi="Arial"/>
          <w:sz w:val="17"/>
          <w:szCs w:val="17"/>
          <w:color w:val="auto"/>
        </w:rPr>
      </w:pPr>
    </w:p>
    <w:p>
      <w:pPr>
        <w:ind w:right="20" w:firstLine="419"/>
        <w:spacing w:after="0" w:line="284" w:lineRule="auto"/>
        <w:tabs>
          <w:tab w:leader="none" w:pos="7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 Except as would not have a material adverse effect on the Company and its subsidiaries taken as a whole, the Company and its subsidiaries solely and exclusively own or have a valid, enforceable and exclusive license to all patents, inventions, copyrights, know how (including trade secrets and other unpatented and/or unpatentable proprietary or confidential information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required for the conduct of their businesses as presently conducted or as currently anticipated to be conducted; (ii) except as would not have a material adverse effect on the Company and its subsidiaries taken as a whole, the Intellectual Property Rights owned by the Company or any of its subsidiaries and, to the Company’s knowledge, the Intellectual Property Rights licensed to the Company or any of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written notice alleging any infringement, misappropriation or other violation of Intellectual Property Rights by the Company or any of its subsidiaries which, singly or in the aggregate, if the subject of an unfavorable decision, ruling or finding, would have a material adverse effect on the Company and its subsidiaries, taken as a whole; (iv) except as would not have a material adverse effect on the Company and its subsidiaries taken as a whole, to the Company’s knowledge, no third party is infringing, misappropriating or otherwise violating, or has infringed, misappropriated or otherwise violated, any Intellectual Property Rights owned or controlled by the Company or any of its subsidiaries; (v) to the Company’s knowledge, neither the Company nor any of its subsidiaries infringes, misappropriates or otherwise violates, or has infringed, misappropriated or otherwise violated, any valid Intellectual Property Rights of any third party;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any of its subsidiaries,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265" w:name="page266"/>
    <w:bookmarkEnd w:id="265"/>
    <w:p>
      <w:pPr>
        <w:ind w:right="160" w:firstLine="419"/>
        <w:spacing w:after="0" w:line="286" w:lineRule="auto"/>
        <w:tabs>
          <w:tab w:leader="none" w:pos="678" w:val="left"/>
        </w:tabs>
        <w:numPr>
          <w:ilvl w:val="0"/>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statistical and market-related data included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57" w:lineRule="exact"/>
        <w:rPr>
          <w:rFonts w:ascii="Arial" w:cs="Arial" w:eastAsia="Arial" w:hAnsi="Arial"/>
          <w:sz w:val="17"/>
          <w:szCs w:val="17"/>
          <w:color w:val="auto"/>
        </w:rPr>
      </w:pPr>
    </w:p>
    <w:p>
      <w:pPr>
        <w:ind w:firstLine="419"/>
        <w:spacing w:after="0" w:line="269" w:lineRule="auto"/>
        <w:tabs>
          <w:tab w:leader="none" w:pos="67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on the Company and its subsidiaries, taken as a whole, (i) to the Company’s knowledge,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Arial" w:cs="Arial" w:eastAsia="Arial" w:hAnsi="Arial"/>
          <w:sz w:val="17"/>
          <w:szCs w:val="17"/>
          <w:b w:val="1"/>
          <w:bCs w:val="1"/>
          <w:color w:val="auto"/>
        </w:rPr>
        <w:t>Data Security Obligations</w:t>
      </w:r>
      <w:r>
        <w:rPr>
          <w:rFonts w:ascii="Arial" w:cs="Arial" w:eastAsia="Arial" w:hAnsi="Arial"/>
          <w:sz w:val="17"/>
          <w:szCs w:val="17"/>
          <w:color w:val="auto"/>
        </w:rPr>
        <w:t>”, and such data, “</w:t>
      </w:r>
      <w:r>
        <w:rPr>
          <w:rFonts w:ascii="Arial" w:cs="Arial" w:eastAsia="Arial" w:hAnsi="Arial"/>
          <w:sz w:val="17"/>
          <w:szCs w:val="17"/>
          <w:b w:val="1"/>
          <w:bCs w:val="1"/>
          <w:color w:val="auto"/>
        </w:rPr>
        <w:t>Data</w:t>
      </w:r>
      <w:r>
        <w:rPr>
          <w:rFonts w:ascii="Arial" w:cs="Arial" w:eastAsia="Arial" w:hAnsi="Arial"/>
          <w:sz w:val="17"/>
          <w:szCs w:val="17"/>
          <w:color w:val="auto"/>
        </w:rPr>
        <w:t>”); (ii) neither the Company nor any of its subsidiaries has received any notification of or complaint regarding, or is otherwise 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against the Company or any of its subsidiaries alleging non-compliance with any Data Security Obligation.</w:t>
      </w:r>
    </w:p>
    <w:p>
      <w:pPr>
        <w:spacing w:after="0" w:line="77" w:lineRule="exact"/>
        <w:rPr>
          <w:rFonts w:ascii="Arial" w:cs="Arial" w:eastAsia="Arial" w:hAnsi="Arial"/>
          <w:sz w:val="17"/>
          <w:szCs w:val="17"/>
          <w:color w:val="auto"/>
        </w:rPr>
      </w:pPr>
    </w:p>
    <w:p>
      <w:pPr>
        <w:ind w:firstLine="419"/>
        <w:spacing w:after="0" w:line="288" w:lineRule="auto"/>
        <w:tabs>
          <w:tab w:leader="none" w:pos="66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the Company’s knowledge, the Company’s and its subsidiaries’ information technology assets and equipment, computers, systems, networks, hardware, software, internet websites, applications and data and databases (including those maintained on behalf of the Company and its subsidiaries by third party vendors)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all material respects in connection with, the operation of the business of the Company and its subsidiaries, as it is currently conducted, free and clear of all material bugs, errors, defects, Trojan horses, time bombs, malware and other corruptants. The Company and each of its subsidiaries have taken all commercially reasonable technical and organizational measures reasonably necessary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data protection and business continuity/disaster recovery controls, policies and procedures, that are designed to protect against and prevent breach, destruction, loss, unauthorized distribution,</w:t>
      </w:r>
    </w:p>
    <w:p>
      <w:pPr>
        <w:spacing w:after="0" w:line="10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0"/>
          </w:cols>
          <w:pgMar w:left="880" w:top="274" w:right="499" w:bottom="1440" w:gutter="0" w:footer="0" w:header="0"/>
        </w:sectPr>
      </w:pPr>
    </w:p>
    <w:bookmarkStart w:id="266" w:name="page267"/>
    <w:bookmarkEnd w:id="266"/>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access, disablement, misappropriation or modification, or other compromise or misuse of or relating to any IT Systems or Data used in connection with the operation of the Company’s and its subsidiaries’ businesses and any other data security incident or data breach as defined by Data Security Obligations (“</w:t>
      </w:r>
      <w:r>
        <w:rPr>
          <w:rFonts w:ascii="Arial" w:cs="Arial" w:eastAsia="Arial" w:hAnsi="Arial"/>
          <w:sz w:val="16"/>
          <w:szCs w:val="16"/>
          <w:b w:val="1"/>
          <w:bCs w:val="1"/>
          <w:color w:val="auto"/>
        </w:rPr>
        <w:t>Breach</w:t>
      </w:r>
      <w:r>
        <w:rPr>
          <w:rFonts w:ascii="Arial" w:cs="Arial" w:eastAsia="Arial" w:hAnsi="Arial"/>
          <w:sz w:val="16"/>
          <w:szCs w:val="16"/>
          <w:color w:val="auto"/>
        </w:rPr>
        <w:t>”). To the Company’s knowledge, there has been no such Breach, and the Company and its subsidiaries have not been notified in writing of and have no knowledge of any event or condition that would reasonably be expected to result in, any such Breach.</w:t>
      </w:r>
    </w:p>
    <w:p>
      <w:pPr>
        <w:spacing w:after="0" w:line="49" w:lineRule="exact"/>
        <w:rPr>
          <w:sz w:val="20"/>
          <w:szCs w:val="20"/>
          <w:color w:val="auto"/>
        </w:rPr>
      </w:pPr>
    </w:p>
    <w:p>
      <w:pPr>
        <w:ind w:right="40" w:firstLine="419"/>
        <w:spacing w:after="0" w:line="259" w:lineRule="auto"/>
        <w:tabs>
          <w:tab w:leader="none" w:pos="74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78" w:lineRule="exact"/>
        <w:rPr>
          <w:rFonts w:ascii="Arial" w:cs="Arial" w:eastAsia="Arial" w:hAnsi="Arial"/>
          <w:sz w:val="18"/>
          <w:szCs w:val="18"/>
          <w:color w:val="auto"/>
        </w:rPr>
      </w:pPr>
    </w:p>
    <w:p>
      <w:pPr>
        <w:ind w:right="20" w:firstLine="419"/>
        <w:spacing w:after="0" w:line="291" w:lineRule="auto"/>
        <w:tabs>
          <w:tab w:leader="none" w:pos="76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 and each of its subsidiaries are insured by insurers of recognized financial responsibility against such losses and risks and in such amounts as the Company believes are prudent and customary in the businesses in which they are engaged, except where the failure to be insured would not, individually or in the aggregate, have a material adverse effect on the Company and its subsidiaries,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spacing w:after="0" w:line="58" w:lineRule="exact"/>
        <w:rPr>
          <w:rFonts w:ascii="Arial" w:cs="Arial" w:eastAsia="Arial" w:hAnsi="Arial"/>
          <w:sz w:val="16"/>
          <w:szCs w:val="16"/>
          <w:color w:val="auto"/>
        </w:rPr>
      </w:pPr>
    </w:p>
    <w:p>
      <w:pPr>
        <w:ind w:firstLine="419"/>
        <w:spacing w:after="0" w:line="296" w:lineRule="auto"/>
        <w:tabs>
          <w:tab w:leader="none" w:pos="74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on the Company and its subsidiaries, taken as a whole, the Company and each of its subsidiaries possess all certificates, authorizations and permits issued by the appropriate federal, state or foreign regulatory authorities necessary to conduct their respective businesses as currently conducted.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53" w:lineRule="exact"/>
        <w:rPr>
          <w:rFonts w:ascii="Arial" w:cs="Arial" w:eastAsia="Arial" w:hAnsi="Arial"/>
          <w:sz w:val="16"/>
          <w:szCs w:val="16"/>
          <w:color w:val="auto"/>
        </w:rPr>
      </w:pPr>
    </w:p>
    <w:p>
      <w:pPr>
        <w:ind w:left="760" w:hanging="341"/>
        <w:spacing w:after="0"/>
        <w:tabs>
          <w:tab w:leader="none" w:pos="7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40" w:firstLine="419"/>
        <w:spacing w:after="0" w:line="263" w:lineRule="auto"/>
        <w:tabs>
          <w:tab w:leader="none" w:pos="74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and its subsidiaries have operated at all times and are currently in compliance in all material respects with all applicable Health Care Laws (as defined herein), including all statutes, rules, regulations and policies administered by the U.S.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and</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0"/>
          </w:cols>
          <w:pgMar w:left="880" w:top="274" w:right="539" w:bottom="1440" w:gutter="0" w:footer="0" w:header="0"/>
        </w:sectPr>
      </w:pPr>
    </w:p>
    <w:bookmarkStart w:id="267" w:name="page268"/>
    <w:bookmarkEnd w:id="267"/>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comparable foreign regulatory authorities, including the European Medicines Agency and the UK Medicines &amp; Healthcare products Regulatory Agency (collectively, the “</w:t>
      </w:r>
      <w:r>
        <w:rPr>
          <w:rFonts w:ascii="Arial" w:cs="Arial" w:eastAsia="Arial" w:hAnsi="Arial"/>
          <w:sz w:val="18"/>
          <w:szCs w:val="18"/>
          <w:b w:val="1"/>
          <w:bCs w:val="1"/>
          <w:color w:val="auto"/>
        </w:rPr>
        <w:t>Regulatory Authorities</w:t>
      </w:r>
      <w:r>
        <w:rPr>
          <w:rFonts w:ascii="Arial" w:cs="Arial" w:eastAsia="Arial" w:hAnsi="Arial"/>
          <w:sz w:val="18"/>
          <w:szCs w:val="18"/>
          <w:color w:val="auto"/>
        </w:rPr>
        <w:t>”) and all other local, state, federal, 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w:t>
      </w:r>
      <w:r>
        <w:rPr>
          <w:rFonts w:ascii="Arial" w:cs="Arial" w:eastAsia="Arial" w:hAnsi="Arial"/>
          <w:sz w:val="18"/>
          <w:szCs w:val="18"/>
          <w:b w:val="1"/>
          <w:bCs w:val="1"/>
          <w:color w:val="auto"/>
        </w:rPr>
        <w:t>Health Care Laws</w:t>
      </w:r>
      <w:r>
        <w:rPr>
          <w:rFonts w:ascii="Arial" w:cs="Arial" w:eastAsia="Arial" w:hAnsi="Arial"/>
          <w:sz w:val="18"/>
          <w:szCs w:val="18"/>
          <w:color w:val="auto"/>
        </w:rPr>
        <w:t>”).</w:t>
      </w:r>
    </w:p>
    <w:p>
      <w:pPr>
        <w:spacing w:after="0" w:line="80" w:lineRule="exact"/>
        <w:rPr>
          <w:sz w:val="20"/>
          <w:szCs w:val="20"/>
          <w:color w:val="auto"/>
        </w:rPr>
      </w:pPr>
    </w:p>
    <w:p>
      <w:pPr>
        <w:ind w:firstLine="419"/>
        <w:spacing w:after="0" w:line="285" w:lineRule="auto"/>
        <w:tabs>
          <w:tab w:leader="none" w:pos="70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on the Company and its subsidiaries, taken as a whole, (i) the studies, tests and preclinical and clinical trials conducted by or on behalf of or sponsored by the Company or its subsidiaries or in which the Company or its subsidiaries have participated, that are described in the Registration Statement, the Time of Sale Prospectus and the Prospectus, or the results of which are referred to in the Registration Statement, the Time of Sale Prospectus and the Prospectus, as applicable, were, and if still pending are, being conducted in accordance with standard medical and experimental protocols, procedures and controls pursuant to accepted professional scientific research standards and procedures, and all applicable Health Care Laws, the rules and regulations of the Regulatory Authorities and applicable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are inconsistent with or call into question the results described or referred to in the Registration Statement, the Time of Sale Prospectus and the Prospectus; (iv) the Company has provided the Underwriters with all substantive written notices and correspondence provided to the Company or its subsidiaries from the Regulatory Authorities; and (v) neither the Company nor any of its subsidiaries have received any written notices, correspondence or other communications from the Regulatory Authorities requiring or threatening the termination, modification or suspension of any pre-clinical studies or clinical trials that are described in the Registration Statement, the Time of Sale Prospectus and the Prospectus or the results of which are referred to in the Registration Statement, the Time of Sale Prospectus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65" w:lineRule="exact"/>
        <w:rPr>
          <w:rFonts w:ascii="Arial" w:cs="Arial" w:eastAsia="Arial" w:hAnsi="Arial"/>
          <w:sz w:val="16"/>
          <w:szCs w:val="16"/>
          <w:color w:val="auto"/>
        </w:rPr>
      </w:pPr>
    </w:p>
    <w:p>
      <w:pPr>
        <w:ind w:right="360" w:firstLine="419"/>
        <w:spacing w:after="0" w:line="263" w:lineRule="auto"/>
        <w:tabs>
          <w:tab w:leader="none" w:pos="76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have received written notice of any claim, action, suit, proceeding, hearing, enforcement, investigation, arbitration or other action from any court or arbitrator or Regulatory Authority, other governmental entity or third party alleging that any Company or</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80" w:top="274" w:right="479" w:bottom="1440" w:gutter="0" w:footer="0" w:header="0"/>
        </w:sectPr>
      </w:pPr>
    </w:p>
    <w:bookmarkStart w:id="268" w:name="page269"/>
    <w:bookmarkEnd w:id="26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 operation or activity is in violation of any Health Care Laws, including, without limitation, any FDA Form 483, notice of adverse finding, warning letter, untitled letter or other correspondence or notice from the FDA or any comparable communication from any other Regulatory Authority or governmental entity, nor, to the Company’s knowledge, is any such claim, action, suit, proceeding, hearing, enforcement, investigation, arbitration or other action threatened; (ii) neither the Company nor any of its subsidiaries are a party to any corporate integrity agreements, monitoring agreements, consent decrees, settlement orders, or similar agreements with or imposed by any Regulatory Authority or other governmental entity; and (iv)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73" w:lineRule="exact"/>
        <w:rPr>
          <w:sz w:val="20"/>
          <w:szCs w:val="20"/>
          <w:color w:val="auto"/>
        </w:rPr>
      </w:pPr>
    </w:p>
    <w:p>
      <w:pPr>
        <w:ind w:right="60" w:firstLine="419"/>
        <w:spacing w:after="0" w:line="290" w:lineRule="auto"/>
        <w:tabs>
          <w:tab w:leader="none" w:pos="76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international financial reporting standards (“</w:t>
      </w:r>
      <w:r>
        <w:rPr>
          <w:rFonts w:ascii="Arial" w:cs="Arial" w:eastAsia="Arial" w:hAnsi="Arial"/>
          <w:sz w:val="16"/>
          <w:szCs w:val="16"/>
          <w:b w:val="1"/>
          <w:bCs w:val="1"/>
          <w:color w:val="auto"/>
        </w:rPr>
        <w:t>IFRS</w:t>
      </w:r>
      <w:r>
        <w:rPr>
          <w:rFonts w:ascii="Arial" w:cs="Arial" w:eastAsia="Arial" w:hAnsi="Arial"/>
          <w:sz w:val="16"/>
          <w:szCs w:val="16"/>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57" w:lineRule="exact"/>
        <w:rPr>
          <w:rFonts w:ascii="Arial" w:cs="Arial" w:eastAsia="Arial" w:hAnsi="Arial"/>
          <w:sz w:val="16"/>
          <w:szCs w:val="16"/>
          <w:color w:val="auto"/>
        </w:rPr>
      </w:pPr>
    </w:p>
    <w:p>
      <w:pPr>
        <w:ind w:right="160" w:firstLine="419"/>
        <w:spacing w:after="0" w:line="275" w:lineRule="auto"/>
        <w:tabs>
          <w:tab w:leader="none" w:pos="68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PricewaterhouseCoopers Accountants N.V.,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68" w:lineRule="exact"/>
        <w:rPr>
          <w:rFonts w:ascii="Arial" w:cs="Arial" w:eastAsia="Arial" w:hAnsi="Arial"/>
          <w:sz w:val="17"/>
          <w:szCs w:val="17"/>
          <w:color w:val="auto"/>
        </w:rPr>
      </w:pPr>
    </w:p>
    <w:p>
      <w:pPr>
        <w:ind w:right="220" w:firstLine="419"/>
        <w:spacing w:after="0" w:line="286" w:lineRule="auto"/>
        <w:tabs>
          <w:tab w:leader="none" w:pos="68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Company and its subsidiaries on a consolidated basis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as issued by the</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20"/>
          </w:cols>
          <w:pgMar w:left="880" w:top="274" w:right="499" w:bottom="1440" w:gutter="0" w:footer="0" w:header="0"/>
        </w:sectPr>
      </w:pPr>
    </w:p>
    <w:bookmarkStart w:id="269" w:name="page270"/>
    <w:bookmarkEnd w:id="26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International Accounting Standard Board (“</w:t>
      </w:r>
      <w:r>
        <w:rPr>
          <w:rFonts w:ascii="Arial" w:cs="Arial" w:eastAsia="Arial" w:hAnsi="Arial"/>
          <w:sz w:val="18"/>
          <w:szCs w:val="18"/>
          <w:b w:val="1"/>
          <w:bCs w:val="1"/>
          <w:color w:val="auto"/>
        </w:rPr>
        <w:t>IASB</w:t>
      </w:r>
      <w:r>
        <w:rPr>
          <w:rFonts w:ascii="Arial" w:cs="Arial" w:eastAsia="Arial" w:hAnsi="Arial"/>
          <w:sz w:val="18"/>
          <w:szCs w:val="18"/>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except as disclosed in the Registration Statement, the Time of Sale Prospectus and Prospectus,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spacing w:after="0" w:line="85" w:lineRule="exact"/>
        <w:rPr>
          <w:sz w:val="20"/>
          <w:szCs w:val="20"/>
          <w:color w:val="auto"/>
        </w:rPr>
      </w:pPr>
    </w:p>
    <w:p>
      <w:pPr>
        <w:ind w:firstLine="419"/>
        <w:spacing w:after="0" w:line="259" w:lineRule="auto"/>
        <w:tabs>
          <w:tab w:leader="none" w:pos="7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Except as described in each of the Registration Statement, the Prospectus or the Time of Sale Prospectus, the Company has not sold, issued or distributed any Ordinary Shares during the six-month period preceding the date hereof, including any sales pursuant to Rule 144A under, or Regulation D or S of, the Securities Act, shares issued pursuant to employee benefit plans, qualified stock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right="160" w:firstLine="419"/>
        <w:spacing w:after="0" w:line="259" w:lineRule="auto"/>
        <w:tabs>
          <w:tab w:leader="none" w:pos="68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Registration Statement, the Prospectus, the Time of Sale Prospectus and any preliminary prospectus comply, and any amendments or supplements thereto will comply, with any applicable laws or regulations of foreign jurisdictions in which the Prospectus, the Time of Sale Prospectus or any preliminary prospectus, as amended or supplemented, if applicable, are distributed in connection with the Directed Share Program.</w:t>
      </w:r>
    </w:p>
    <w:p>
      <w:pPr>
        <w:spacing w:after="0" w:line="78" w:lineRule="exact"/>
        <w:rPr>
          <w:rFonts w:ascii="Arial" w:cs="Arial" w:eastAsia="Arial" w:hAnsi="Arial"/>
          <w:sz w:val="18"/>
          <w:szCs w:val="18"/>
          <w:color w:val="auto"/>
        </w:rPr>
      </w:pPr>
    </w:p>
    <w:p>
      <w:pPr>
        <w:ind w:right="80" w:firstLine="419"/>
        <w:spacing w:after="0" w:line="308" w:lineRule="auto"/>
        <w:tabs>
          <w:tab w:leader="none" w:pos="86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other than those obtained, is required in connection with the offering of the Directed Shares in any jurisdiction where the Directed Shares are being offered.</w:t>
      </w:r>
    </w:p>
    <w:p>
      <w:pPr>
        <w:spacing w:after="0" w:line="38" w:lineRule="exact"/>
        <w:rPr>
          <w:rFonts w:ascii="Arial" w:cs="Arial" w:eastAsia="Arial" w:hAnsi="Arial"/>
          <w:sz w:val="17"/>
          <w:szCs w:val="17"/>
          <w:color w:val="auto"/>
        </w:rPr>
      </w:pPr>
    </w:p>
    <w:p>
      <w:pPr>
        <w:jc w:val="both"/>
        <w:ind w:right="140" w:firstLine="419"/>
        <w:spacing w:after="0" w:line="259" w:lineRule="auto"/>
        <w:tabs>
          <w:tab w:leader="none" w:pos="7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has not offered, or caused Morgan Stanley or any Morgan Stanley Entity as defined in Section 9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78" w:lineRule="exact"/>
        <w:rPr>
          <w:rFonts w:ascii="Arial" w:cs="Arial" w:eastAsia="Arial" w:hAnsi="Arial"/>
          <w:sz w:val="18"/>
          <w:szCs w:val="18"/>
          <w:color w:val="auto"/>
        </w:rPr>
      </w:pPr>
    </w:p>
    <w:p>
      <w:pPr>
        <w:ind w:right="60" w:firstLine="419"/>
        <w:spacing w:after="0" w:line="259" w:lineRule="auto"/>
        <w:tabs>
          <w:tab w:leader="none" w:pos="7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pay would not, singly</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270" w:right="479" w:bottom="1440" w:gutter="0" w:footer="0" w:header="0"/>
        </w:sectPr>
      </w:pPr>
    </w:p>
    <w:bookmarkStart w:id="270" w:name="page271"/>
    <w:bookmarkEnd w:id="27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in the aggregate, have a material adverse effect on the Company and its subsidiaries, taken as a whole, or, except as currently being contested in good faith and for which reserves required by IFRS (as issued by IASB) have been created in the financial statements of the Company), and no tax deficiency has been determined adversely to the Company or any of its subsidiaries which, singly or in the aggregate, has had (nor has the Company nor any of its subsidiaries received any written notice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84" w:lineRule="exact"/>
        <w:rPr>
          <w:sz w:val="20"/>
          <w:szCs w:val="20"/>
          <w:color w:val="auto"/>
        </w:rPr>
      </w:pPr>
    </w:p>
    <w:p>
      <w:pPr>
        <w:ind w:right="40" w:firstLine="419"/>
        <w:spacing w:after="0" w:line="342" w:lineRule="auto"/>
        <w:tabs>
          <w:tab w:leader="none" w:pos="76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419"/>
        <w:spacing w:after="0" w:line="290" w:lineRule="auto"/>
        <w:tabs>
          <w:tab w:leader="none" w:pos="76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communication with potential investors undertaken in reliance on Section 5(d) or Rule 163B of the Securities Act.</w:t>
      </w:r>
    </w:p>
    <w:p>
      <w:pPr>
        <w:spacing w:after="0" w:line="57" w:lineRule="exact"/>
        <w:rPr>
          <w:rFonts w:ascii="Arial" w:cs="Arial" w:eastAsia="Arial" w:hAnsi="Arial"/>
          <w:sz w:val="16"/>
          <w:szCs w:val="16"/>
          <w:color w:val="auto"/>
        </w:rPr>
      </w:pPr>
    </w:p>
    <w:p>
      <w:pPr>
        <w:ind w:right="40" w:firstLine="419"/>
        <w:spacing w:after="0" w:line="308" w:lineRule="auto"/>
        <w:tabs>
          <w:tab w:leader="none" w:pos="70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any securities rated by any “nationally recognized statistical rating organization,” as such term is defined in Section 3(a)(62)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40" w:firstLine="419"/>
        <w:spacing w:after="0" w:line="254" w:lineRule="auto"/>
        <w:tabs>
          <w:tab w:leader="none" w:pos="72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Time of Sale Prospectus and any free writing prospectus based upon information relating to any Underwriter furnished to the Company in writing by such Underwriter through the Representatives or on their behalf expressly for use therein.</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71" w:name="page272"/>
    <w:bookmarkEnd w:id="271"/>
    <w:p>
      <w:pPr>
        <w:ind w:right="180" w:firstLine="419"/>
        <w:spacing w:after="0" w:line="275" w:lineRule="auto"/>
        <w:tabs>
          <w:tab w:leader="none" w:pos="688"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stamp, documentary, issuance, registration, transfer, or other similar documentary taxes or duties are payable by or on behalf of the Underwriters, the Company or any of its subsidiaries in the Netherlands or to any taxing authority thereof or therein having power to tax in connection with (i) the execution, delivery or consummation of this Agreement, (ii) the creation, allotment and issuance of the Shares, (iii) the issuance, sale and delivery of the Shares to the Underwriters or purchasers procured by the Underwriters, or (iv) the resale and delivery of the Shares by the Underwriters, each in the manner contemplated herein.</w:t>
      </w:r>
    </w:p>
    <w:p>
      <w:pPr>
        <w:spacing w:after="0" w:line="68" w:lineRule="exact"/>
        <w:rPr>
          <w:rFonts w:ascii="Arial" w:cs="Arial" w:eastAsia="Arial" w:hAnsi="Arial"/>
          <w:sz w:val="17"/>
          <w:szCs w:val="17"/>
          <w:color w:val="auto"/>
        </w:rPr>
      </w:pPr>
    </w:p>
    <w:p>
      <w:pPr>
        <w:ind w:right="200" w:firstLine="419"/>
        <w:spacing w:after="0" w:line="263" w:lineRule="auto"/>
        <w:tabs>
          <w:tab w:leader="none" w:pos="7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payments to be made by the Company to the Underwriters under this Agreement may be made free and clear of, and without withholding or deduction for, or on account of any taxes, duties, assessments or governmental charges by or on behalf of the Netherlands or any political subdivision or authority thereof or therein having power to tax.</w:t>
      </w:r>
    </w:p>
    <w:p>
      <w:pPr>
        <w:spacing w:after="0" w:line="71" w:lineRule="exact"/>
        <w:rPr>
          <w:rFonts w:ascii="Arial" w:cs="Arial" w:eastAsia="Arial" w:hAnsi="Arial"/>
          <w:sz w:val="18"/>
          <w:szCs w:val="18"/>
          <w:color w:val="auto"/>
        </w:rPr>
      </w:pPr>
    </w:p>
    <w:p>
      <w:pPr>
        <w:ind w:right="200" w:firstLine="419"/>
        <w:spacing w:after="0" w:line="282" w:lineRule="auto"/>
        <w:tabs>
          <w:tab w:leader="none" w:pos="7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does not believe that it was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for U.S. federal income tax purposes in 2019 and it does not expect to be a PFIC for its current taxable year.</w:t>
      </w:r>
    </w:p>
    <w:p>
      <w:pPr>
        <w:spacing w:after="0" w:line="57" w:lineRule="exact"/>
        <w:rPr>
          <w:rFonts w:ascii="Arial" w:cs="Arial" w:eastAsia="Arial" w:hAnsi="Arial"/>
          <w:sz w:val="18"/>
          <w:szCs w:val="18"/>
          <w:color w:val="auto"/>
        </w:rPr>
      </w:pPr>
    </w:p>
    <w:p>
      <w:pPr>
        <w:ind w:right="20" w:firstLine="419"/>
        <w:spacing w:after="0" w:line="275" w:lineRule="auto"/>
        <w:tabs>
          <w:tab w:leader="none" w:pos="84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It is not necessary under the laws of the Netherlands (i) to enable the Underwriters to enforce their rights under this Agreement provided that they are not otherwise engaged in business in the Netherlands, or (ii) solely by reason of the execution, delivery or consummation of this Agreement, for any of the Underwriters to be qualified or entitled to carry out business in the Netherlands except that any Underwriter offering Shares or investment services or performing investment activities in or from the Netherlands, should be licensed, excepted or exempted under or pursuant to the Dutch Financial Supervision Act (</w:t>
      </w:r>
      <w:r>
        <w:rPr>
          <w:rFonts w:ascii="Arial" w:cs="Arial" w:eastAsia="Arial" w:hAnsi="Arial"/>
          <w:sz w:val="17"/>
          <w:szCs w:val="17"/>
          <w:i w:val="1"/>
          <w:iCs w:val="1"/>
          <w:color w:val="auto"/>
        </w:rPr>
        <w:t>Wet op het Financieel Toezicht</w:t>
      </w:r>
      <w:r>
        <w:rPr>
          <w:rFonts w:ascii="Arial" w:cs="Arial" w:eastAsia="Arial" w:hAnsi="Arial"/>
          <w:sz w:val="17"/>
          <w:szCs w:val="17"/>
          <w:color w:val="auto"/>
        </w:rPr>
        <w:t>) (“</w:t>
      </w:r>
      <w:r>
        <w:rPr>
          <w:rFonts w:ascii="Arial" w:cs="Arial" w:eastAsia="Arial" w:hAnsi="Arial"/>
          <w:sz w:val="17"/>
          <w:szCs w:val="17"/>
          <w:b w:val="1"/>
          <w:bCs w:val="1"/>
          <w:color w:val="auto"/>
        </w:rPr>
        <w:t>DFSA</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right="20" w:firstLine="419"/>
        <w:spacing w:after="0" w:line="277" w:lineRule="auto"/>
        <w:tabs>
          <w:tab w:leader="none" w:pos="7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This Agreement is in proper form under the laws of the Netherlands for the enforcement thereof against the Company, and to ensure the legality, validity, enforceability or admissibility into evidence in Netherlands of this Agreement.</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Rule 405 of the Securities Act.</w:t>
      </w:r>
    </w:p>
    <w:p>
      <w:pPr>
        <w:spacing w:after="0" w:line="117" w:lineRule="exact"/>
        <w:rPr>
          <w:rFonts w:ascii="Arial" w:cs="Arial" w:eastAsia="Arial" w:hAnsi="Arial"/>
          <w:sz w:val="18"/>
          <w:szCs w:val="18"/>
          <w:color w:val="auto"/>
        </w:rPr>
      </w:pPr>
    </w:p>
    <w:p>
      <w:pPr>
        <w:ind w:firstLine="419"/>
        <w:spacing w:after="0" w:line="263" w:lineRule="auto"/>
        <w:tabs>
          <w:tab w:leader="none" w:pos="7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action has been taken or is contemplated to dissolve or liquidate the Company or any of its subsidiaries, and, to the knowledge of the Company no insolvency proceedings have been proposed, commenced or threatened against the Company or any of its subsidiaries and no judgment has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72" w:name="page273"/>
    <w:bookmarkEnd w:id="272"/>
    <w:p>
      <w:pPr>
        <w:ind w:left="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been made or is pending declaring the Company or any of its subsidiaries insolvent. No voluntary arrangement has been prosed between the Company or a subsidiary and its creditors and no compromise or arrangement with creditors has been proposed, agreed or sanctioned in respect of the Company or its subsidiaries. Neither the Company nor any of its subsidiaries has, by reason of actual or anticipated financial difficulties, commenced discussions with any third party including any governmental agency to obtain stand-by or emergency funding or has commenced negotiations with its creditors or any class of its creditors with a view to rescheduling any of its indebtedness.</w:t>
      </w:r>
    </w:p>
    <w:p>
      <w:pPr>
        <w:spacing w:after="0" w:line="68" w:lineRule="exact"/>
        <w:rPr>
          <w:sz w:val="20"/>
          <w:szCs w:val="20"/>
          <w:color w:val="auto"/>
        </w:rPr>
      </w:pPr>
    </w:p>
    <w:p>
      <w:pPr>
        <w:ind w:left="440" w:firstLine="419"/>
        <w:spacing w:after="0" w:line="273" w:lineRule="auto"/>
        <w:tabs>
          <w:tab w:leader="none" w:pos="126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the Netherlands. The irrevocable and unconditional waiver and agreement of the Company contained in Section 18(a) not to plead or claim any such immunity in any legal action, suit or proceeding based on this Agreement is valid and binding under the laws of the Netherlands,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waiver may not be effective in relation to assets located in the Netherlands that are destined for the public service (</w:t>
      </w:r>
      <w:r>
        <w:rPr>
          <w:rFonts w:ascii="Arial" w:cs="Arial" w:eastAsia="Arial" w:hAnsi="Arial"/>
          <w:sz w:val="17"/>
          <w:szCs w:val="17"/>
          <w:i w:val="1"/>
          <w:iCs w:val="1"/>
          <w:color w:val="auto"/>
        </w:rPr>
        <w:t>goederen bestemd voor de openbare dienst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firstLine="419"/>
        <w:spacing w:after="0" w:line="255" w:lineRule="auto"/>
        <w:tabs>
          <w:tab w:leader="none" w:pos="129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choice of law of the State of New York as the governing law of this Agreement is a valid choice of law under the laws of the Netherlands and will be recognized by the courts of the Netherlands. The Company has the power to submit, and pursuant to Section 18(a) has, to the extent permitted by law, legally, validly, effectively and irrevocably submitted, to the jurisdiction of the Specified Courts (as defined in Section 18(a)), and has the power to designate, appoint and empower, and pursuant to Section 18(b), has legally, validly and effectively designated, appointed and empowered an agent for service of process in any suit or proceeding based on or arising under this Agreement in any of the Specified Courts.</w:t>
      </w:r>
    </w:p>
    <w:p>
      <w:pPr>
        <w:spacing w:after="0" w:line="192" w:lineRule="exact"/>
        <w:rPr>
          <w:sz w:val="20"/>
          <w:szCs w:val="20"/>
          <w:color w:val="auto"/>
        </w:rPr>
      </w:pPr>
    </w:p>
    <w:p>
      <w:pPr>
        <w:ind w:right="100" w:firstLine="436"/>
        <w:spacing w:after="0" w:line="291" w:lineRule="auto"/>
        <w:tabs>
          <w:tab w:leader="none" w:pos="620"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issue and sell to the several Underwriters, and each Underwriter,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basis of the representations and warranties herein contained, but subject to the terms and conditions hereinafter stated, agrees, severally and not jointly,</w:t>
      </w:r>
    </w:p>
    <w:tbl>
      <w:tblPr>
        <w:tblLayout w:type="fixed"/>
        <w:tblInd w:w="0" w:type="dxa"/>
        <w:tblCellMar>
          <w:top w:w="0" w:type="dxa"/>
          <w:left w:w="0" w:type="dxa"/>
          <w:bottom w:w="0" w:type="dxa"/>
          <w:right w:w="0" w:type="dxa"/>
        </w:tblCellMar>
      </w:tblPr>
      <w:tr>
        <w:trPr>
          <w:trHeight w:val="176"/>
        </w:trPr>
        <w:tc>
          <w:tcPr>
            <w:tcW w:w="9120" w:type="dxa"/>
            <w:vAlign w:val="bottom"/>
            <w:gridSpan w:val="2"/>
          </w:tcPr>
          <w:p>
            <w:pPr>
              <w:spacing w:after="0" w:line="176" w:lineRule="exact"/>
              <w:rPr>
                <w:sz w:val="20"/>
                <w:szCs w:val="20"/>
                <w:color w:val="auto"/>
              </w:rPr>
            </w:pPr>
            <w:r>
              <w:rPr>
                <w:rFonts w:ascii="Arial" w:cs="Arial" w:eastAsia="Arial" w:hAnsi="Arial"/>
                <w:sz w:val="18"/>
                <w:szCs w:val="18"/>
                <w:color w:val="auto"/>
                <w:w w:val="92"/>
              </w:rPr>
              <w:t>to purchase from the Company the respective numbers of Firm Shares set forth in Schedule I hereto opposite its name at $[</w:t>
            </w:r>
          </w:p>
        </w:tc>
        <w:tc>
          <w:tcPr>
            <w:tcW w:w="120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86"/>
              </w:rPr>
              <w:t>] a share (the</w:t>
            </w:r>
          </w:p>
        </w:tc>
      </w:tr>
      <w:tr>
        <w:trPr>
          <w:trHeight w:val="237"/>
        </w:trPr>
        <w:tc>
          <w:tcPr>
            <w:tcW w:w="88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r>
    </w:tbl>
    <w:p>
      <w:pPr>
        <w:spacing w:after="0" w:line="202"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On the basis of the representations and warranties contained in this Agreement, and subject to its terms and conditions, the Company agrees to issue and sell to the Underwriters the Additional Shares, and the Underwriters shall have the right to purchase, severally and not jointly, up to [•] Additional Shares at the Purchase Price,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73" w:name="page274"/>
    <w:bookmarkEnd w:id="273"/>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two business days after the written notice is given and may not be earlier than the closing date for the Firm Shares nor later than ten business days after the date of such notice,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written notice may be given one business day prior to the purchase date in the event any Additional Shares to be purchased shall be purchased on the closing date for the Firm Shares.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5" w:lineRule="exact"/>
        <w:rPr>
          <w:sz w:val="20"/>
          <w:szCs w:val="20"/>
          <w:color w:val="auto"/>
        </w:rPr>
      </w:pPr>
    </w:p>
    <w:p>
      <w:pPr>
        <w:ind w:firstLine="436"/>
        <w:spacing w:after="0" w:line="255" w:lineRule="auto"/>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 and to certain dealers selected by the Representatives at a price that represents a concession not in excess of $[•] a share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 and that any Underwriter may allow, and such dealers may reallow, a concession, not in excess of $[•] a share, to any Underwriter or to certain other dealers.</w:t>
      </w:r>
    </w:p>
    <w:p>
      <w:pPr>
        <w:spacing w:after="0" w:line="192" w:lineRule="exact"/>
        <w:rPr>
          <w:rFonts w:ascii="Arial" w:cs="Arial" w:eastAsia="Arial" w:hAnsi="Arial"/>
          <w:sz w:val="18"/>
          <w:szCs w:val="18"/>
          <w:color w:val="auto"/>
        </w:rPr>
      </w:pPr>
    </w:p>
    <w:p>
      <w:pPr>
        <w:ind w:right="100" w:firstLine="436"/>
        <w:spacing w:after="0" w:line="259" w:lineRule="auto"/>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Firm Shares for the respective accounts of the several Underwriters at 10:00 a.m., New York City time, on [•], 2021, or at such other time on the same or such other date, not later than [•], 2021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2021, as shall be designated in writing by the Representatives.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74" w:name="page275"/>
    <w:bookmarkEnd w:id="274"/>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88" w:lineRule="exact"/>
        <w:rPr>
          <w:sz w:val="20"/>
          <w:szCs w:val="20"/>
          <w:color w:val="auto"/>
        </w:rPr>
      </w:pPr>
    </w:p>
    <w:p>
      <w:pPr>
        <w:ind w:right="100" w:firstLine="436"/>
        <w:spacing w:after="0" w:line="263" w:lineRule="auto"/>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Underwriters to purchase and pay for the Shares on the Closing Date are subject to the condition that the Registration Statement shall have become effective not later than [•] [a./p.]m. (New York City time) on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1100" w:hanging="241"/>
        <w:spacing w:after="0"/>
        <w:tabs>
          <w:tab w:leader="none" w:pos="11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980" w:right="460" w:firstLine="408"/>
        <w:spacing w:after="0" w:line="308" w:lineRule="auto"/>
        <w:tabs>
          <w:tab w:leader="none" w:pos="159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or pursuant to Section 8A under the Securities Act shall be pending before or threatened by the Commission; and</w:t>
      </w:r>
    </w:p>
    <w:p>
      <w:pPr>
        <w:spacing w:after="0" w:line="38" w:lineRule="exact"/>
        <w:rPr>
          <w:rFonts w:ascii="Arial" w:cs="Arial" w:eastAsia="Arial" w:hAnsi="Arial"/>
          <w:sz w:val="17"/>
          <w:szCs w:val="17"/>
          <w:color w:val="auto"/>
        </w:rPr>
      </w:pPr>
    </w:p>
    <w:p>
      <w:pPr>
        <w:ind w:left="980" w:right="140" w:firstLine="408"/>
        <w:spacing w:after="0" w:line="301" w:lineRule="auto"/>
        <w:tabs>
          <w:tab w:leader="none" w:pos="164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49" w:lineRule="exact"/>
        <w:rPr>
          <w:rFonts w:ascii="Arial" w:cs="Arial" w:eastAsia="Arial" w:hAnsi="Arial"/>
          <w:sz w:val="16"/>
          <w:szCs w:val="16"/>
          <w:color w:val="auto"/>
        </w:rPr>
      </w:pPr>
    </w:p>
    <w:p>
      <w:pPr>
        <w:ind w:left="440" w:right="140" w:firstLine="419"/>
        <w:spacing w:after="0" w:line="279" w:lineRule="auto"/>
        <w:tabs>
          <w:tab w:leader="none" w:pos="111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40" w:right="180" w:firstLine="419"/>
        <w:spacing w:after="0" w:line="342" w:lineRule="auto"/>
        <w:tabs>
          <w:tab w:leader="none" w:pos="110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Representatives shall have received on the Closing Date (i) an opinion and (ii) a negative assurance letter of Kirkland &amp; Ellis LLP, United States counsel to the Company, dated the Closing Date, in form and substance reasonably satisfactory to the Representatives.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75" w:name="page276"/>
    <w:bookmarkEnd w:id="275"/>
    <w:p>
      <w:pPr>
        <w:ind w:left="440" w:right="160" w:firstLine="419"/>
        <w:spacing w:after="0" w:line="277" w:lineRule="auto"/>
        <w:tabs>
          <w:tab w:leader="none" w:pos="1118"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Representatives shall have received on the Closing Date an opinion of NautaDutilh N.V., Dutch counsel to the Company, dated the Closing Date, in form and substance reasonably satisfactory to the Representatives.</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0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an opinion of Paustian &amp; Partner, intellectual property counsel for the Company, dated the Closing Date, in form and substance reasonably satisfactory to the Representatives.</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08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Sidley Austin LLP, counsel for the Underwriters, dated the Closing Date, in form and substance reasonably satisfactory to the Representatives.</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Loyens &amp; Loeff N.V., Dutch counsel for the Underwriters, dated the Closing Date, in form and substance reasonably satisfactory to the Representatives.</w:t>
      </w:r>
    </w:p>
    <w:p>
      <w:pPr>
        <w:spacing w:after="0" w:line="170"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With respect to Sections 5(c) and 5(f) above, Kirkland &amp; Ellis LLP and Sidley Austin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57" w:lineRule="exact"/>
        <w:rPr>
          <w:sz w:val="20"/>
          <w:szCs w:val="20"/>
          <w:color w:val="auto"/>
        </w:rPr>
      </w:pPr>
    </w:p>
    <w:p>
      <w:pPr>
        <w:ind w:left="440" w:right="80" w:firstLine="419"/>
        <w:spacing w:after="0" w:line="259"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Underwriters shall have received, on each of the date hereof and the Closing Date, a certificate dated the date hereof or the Closing Date, as the case may be, in form and substance reasonably satisfactory to the Representatives, from the Finance Director and Principal Accounting Officer of the Company as to the accuracy of certain financial and other information included in the Registration Statement, the Time of Sale Prospectus and the Prospectus;</w:t>
      </w:r>
    </w:p>
    <w:p>
      <w:pPr>
        <w:spacing w:after="0" w:line="78" w:lineRule="exact"/>
        <w:rPr>
          <w:rFonts w:ascii="Arial" w:cs="Arial" w:eastAsia="Arial" w:hAnsi="Arial"/>
          <w:sz w:val="18"/>
          <w:szCs w:val="18"/>
          <w:color w:val="auto"/>
        </w:rPr>
      </w:pPr>
    </w:p>
    <w:p>
      <w:pPr>
        <w:ind w:left="440" w:right="60" w:firstLine="419"/>
        <w:spacing w:after="0" w:line="296" w:lineRule="auto"/>
        <w:tabs>
          <w:tab w:leader="none" w:pos="107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each of the date hereof and the Closing Date, a letter dated the date hereof or the Closing Date, as the case may be, in form and substance satisfactory to the Representatives, from PricewaterhouseCoopers Accountants N.V.,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letter delivered on the Closing Date shall use a “cut-off date” not earlier than the date hereof.</w:t>
      </w:r>
    </w:p>
    <w:p>
      <w:pPr>
        <w:spacing w:after="0" w:line="53" w:lineRule="exact"/>
        <w:rPr>
          <w:rFonts w:ascii="Arial" w:cs="Arial" w:eastAsia="Arial" w:hAnsi="Arial"/>
          <w:sz w:val="16"/>
          <w:szCs w:val="16"/>
          <w:color w:val="auto"/>
        </w:rPr>
      </w:pPr>
    </w:p>
    <w:p>
      <w:pPr>
        <w:ind w:left="440" w:firstLine="419"/>
        <w:spacing w:after="0" w:line="263" w:lineRule="auto"/>
        <w:tabs>
          <w:tab w:leader="none" w:pos="10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Representatives and certain shareholders, officers and directors of the Company relating to sales and certain other dispositions of Ordinary Shares or certain other securities, delivered to the Representatives on or before the date hereof, shall be in full force and effect on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76" w:name="page277"/>
    <w:bookmarkEnd w:id="276"/>
    <w:p>
      <w:pPr>
        <w:ind w:right="120" w:firstLine="419"/>
        <w:spacing w:after="0" w:line="277" w:lineRule="auto"/>
        <w:tabs>
          <w:tab w:leader="none" w:pos="678"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several obligations of the Underwriters to purchase Additional Shares hereunder are subject to the delivery to the Underwriters on the applicable Option Closing Date of the following:</w:t>
      </w:r>
    </w:p>
    <w:p>
      <w:pPr>
        <w:spacing w:after="0" w:line="62" w:lineRule="exact"/>
        <w:rPr>
          <w:rFonts w:ascii="Arial" w:cs="Arial" w:eastAsia="Arial" w:hAnsi="Arial"/>
          <w:sz w:val="18"/>
          <w:szCs w:val="18"/>
          <w:color w:val="auto"/>
        </w:rPr>
      </w:pPr>
    </w:p>
    <w:p>
      <w:pPr>
        <w:ind w:left="540" w:right="260" w:firstLine="408"/>
        <w:spacing w:after="0" w:line="342" w:lineRule="auto"/>
        <w:tabs>
          <w:tab w:leader="none" w:pos="115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5" w:lineRule="exact"/>
        <w:rPr>
          <w:rFonts w:ascii="Arial" w:cs="Arial" w:eastAsia="Arial" w:hAnsi="Arial"/>
          <w:sz w:val="16"/>
          <w:szCs w:val="16"/>
          <w:color w:val="auto"/>
        </w:rPr>
      </w:pPr>
    </w:p>
    <w:p>
      <w:pPr>
        <w:ind w:left="540" w:right="240" w:firstLine="408"/>
        <w:spacing w:after="0" w:line="263" w:lineRule="auto"/>
        <w:tabs>
          <w:tab w:leader="none" w:pos="120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 opinion and negative assurance letter of Kirkland &amp; Ellis LLP, outside counsel for the Company, dated the Option Closing Date, relating to the Additional Shares to be purchased on such Option Closing Date and otherwise to the same effect as the opinion required by Section 5(c) hereof;</w:t>
      </w:r>
    </w:p>
    <w:p>
      <w:pPr>
        <w:spacing w:after="0" w:line="75" w:lineRule="exact"/>
        <w:rPr>
          <w:rFonts w:ascii="Arial" w:cs="Arial" w:eastAsia="Arial" w:hAnsi="Arial"/>
          <w:sz w:val="18"/>
          <w:szCs w:val="18"/>
          <w:color w:val="auto"/>
        </w:rPr>
      </w:pPr>
    </w:p>
    <w:p>
      <w:pPr>
        <w:jc w:val="both"/>
        <w:ind w:left="540" w:right="380" w:firstLine="408"/>
        <w:spacing w:after="0" w:line="342" w:lineRule="auto"/>
        <w:tabs>
          <w:tab w:leader="none" w:pos="125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an opinion of NautaDutilh N.V., Dutch counsel for the Company, dated the Option Closing Date, relating to the Additional Shares to be purchased on such Option Closing Date and otherwise to the same effect as the opinion required by Section 5(d) hereof;</w:t>
      </w:r>
    </w:p>
    <w:p>
      <w:pPr>
        <w:spacing w:after="0" w:line="15" w:lineRule="exact"/>
        <w:rPr>
          <w:rFonts w:ascii="Arial" w:cs="Arial" w:eastAsia="Arial" w:hAnsi="Arial"/>
          <w:sz w:val="16"/>
          <w:szCs w:val="16"/>
          <w:color w:val="auto"/>
        </w:rPr>
      </w:pPr>
    </w:p>
    <w:p>
      <w:pPr>
        <w:ind w:left="540" w:right="120" w:firstLine="408"/>
        <w:spacing w:after="0" w:line="263" w:lineRule="auto"/>
        <w:tabs>
          <w:tab w:leader="none" w:pos="124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opinion of Paustian &amp; Partner, intellectual property counsel for the Company, dated the Option Closing Date, relating to the Additional Shares to be purchased on such Option Closing Date and otherwise to the same effect as the opinion required by Section 5(d) hereof;</w:t>
      </w:r>
    </w:p>
    <w:p>
      <w:pPr>
        <w:spacing w:after="0" w:line="75" w:lineRule="exact"/>
        <w:rPr>
          <w:rFonts w:ascii="Arial" w:cs="Arial" w:eastAsia="Arial" w:hAnsi="Arial"/>
          <w:sz w:val="18"/>
          <w:szCs w:val="18"/>
          <w:color w:val="auto"/>
        </w:rPr>
      </w:pPr>
    </w:p>
    <w:p>
      <w:pPr>
        <w:ind w:left="540" w:firstLine="408"/>
        <w:spacing w:after="0" w:line="263" w:lineRule="auto"/>
        <w:tabs>
          <w:tab w:leader="none" w:pos="119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 opinion and negative assurance letter of Sidley Austin LLP, counsel for the Underwriters, dated the Option Closing Date, relating to the Additional Shares to be purchased on such Option Closing Date and otherwise to the same effect as the opinion required by Section 5(f) hereof;</w:t>
      </w:r>
    </w:p>
    <w:p>
      <w:pPr>
        <w:spacing w:after="0" w:line="75" w:lineRule="exact"/>
        <w:rPr>
          <w:rFonts w:ascii="Arial" w:cs="Arial" w:eastAsia="Arial" w:hAnsi="Arial"/>
          <w:sz w:val="18"/>
          <w:szCs w:val="18"/>
          <w:color w:val="auto"/>
        </w:rPr>
      </w:pPr>
    </w:p>
    <w:p>
      <w:pPr>
        <w:jc w:val="both"/>
        <w:ind w:left="540" w:right="80" w:firstLine="408"/>
        <w:spacing w:after="0" w:line="263" w:lineRule="auto"/>
        <w:tabs>
          <w:tab w:leader="none" w:pos="124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 opinion of Loyens &amp; Loeff N.V., Dutch counsel for the Underwriters, dated the Option Closing Date, in connection with the Additional Shares to be purchased on such Option Closing Date and otherwise to the same effect as the opinion required by Section 5(g) hereof;</w:t>
      </w:r>
    </w:p>
    <w:p>
      <w:pPr>
        <w:spacing w:after="0" w:line="75" w:lineRule="exact"/>
        <w:rPr>
          <w:rFonts w:ascii="Arial" w:cs="Arial" w:eastAsia="Arial" w:hAnsi="Arial"/>
          <w:sz w:val="18"/>
          <w:szCs w:val="18"/>
          <w:color w:val="auto"/>
        </w:rPr>
      </w:pPr>
    </w:p>
    <w:p>
      <w:pPr>
        <w:ind w:left="540" w:right="460" w:firstLine="408"/>
        <w:spacing w:after="0" w:line="277" w:lineRule="auto"/>
        <w:tabs>
          <w:tab w:leader="none" w:pos="129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certificate from the Finance Director and Principal Accounting Officer of the Company, dated the Option Closing Date, substantially in the same form and substance as the certificate required by Section 5(h) hereof;</w:t>
      </w:r>
    </w:p>
    <w:p>
      <w:pPr>
        <w:spacing w:after="0" w:line="10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80"/>
          </w:cols>
          <w:pgMar w:left="880" w:top="274" w:right="539" w:bottom="1440" w:gutter="0" w:footer="0" w:header="0"/>
        </w:sectPr>
      </w:pPr>
    </w:p>
    <w:bookmarkStart w:id="277" w:name="page278"/>
    <w:bookmarkEnd w:id="277"/>
    <w:p>
      <w:pPr>
        <w:ind w:left="544" w:right="40" w:firstLine="408"/>
        <w:spacing w:after="0" w:line="259" w:lineRule="auto"/>
        <w:tabs>
          <w:tab w:leader="none" w:pos="1349" w:val="left"/>
        </w:tabs>
        <w:numPr>
          <w:ilvl w:val="2"/>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letter dated the Option Closing Date, in form and substance satisfactory to the Underwriters, from PricewaterhouseCoopers Accountants N.V., independent public accountants, substantially in the same form and substance as the letter furnished to the Underwriters pursuant to Section 5(i)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78" w:lineRule="exact"/>
        <w:rPr>
          <w:rFonts w:ascii="Arial" w:cs="Arial" w:eastAsia="Arial" w:hAnsi="Arial"/>
          <w:sz w:val="18"/>
          <w:szCs w:val="18"/>
          <w:color w:val="auto"/>
        </w:rPr>
      </w:pPr>
    </w:p>
    <w:p>
      <w:pPr>
        <w:ind w:left="544" w:right="120" w:firstLine="408"/>
        <w:spacing w:after="0" w:line="263" w:lineRule="auto"/>
        <w:tabs>
          <w:tab w:leader="none" w:pos="1249" w:val="left"/>
        </w:tabs>
        <w:numPr>
          <w:ilvl w:val="2"/>
          <w:numId w:val="178"/>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firstLine="419"/>
        <w:spacing w:after="0" w:line="296" w:lineRule="auto"/>
        <w:tabs>
          <w:tab w:leader="none" w:pos="67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To furnish to the Representatives, without charge, conformed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53" w:lineRule="exact"/>
        <w:rPr>
          <w:rFonts w:ascii="Arial" w:cs="Arial" w:eastAsia="Arial" w:hAnsi="Arial"/>
          <w:sz w:val="16"/>
          <w:szCs w:val="16"/>
          <w:color w:val="auto"/>
        </w:rPr>
      </w:pPr>
    </w:p>
    <w:p>
      <w:pPr>
        <w:ind w:left="4" w:right="120" w:firstLine="419"/>
        <w:spacing w:after="0" w:line="259" w:lineRule="auto"/>
        <w:tabs>
          <w:tab w:leader="none" w:pos="68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4" w:right="120" w:firstLine="419"/>
        <w:spacing w:after="0" w:line="342" w:lineRule="auto"/>
        <w:tabs>
          <w:tab w:leader="none" w:pos="67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5" w:lineRule="exact"/>
        <w:rPr>
          <w:rFonts w:ascii="Arial" w:cs="Arial" w:eastAsia="Arial" w:hAnsi="Arial"/>
          <w:sz w:val="16"/>
          <w:szCs w:val="16"/>
          <w:color w:val="auto"/>
        </w:rPr>
      </w:pPr>
    </w:p>
    <w:p>
      <w:pPr>
        <w:ind w:left="4" w:right="140" w:firstLine="419"/>
        <w:spacing w:after="0" w:line="263" w:lineRule="auto"/>
        <w:tabs>
          <w:tab w:leader="none" w:pos="68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4"/>
          </w:cols>
          <w:pgMar w:left="876" w:top="274" w:right="459" w:bottom="1440" w:gutter="0" w:footer="0" w:header="0"/>
        </w:sectPr>
      </w:pPr>
    </w:p>
    <w:bookmarkStart w:id="278" w:name="page279"/>
    <w:bookmarkEnd w:id="278"/>
    <w:p>
      <w:pPr>
        <w:ind w:firstLine="419"/>
        <w:spacing w:after="0" w:line="288" w:lineRule="auto"/>
        <w:tabs>
          <w:tab w:leader="none" w:pos="668" w:val="left"/>
        </w:tabs>
        <w:numPr>
          <w:ilvl w:val="0"/>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60" w:lineRule="exact"/>
        <w:rPr>
          <w:rFonts w:ascii="Arial" w:cs="Arial" w:eastAsia="Arial" w:hAnsi="Arial"/>
          <w:sz w:val="16"/>
          <w:szCs w:val="16"/>
          <w:color w:val="auto"/>
        </w:rPr>
      </w:pPr>
    </w:p>
    <w:p>
      <w:pPr>
        <w:ind w:right="80" w:firstLine="419"/>
        <w:spacing w:after="0" w:line="287" w:lineRule="auto"/>
        <w:tabs>
          <w:tab w:leader="none" w:pos="64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3" w:lineRule="exact"/>
        <w:rPr>
          <w:rFonts w:ascii="Arial" w:cs="Arial" w:eastAsia="Arial" w:hAnsi="Arial"/>
          <w:sz w:val="16"/>
          <w:szCs w:val="16"/>
          <w:color w:val="auto"/>
        </w:rPr>
      </w:pPr>
    </w:p>
    <w:p>
      <w:pPr>
        <w:ind w:right="40" w:firstLine="419"/>
        <w:spacing w:after="0" w:line="259" w:lineRule="auto"/>
        <w:tabs>
          <w:tab w:leader="none" w:pos="67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To endeavor to qualify the Shares for offer and sale under the securities or Blue Sky laws of such jurisdictions as the Representatives shall reasonably request;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no event shall the Company be obligated to qualify to do business in any jurisdiction where it is not now so qualified or to take any action that would subject it to service of process in suits, other than those arising out of the offering or sale of the Shares, or taxation in any jurisdiction where it is not now so subject.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4" w:right="459" w:bottom="1440" w:gutter="0" w:footer="0" w:header="0"/>
        </w:sectPr>
      </w:pPr>
    </w:p>
    <w:bookmarkStart w:id="279" w:name="page280"/>
    <w:bookmarkEnd w:id="279"/>
    <w:p>
      <w:pPr>
        <w:ind w:left="4" w:right="260" w:firstLine="419"/>
        <w:spacing w:after="0" w:line="279" w:lineRule="auto"/>
        <w:tabs>
          <w:tab w:leader="none" w:pos="681" w:val="left"/>
        </w:tabs>
        <w:numPr>
          <w:ilvl w:val="1"/>
          <w:numId w:val="1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make generally available to the Company’s security holders and to the Underwriters as soon as practicable an earnings statement (which may satisfied by the Company filing its Annual Report on Form 20-F with the Commission)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63" w:lineRule="exact"/>
        <w:rPr>
          <w:rFonts w:ascii="Arial" w:cs="Arial" w:eastAsia="Arial" w:hAnsi="Arial"/>
          <w:sz w:val="17"/>
          <w:szCs w:val="17"/>
          <w:color w:val="auto"/>
        </w:rPr>
      </w:pPr>
    </w:p>
    <w:p>
      <w:pPr>
        <w:ind w:left="4" w:right="20" w:firstLine="419"/>
        <w:spacing w:after="0" w:line="277" w:lineRule="auto"/>
        <w:tabs>
          <w:tab w:leader="none" w:pos="64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laws, rules and regulations in each jurisdiction in which the Directed Shares are offered in connection with the Directed Share Program.</w:t>
      </w:r>
    </w:p>
    <w:p>
      <w:pPr>
        <w:spacing w:after="0" w:line="62" w:lineRule="exact"/>
        <w:rPr>
          <w:rFonts w:ascii="Arial" w:cs="Arial" w:eastAsia="Arial" w:hAnsi="Arial"/>
          <w:sz w:val="18"/>
          <w:szCs w:val="18"/>
          <w:color w:val="auto"/>
        </w:rPr>
      </w:pPr>
    </w:p>
    <w:p>
      <w:pPr>
        <w:ind w:left="4" w:right="20" w:firstLine="419"/>
        <w:spacing w:after="0" w:line="283" w:lineRule="auto"/>
        <w:tabs>
          <w:tab w:leader="none" w:pos="64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similar documentary taxes payable thereon, (iii) the reasonable and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and documented fees and disbursements of counsel to the Underwriters incurred in connection with the review and qualification of the offering of the Shares by FINRA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amount payable by the Company with respect to the fees and disbursements of counsel for the Underwriters incurred pursuant to subsections</w:t>
      </w:r>
    </w:p>
    <w:p>
      <w:pPr>
        <w:spacing w:after="0" w:line="1" w:lineRule="exact"/>
        <w:rPr>
          <w:rFonts w:ascii="Arial" w:cs="Arial" w:eastAsia="Arial" w:hAnsi="Arial"/>
          <w:sz w:val="16"/>
          <w:szCs w:val="16"/>
          <w:color w:val="auto"/>
        </w:rPr>
      </w:pPr>
    </w:p>
    <w:p>
      <w:pPr>
        <w:ind w:left="4" w:hanging="4"/>
        <w:spacing w:after="0" w:line="252" w:lineRule="auto"/>
        <w:tabs>
          <w:tab w:leader="none" w:pos="3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and (iv) of this Section 6(i) shall not exceed $35,000 in the aggregate, (v) all fees and expenses in connection with the preparation and filing of the registration statement on Form 8-A relating to the Ordinary Shares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w:t>
      </w:r>
    </w:p>
    <w:p>
      <w:pPr>
        <w:spacing w:after="0" w:line="125"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4"/>
          </w:cols>
          <w:pgMar w:left="876" w:top="274" w:right="439" w:bottom="1440" w:gutter="0" w:footer="0" w:header="0"/>
        </w:sectPr>
      </w:pPr>
    </w:p>
    <w:bookmarkStart w:id="280" w:name="page281"/>
    <w:bookmarkEnd w:id="28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presentations with the prior approval of the Company, travel and lodging expenses of the representatives and officers of the Company and any such consultants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50% of the cost of any aircraft chartered in connection with the road show shall be paid by the Underwriters and 50% of the cost of any aircraft chartered in connection with the road show shall be paid by the Company), (ix) the document production charges and expenses associated with printing this Agreement, (x) all fees and disbursements of counsel incurred by the Underwriters in connection with the Directed Share Program and stamp duties, similar taxes or duties or other taxes, if any, incurred by the Underwriters in connection with the Directed Share Program and (xi) all other costs and expenses incident to the performance of the obligations of the Company hereunder for which provision is not otherwise made in this Section. It is understood, however, that except as provided in this Section, Section 8 entitled “Indemnity and Contribution”, Section 9 entitled “Directed Share Program Indemnification” and the last paragraph of Section </w:t>
      </w:r>
      <w:r>
        <w:rPr>
          <w:rFonts w:ascii="Arial" w:cs="Arial" w:eastAsia="Arial" w:hAnsi="Arial"/>
          <w:sz w:val="16"/>
          <w:szCs w:val="16"/>
          <w:b w:val="1"/>
          <w:bCs w:val="1"/>
          <w:color w:val="auto"/>
        </w:rPr>
        <w:t>1</w:t>
      </w:r>
      <w:r>
        <w:rPr>
          <w:rFonts w:ascii="Arial" w:cs="Arial" w:eastAsia="Arial" w:hAnsi="Arial"/>
          <w:sz w:val="16"/>
          <w:szCs w:val="16"/>
          <w:color w:val="auto"/>
        </w:rPr>
        <w:t>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60" w:lineRule="exact"/>
        <w:rPr>
          <w:sz w:val="20"/>
          <w:szCs w:val="20"/>
          <w:color w:val="auto"/>
        </w:rPr>
      </w:pPr>
    </w:p>
    <w:p>
      <w:pPr>
        <w:ind w:firstLine="419"/>
        <w:spacing w:after="0" w:line="263" w:lineRule="auto"/>
        <w:tabs>
          <w:tab w:leader="none" w:pos="6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75" w:lineRule="exact"/>
        <w:rPr>
          <w:rFonts w:ascii="Arial" w:cs="Arial" w:eastAsia="Arial" w:hAnsi="Arial"/>
          <w:sz w:val="18"/>
          <w:szCs w:val="18"/>
          <w:color w:val="auto"/>
        </w:rPr>
      </w:pPr>
    </w:p>
    <w:p>
      <w:pPr>
        <w:ind w:firstLine="419"/>
        <w:spacing w:after="0" w:line="255" w:lineRule="auto"/>
        <w:tabs>
          <w:tab w:leader="none" w:pos="63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84" w:lineRule="exact"/>
        <w:rPr>
          <w:rFonts w:ascii="Arial" w:cs="Arial" w:eastAsia="Arial" w:hAnsi="Arial"/>
          <w:sz w:val="18"/>
          <w:szCs w:val="18"/>
          <w:color w:val="auto"/>
        </w:rPr>
      </w:pPr>
    </w:p>
    <w:p>
      <w:pPr>
        <w:ind w:right="280" w:firstLine="419"/>
        <w:spacing w:after="0" w:line="259" w:lineRule="auto"/>
        <w:tabs>
          <w:tab w:leader="none" w:pos="72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0"/>
          </w:cols>
          <w:pgMar w:left="880" w:top="274" w:right="479" w:bottom="1440" w:gutter="0" w:footer="0" w:header="0"/>
        </w:sectPr>
      </w:pPr>
    </w:p>
    <w:bookmarkStart w:id="281" w:name="page282"/>
    <w:bookmarkEnd w:id="281"/>
    <w:p>
      <w:pPr>
        <w:ind w:left="444" w:right="20" w:firstLine="419"/>
        <w:spacing w:after="0" w:line="255" w:lineRule="auto"/>
        <w:tabs>
          <w:tab w:leader="none" w:pos="1122"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pay, and shall indemnify and hold the Underwriters harmless against, any stamp, issue, registration, transfer, or other similar documentary taxes or duties (other than taxes or duties imposed on the net income of the Underwriters) imposed under the laws of the Netherlands or any political sub-division or taxing authority thereof or therein having the power to tax that is payable in connection with (i) the execution, delivery, consummation or enforcement of this Agreement, (ii) the creation, allotment and issuance of the Shares, (iii) the sale and delivery of the Shares to the Underwriters or purchasers procured by the Underwriters, or (iv) the resale and delivery of the Shares by the Underwriters in the manner contemplated herein.</w:t>
      </w:r>
    </w:p>
    <w:p>
      <w:pPr>
        <w:spacing w:after="0" w:line="84" w:lineRule="exact"/>
        <w:rPr>
          <w:rFonts w:ascii="Arial" w:cs="Arial" w:eastAsia="Arial" w:hAnsi="Arial"/>
          <w:sz w:val="18"/>
          <w:szCs w:val="18"/>
          <w:color w:val="auto"/>
        </w:rPr>
      </w:pPr>
    </w:p>
    <w:p>
      <w:pPr>
        <w:ind w:left="444" w:right="40" w:firstLine="419"/>
        <w:spacing w:after="0" w:line="259" w:lineRule="auto"/>
        <w:tabs>
          <w:tab w:leader="none" w:pos="112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sums payable by the Company to the Underwriters under this Agreement shall be paid free and clear of and without deductions or withholdings of any present or future taxes or duties, unless the deduction or withholding is required by law, in which case the Company shall pay such additional amount as will result in the receipt by each Underwriter of the full amount that would have been received had no deduction or withholding been made.</w:t>
      </w:r>
    </w:p>
    <w:p>
      <w:pPr>
        <w:spacing w:after="0" w:line="78" w:lineRule="exact"/>
        <w:rPr>
          <w:rFonts w:ascii="Arial" w:cs="Arial" w:eastAsia="Arial" w:hAnsi="Arial"/>
          <w:sz w:val="18"/>
          <w:szCs w:val="18"/>
          <w:color w:val="auto"/>
        </w:rPr>
      </w:pPr>
    </w:p>
    <w:p>
      <w:pPr>
        <w:ind w:left="444" w:firstLine="419"/>
        <w:spacing w:after="0" w:line="257" w:lineRule="auto"/>
        <w:tabs>
          <w:tab w:leader="none" w:pos="112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sums payable to an Underwriter shall be considered exclusive of any value added or similar taxes unless otherwise provided in this Agreement. Where the Company is obliged to pay value added or similar tax on any amount payable hereunder to an Underwriter, the Company shall in addition to the sum payable hereunder pay upon receipt of a proper value added tax invoice issued by the relevant Underwriter an amount equal to any applicable value added or similar tax to the extent the Company has not otherwise made such payment of value added or similar taxes directly.</w:t>
      </w:r>
    </w:p>
    <w:p>
      <w:pPr>
        <w:spacing w:after="0" w:line="188"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Company also covenants with each Underwriter that, without the prior written consent of the Representatives on behalf of the Underwriters, it will not, and will not publicly disclose an intention to,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w:t>
      </w:r>
    </w:p>
    <w:p>
      <w:pPr>
        <w:ind w:left="4" w:hanging="4"/>
        <w:spacing w:after="0" w:line="270" w:lineRule="auto"/>
        <w:tabs>
          <w:tab w:leader="none" w:pos="25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or (3) file any registration statement with the Commission relating to the offering of any Ordinary Shares or any securities convertible into or exercisable or exchangeable for Ordinary Shares.</w:t>
      </w:r>
    </w:p>
    <w:p>
      <w:pPr>
        <w:spacing w:after="0" w:line="178"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 xml:space="preserve">The restrictions contained in the preceding paragraph shall not apply to (A) the Shares to be sold hereunder, (B) the issuance by the Company of Ordinary Shares upon the exercise of an option, award, restricted stock unit or warrant or the conversion of a security outstanding on the date hereof as described in each of the Time of Sale Prospectus and Prospectus, (C) facilitating the establishment of a trading plan on behalf of a shareholder, officer or director of the Company pursuant to Rule 10b5-1 under the Exchange Act for the transfer of Ordinary Shares,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 such plan does not provide for the transfer of Ordinary Shares during the Restricted Period and (ii) to the</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282" w:name="page283"/>
    <w:bookmarkEnd w:id="28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extent a public announcement or filing under the Exchange Act, if any, is required of or voluntarily made by the Company regarding the establishment of such plan, such announcement or filing shall include a statement to the effect that no transfer of Ordinary Shares may be made under such plan during the Restricted Period, (D) the filing by the Company of any registration statement on Form S-8 (or any successor form) with the Commission, (E) sales of Ordinary Shares on behalf of the Company’s officers named in the Registration Statement to satisfy the withholding taxes payable upon the vesting, exercise or settlement of such officer’s equity awards pursuant to employee benefit plans described in the Time of Sale Prospectus or (F) the sale or issuance of or entry into an agreement to sell or issue Ordinary Shares or securities convertible into or exercisable for Ordinary Shares in connection with any (i) mergers, (ii) acquisition of securities, businesses, property, technologies or other assets, (iii) joint ventures, (iv) strategic alliances, commercial relationships or other collaborations, or (v) the assumption of employee benefit plans in connection with mergers or acquisitions;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the aggregate number of Ordinary Shares or securities convertible into or exercisable for Ordinary Shares (on an as-converted or as-exercised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case may be) that the Company may sell or issue or agree to sell or issue pursuant to this clause (F) shall not exceed 10% of the total number of Ordinary Shares immediately following the completion of the transactions contemplated by this Agreement (determined on a fully diluted basis and as adjusted for stock splits, stock dividends and other similar events after the date 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each recipient of Ordinary Shares or securities convertible into or exercisable for Ordinary Shares pursuant to this clause (F) shall, on or prior to such issuance, execute a lock-up agreement substantially in the form of Exhibit A hereto with respect to the remaining portion of the Restricted Period.</w:t>
      </w:r>
    </w:p>
    <w:p>
      <w:pPr>
        <w:spacing w:after="0" w:line="17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If the Representatives, in their sole discretion, agree to release or waive the restrictions on the transfer of Shares set forth in a lock-up agreement described in Section 5(j)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88" w:lineRule="exact"/>
        <w:rPr>
          <w:sz w:val="20"/>
          <w:szCs w:val="20"/>
          <w:color w:val="auto"/>
        </w:rPr>
      </w:pPr>
    </w:p>
    <w:p>
      <w:pPr>
        <w:ind w:right="380" w:firstLine="436"/>
        <w:spacing w:after="0" w:line="286" w:lineRule="auto"/>
        <w:tabs>
          <w:tab w:leader="none" w:pos="62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and not jointly, covenants with the Company not to take any action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65" w:lineRule="exact"/>
        <w:rPr>
          <w:rFonts w:ascii="Arial" w:cs="Arial" w:eastAsia="Arial" w:hAnsi="Arial"/>
          <w:sz w:val="17"/>
          <w:szCs w:val="17"/>
          <w:color w:val="auto"/>
        </w:rPr>
      </w:pPr>
    </w:p>
    <w:p>
      <w:pPr>
        <w:ind w:right="140" w:firstLine="436"/>
        <w:spacing w:after="0" w:line="275" w:lineRule="auto"/>
        <w:tabs>
          <w:tab w:leader="none" w:pos="62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each Underwriter, each person, if any, who controls any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83" w:name="page284"/>
    <w:bookmarkEnd w:id="283"/>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spacing w:after="0" w:line="58" w:lineRule="exact"/>
        <w:rPr>
          <w:sz w:val="20"/>
          <w:szCs w:val="20"/>
          <w:color w:val="auto"/>
        </w:rPr>
      </w:pPr>
    </w:p>
    <w:p>
      <w:pPr>
        <w:ind w:left="440" w:right="40" w:firstLine="419"/>
        <w:spacing w:after="0" w:line="270" w:lineRule="auto"/>
        <w:tabs>
          <w:tab w:leader="none" w:pos="111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or on their behalf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following: the concession figures appearing in the fourth paragraph under the caption “Underwriting,” the information relating to stabilizing transactions contained in the fourteenth paragraph under the caption “Underwriting” and the information regarding internet distribution appearing in the sixteenth paragraph under the caption “Underwriting.”</w:t>
      </w:r>
    </w:p>
    <w:p>
      <w:pPr>
        <w:spacing w:after="0" w:line="72" w:lineRule="exact"/>
        <w:rPr>
          <w:rFonts w:ascii="Arial" w:cs="Arial" w:eastAsia="Arial" w:hAnsi="Arial"/>
          <w:sz w:val="17"/>
          <w:szCs w:val="17"/>
          <w:color w:val="auto"/>
        </w:rPr>
      </w:pPr>
    </w:p>
    <w:p>
      <w:pPr>
        <w:ind w:left="440" w:firstLine="419"/>
        <w:spacing w:after="0" w:line="272" w:lineRule="auto"/>
        <w:tabs>
          <w:tab w:leader="none" w:pos="110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84" w:name="page285"/>
    <w:bookmarkEnd w:id="28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63" w:lineRule="exact"/>
        <w:rPr>
          <w:sz w:val="20"/>
          <w:szCs w:val="20"/>
          <w:color w:val="auto"/>
        </w:rPr>
      </w:pPr>
    </w:p>
    <w:p>
      <w:pPr>
        <w:ind w:right="20" w:firstLine="419"/>
        <w:spacing w:after="0" w:line="271" w:lineRule="auto"/>
        <w:tabs>
          <w:tab w:leader="none" w:pos="67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20"/>
          </w:cols>
          <w:pgMar w:left="880" w:top="274" w:right="499" w:bottom="1440" w:gutter="0" w:footer="0" w:header="0"/>
        </w:sectPr>
      </w:pPr>
    </w:p>
    <w:bookmarkStart w:id="285" w:name="page286"/>
    <w:bookmarkEnd w:id="285"/>
    <w:p>
      <w:pPr>
        <w:ind w:left="4"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73" w:lineRule="exact"/>
        <w:rPr>
          <w:sz w:val="20"/>
          <w:szCs w:val="20"/>
          <w:color w:val="auto"/>
        </w:rPr>
      </w:pPr>
    </w:p>
    <w:p>
      <w:pPr>
        <w:ind w:left="4" w:right="20" w:firstLine="419"/>
        <w:spacing w:after="0" w:line="287" w:lineRule="auto"/>
        <w:tabs>
          <w:tab w:leader="none" w:pos="67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63" w:lineRule="exact"/>
        <w:rPr>
          <w:rFonts w:ascii="Arial" w:cs="Arial" w:eastAsia="Arial" w:hAnsi="Arial"/>
          <w:sz w:val="16"/>
          <w:szCs w:val="16"/>
          <w:color w:val="auto"/>
        </w:rPr>
      </w:pPr>
    </w:p>
    <w:p>
      <w:pPr>
        <w:ind w:left="4" w:right="360" w:firstLine="419"/>
        <w:spacing w:after="0" w:line="291" w:lineRule="auto"/>
        <w:tabs>
          <w:tab w:leader="none" w:pos="65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 w:hanging="4"/>
        <w:spacing w:after="0" w:line="255" w:lineRule="auto"/>
        <w:tabs>
          <w:tab w:leader="none" w:pos="26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4"/>
          </w:cols>
          <w:pgMar w:left="876" w:top="274" w:right="459" w:bottom="1440" w:gutter="0" w:footer="0" w:header="0"/>
        </w:sectPr>
      </w:pPr>
    </w:p>
    <w:bookmarkStart w:id="286" w:name="page287"/>
    <w:bookmarkEnd w:id="286"/>
    <w:p>
      <w:pPr>
        <w:ind w:left="4" w:firstLine="436"/>
        <w:spacing w:after="0" w:line="284" w:lineRule="auto"/>
        <w:tabs>
          <w:tab w:leader="none" w:pos="624"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Directed Share Program Indemnification. </w:t>
      </w:r>
      <w:r>
        <w:rPr>
          <w:rFonts w:ascii="Arial" w:cs="Arial" w:eastAsia="Arial" w:hAnsi="Arial"/>
          <w:sz w:val="16"/>
          <w:szCs w:val="16"/>
          <w:color w:val="auto"/>
        </w:rPr>
        <w:t>(a) The Company agrees to indemnify and hold harmless Morgan Stanley, each person, if any, who</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Morgan Stanley within the meaning of either Section 15 of the Securities Act or Section 20 of the Exchange Act and each affiliate of Morgan Stanley within the meaning of Rule 405 of the Securities Act (“</w:t>
      </w:r>
      <w:r>
        <w:rPr>
          <w:rFonts w:ascii="Arial" w:cs="Arial" w:eastAsia="Arial" w:hAnsi="Arial"/>
          <w:sz w:val="16"/>
          <w:szCs w:val="16"/>
          <w:b w:val="1"/>
          <w:bCs w:val="1"/>
          <w:color w:val="auto"/>
        </w:rPr>
        <w:t>Morgan Stanley Entities</w:t>
      </w:r>
      <w:r>
        <w:rPr>
          <w:rFonts w:ascii="Arial" w:cs="Arial" w:eastAsia="Arial" w:hAnsi="Arial"/>
          <w:sz w:val="16"/>
          <w:szCs w:val="16"/>
          <w:color w:val="auto"/>
        </w:rPr>
        <w:t>”) from and against any and all losses, claims, damages and liabilities (including, without limitation, any legal or other expenses reasonably incurred in connection with defending or investigating any such action or claim) (i) that arise out of, or are based upon, any untrue statement or alleged untrue statement of a material fact contained in any material prepared by or with the consent of the Company for distribution to Participants in connection with the Directed Share Program or arise out of, or are based upon, any omission or alleged omission to state therein a material fact required to be stated therein or necessary to make the statements therein not misleading;</w:t>
      </w:r>
    </w:p>
    <w:p>
      <w:pPr>
        <w:spacing w:after="0" w:line="2" w:lineRule="exact"/>
        <w:rPr>
          <w:rFonts w:ascii="Arial" w:cs="Arial" w:eastAsia="Arial" w:hAnsi="Arial"/>
          <w:sz w:val="16"/>
          <w:szCs w:val="16"/>
          <w:color w:val="auto"/>
        </w:rPr>
      </w:pPr>
    </w:p>
    <w:p>
      <w:pPr>
        <w:ind w:left="4" w:right="380" w:hanging="4"/>
        <w:spacing w:after="0" w:line="302" w:lineRule="auto"/>
        <w:tabs>
          <w:tab w:leader="none" w:pos="26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that arise out of, or are based upon,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w:t>
      </w:r>
    </w:p>
    <w:p>
      <w:pPr>
        <w:spacing w:after="0" w:line="47" w:lineRule="exact"/>
        <w:rPr>
          <w:rFonts w:ascii="Arial" w:cs="Arial" w:eastAsia="Arial" w:hAnsi="Arial"/>
          <w:sz w:val="16"/>
          <w:szCs w:val="16"/>
          <w:color w:val="auto"/>
        </w:rPr>
      </w:pPr>
    </w:p>
    <w:p>
      <w:pPr>
        <w:ind w:left="444" w:firstLine="419"/>
        <w:spacing w:after="0" w:line="285" w:lineRule="auto"/>
        <w:tabs>
          <w:tab w:leader="none" w:pos="1122" w:val="left"/>
        </w:tabs>
        <w:numPr>
          <w:ilvl w:val="2"/>
          <w:numId w:val="192"/>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Morgan Stanley Entity in respect of which indemnity may be sought pursuant to Section 9(a),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 (i) 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4"/>
          </w:cols>
          <w:pgMar w:left="436" w:top="274" w:right="499" w:bottom="1440" w:gutter="0" w:footer="0" w:header="0"/>
        </w:sectPr>
      </w:pPr>
    </w:p>
    <w:bookmarkStart w:id="287" w:name="page288"/>
    <w:bookmarkEnd w:id="28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effected without its written consent if (i) such settlement is entered into more than 30 days after receipt by the Company of the aforesaid request and (ii) the Company shall not have reimbursed the Morgan Stanley Entity in accordance with such request prior to the date of such settlement.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84" w:lineRule="exact"/>
        <w:rPr>
          <w:sz w:val="20"/>
          <w:szCs w:val="20"/>
          <w:color w:val="auto"/>
        </w:rPr>
      </w:pPr>
    </w:p>
    <w:p>
      <w:pPr>
        <w:ind w:firstLine="419"/>
        <w:spacing w:after="0" w:line="285" w:lineRule="auto"/>
        <w:tabs>
          <w:tab w:leader="none" w:pos="66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9(a)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9(c)(i) above is not permitted by applicable law, in such proportion as is appropriate to reflect not only the relative benefits referred to in clause 9(c)(i)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68" w:lineRule="exact"/>
        <w:rPr>
          <w:rFonts w:ascii="Arial" w:cs="Arial" w:eastAsia="Arial" w:hAnsi="Arial"/>
          <w:sz w:val="16"/>
          <w:szCs w:val="16"/>
          <w:color w:val="auto"/>
        </w:rPr>
      </w:pPr>
    </w:p>
    <w:p>
      <w:pPr>
        <w:ind w:firstLine="419"/>
        <w:spacing w:after="0" w:line="301" w:lineRule="auto"/>
        <w:tabs>
          <w:tab w:leader="none" w:pos="67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Company and the Morgan Stanley Entities agree that it would not be just or equitable if contribution pursuant to this Section 9 were determined by pro rata allocation (even if the Morgan Stanley Entities were treated as one entity for such purpose) or by any other method of allocation that does not take account of the equitable considerations referred to in Section 9(c). The amount paid or payable by the Morgan Stanley Entities as a result of the losses, claims, damages and liabilities referred to in the immediately preceding paragraph shall</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60"/>
          </w:cols>
          <w:pgMar w:left="880" w:top="274" w:right="459" w:bottom="1440" w:gutter="0" w:footer="0" w:header="0"/>
        </w:sectPr>
      </w:pPr>
    </w:p>
    <w:bookmarkStart w:id="288" w:name="page289"/>
    <w:bookmarkEnd w:id="288"/>
    <w:p>
      <w:pPr>
        <w:ind w:left="44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deemed to include, subject to the limitations set forth above, any legal or other expenses reasonably incurred by the Morgan Stanley Entities in connection with investigating or defending any such action or claim. Notwithstanding the provisions of this Section 9, no Morgan Stanley Entity shall be required to contribute any amount in excess of the amount by which the total price at which the Directed Shares distributed to the public were offered to the public exceeds the amount of any damages that such Morgan Stanley Entity has otherwise been required to pay. The remedies provided for in this Section 9 are not exclusive and shall not limit any rights or remedies which may otherwise be available to any indemnified party at law or in equity.</w:t>
      </w:r>
    </w:p>
    <w:p>
      <w:pPr>
        <w:spacing w:after="0" w:line="84" w:lineRule="exact"/>
        <w:rPr>
          <w:sz w:val="20"/>
          <w:szCs w:val="20"/>
          <w:color w:val="auto"/>
        </w:rPr>
      </w:pPr>
    </w:p>
    <w:p>
      <w:pPr>
        <w:ind w:left="1104" w:hanging="241"/>
        <w:spacing w:after="0"/>
        <w:tabs>
          <w:tab w:leader="none" w:pos="110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9 shall remain operative and in full force and effect regardless of</w:t>
      </w:r>
    </w:p>
    <w:p>
      <w:pPr>
        <w:spacing w:after="0" w:line="46" w:lineRule="exact"/>
        <w:rPr>
          <w:rFonts w:ascii="Arial" w:cs="Arial" w:eastAsia="Arial" w:hAnsi="Arial"/>
          <w:sz w:val="16"/>
          <w:szCs w:val="16"/>
          <w:color w:val="auto"/>
        </w:rPr>
      </w:pPr>
    </w:p>
    <w:p>
      <w:pPr>
        <w:ind w:left="444" w:right="260" w:hanging="4"/>
        <w:spacing w:after="0" w:line="290" w:lineRule="auto"/>
        <w:tabs>
          <w:tab w:leader="none" w:pos="65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any termination of this Agreement, (ii) any investigation made by or on behalf of any Morgan Stanley Entity or the Company, its officers or directors or any person controlling the Company and (iii) acceptance of and payment for any of the Directed Shares.</w:t>
      </w:r>
    </w:p>
    <w:p>
      <w:pPr>
        <w:spacing w:after="0" w:line="161" w:lineRule="exact"/>
        <w:rPr>
          <w:sz w:val="20"/>
          <w:szCs w:val="20"/>
          <w:color w:val="auto"/>
        </w:rPr>
      </w:pPr>
    </w:p>
    <w:p>
      <w:pPr>
        <w:ind w:left="4" w:right="40" w:firstLine="436"/>
        <w:spacing w:after="0" w:line="284" w:lineRule="auto"/>
        <w:tabs>
          <w:tab w:leader="none" w:pos="714" w:val="left"/>
        </w:tabs>
        <w:numPr>
          <w:ilvl w:val="1"/>
          <w:numId w:val="196"/>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delivery of this Agreement and prior to or on the Closing Date or any Option Closing Date, as the case may be, (i) trading generally shall have been suspended or materially limited on, or by, as the case may be, any of the New York Stock Exchange, the NYSE American and the NASDAQ Global Market, (ii) trading of any securities of the Company shall have been suspended on any exchange or in any over-the-counter market, (iii) a material disruption in securities settlement, payment or clearance services in the United States or the Netherlands shall have occurred, (iv) any moratorium on commercial banking activities shall have been declared by Federal, New York State, in the Netherlands or relevant foreign country authorities or</w:t>
      </w:r>
    </w:p>
    <w:p>
      <w:pPr>
        <w:spacing w:after="0" w:line="4" w:lineRule="exact"/>
        <w:rPr>
          <w:rFonts w:ascii="Arial" w:cs="Arial" w:eastAsia="Arial" w:hAnsi="Arial"/>
          <w:sz w:val="16"/>
          <w:szCs w:val="16"/>
          <w:color w:val="auto"/>
        </w:rPr>
      </w:pPr>
    </w:p>
    <w:p>
      <w:pPr>
        <w:ind w:left="4" w:right="520" w:hanging="4"/>
        <w:spacing w:after="0" w:line="253" w:lineRule="auto"/>
        <w:tabs>
          <w:tab w:leader="none" w:pos="25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92" w:lineRule="exact"/>
        <w:rPr>
          <w:rFonts w:ascii="Arial" w:cs="Arial" w:eastAsia="Arial" w:hAnsi="Arial"/>
          <w:sz w:val="18"/>
          <w:szCs w:val="18"/>
          <w:color w:val="auto"/>
        </w:rPr>
      </w:pPr>
    </w:p>
    <w:p>
      <w:pPr>
        <w:ind w:left="704" w:hanging="264"/>
        <w:spacing w:after="0"/>
        <w:tabs>
          <w:tab w:leader="none" w:pos="704" w:val="left"/>
        </w:tabs>
        <w:numPr>
          <w:ilvl w:val="1"/>
          <w:numId w:val="197"/>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4"/>
          </w:cols>
          <w:pgMar w:left="436" w:top="274" w:right="479" w:bottom="1440" w:gutter="0" w:footer="0" w:header="0"/>
        </w:sectPr>
      </w:pPr>
    </w:p>
    <w:bookmarkStart w:id="289" w:name="page290"/>
    <w:bookmarkEnd w:id="28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6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the occurrence of any of the events described in clauses (i), (iii), (iv) or (v) of Section 10), the Company will reimburse the Underwriters or such Underwriters as have so terminated this Agreement with respect to themselves, severally, for all reasonable and documented out-of-pocket expenses (including the fees and disbursements of their counsel) reasonably incurred by such Underwriters in connection with this Agreement or the offering contemplated hereunder.</w:t>
      </w:r>
    </w:p>
    <w:p>
      <w:pPr>
        <w:spacing w:after="0" w:line="178" w:lineRule="exact"/>
        <w:rPr>
          <w:sz w:val="20"/>
          <w:szCs w:val="20"/>
          <w:color w:val="auto"/>
        </w:rPr>
      </w:pPr>
    </w:p>
    <w:p>
      <w:pPr>
        <w:ind w:right="40" w:firstLine="436"/>
        <w:spacing w:after="0" w:line="259" w:lineRule="auto"/>
        <w:tabs>
          <w:tab w:leader="none" w:pos="71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90" w:name="page291"/>
    <w:bookmarkEnd w:id="290"/>
    <w:p>
      <w:pPr>
        <w:ind w:left="440" w:right="160" w:firstLine="419"/>
        <w:spacing w:after="0" w:line="291" w:lineRule="auto"/>
        <w:tabs>
          <w:tab w:leader="none" w:pos="1118" w:val="left"/>
        </w:tabs>
        <w:numPr>
          <w:ilvl w:val="1"/>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166" w:lineRule="exact"/>
        <w:rPr>
          <w:rFonts w:ascii="Arial" w:cs="Arial" w:eastAsia="Arial" w:hAnsi="Arial"/>
          <w:sz w:val="16"/>
          <w:szCs w:val="16"/>
          <w:color w:val="auto"/>
        </w:rPr>
      </w:pPr>
    </w:p>
    <w:p>
      <w:pPr>
        <w:ind w:right="80" w:firstLine="436"/>
        <w:spacing w:after="0" w:line="279" w:lineRule="auto"/>
        <w:tabs>
          <w:tab w:leader="none" w:pos="710"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63" w:lineRule="exact"/>
        <w:rPr>
          <w:rFonts w:ascii="Arial" w:cs="Arial" w:eastAsia="Arial" w:hAnsi="Arial"/>
          <w:sz w:val="17"/>
          <w:szCs w:val="17"/>
          <w:color w:val="auto"/>
        </w:rPr>
      </w:pPr>
    </w:p>
    <w:p>
      <w:pPr>
        <w:ind w:left="440" w:right="20" w:firstLine="419"/>
        <w:spacing w:after="0" w:line="259" w:lineRule="auto"/>
        <w:tabs>
          <w:tab w:leader="none" w:pos="111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jc w:val="both"/>
        <w:ind w:right="160" w:firstLine="436"/>
        <w:spacing w:after="0" w:line="259" w:lineRule="auto"/>
        <w:tabs>
          <w:tab w:leader="none" w:pos="71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which may be delivered via facsimile, electronic mail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electronic signature covered by the U.S. federal ESIGN Act of 2000, Uniform Electronic Transactions Act, the Electronic Signatures and Records Act or other applicable law, e.g., www.docusign.com), each of which shall be an original, with the same effect as if the signatures thereto and hereto were upon the same instrument.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291" w:name="page292"/>
    <w:bookmarkEnd w:id="291"/>
    <w:p>
      <w:pPr>
        <w:ind w:left="700" w:hanging="264"/>
        <w:spacing w:after="0"/>
        <w:tabs>
          <w:tab w:leader="none" w:pos="700"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40" w:firstLine="436"/>
        <w:spacing w:after="0" w:line="277" w:lineRule="auto"/>
        <w:tabs>
          <w:tab w:leader="none" w:pos="710"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70" w:lineRule="exact"/>
        <w:rPr>
          <w:rFonts w:ascii="Arial" w:cs="Arial" w:eastAsia="Arial" w:hAnsi="Arial"/>
          <w:sz w:val="18"/>
          <w:szCs w:val="18"/>
          <w:color w:val="auto"/>
        </w:rPr>
      </w:pPr>
    </w:p>
    <w:p>
      <w:pPr>
        <w:ind w:firstLine="436"/>
        <w:spacing w:after="0" w:line="293" w:lineRule="auto"/>
        <w:tabs>
          <w:tab w:leader="none" w:pos="710"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and if to the Underwriters shall be delivered, mailed</w:t>
      </w:r>
      <w:r>
        <w:rPr>
          <w:rFonts w:ascii="Arial" w:cs="Arial" w:eastAsia="Arial" w:hAnsi="Arial"/>
          <w:sz w:val="16"/>
          <w:szCs w:val="16"/>
          <w:i w:val="1"/>
          <w:iCs w:val="1"/>
          <w:color w:val="auto"/>
        </w:rPr>
        <w:t xml:space="preserve"> </w:t>
      </w:r>
      <w:r>
        <w:rPr>
          <w:rFonts w:ascii="Arial" w:cs="Arial" w:eastAsia="Arial" w:hAnsi="Arial"/>
          <w:sz w:val="16"/>
          <w:szCs w:val="16"/>
          <w:color w:val="auto"/>
        </w:rPr>
        <w:t>or sent to (i) Morgan Stanley &amp; Co. LLC, 1585 Broadway, 29</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10036, Attention: Equity Syndicate Desk, with a copy to the Legal Department, (ii) BofA Securities, Inc., One Bryant Park, New York, New York 10036, Attention: High Grade Debt Capital Market Transaction Management/Legal, Facsimile: (212) 901-7881 and (iii) SVB Leerink LLC, 1301 Avenue of the Americas, 12th Floor, New York, New York 10019, Attention: Stuart R. Nayman, Facsimile: (646) 499-7051; and if to the Company shall be delivered, mailed or sent to J.H. Oortweg 21, 2333 CH Leiden, the Netherlands, with a copy to Kirkland &amp; Ellis LLP, 601 Lexington Avenue, New York, New York 10022, Attention: Sophia Hudson, P.C.</w:t>
      </w:r>
    </w:p>
    <w:p>
      <w:pPr>
        <w:spacing w:after="0" w:line="164" w:lineRule="exact"/>
        <w:rPr>
          <w:rFonts w:ascii="Arial" w:cs="Arial" w:eastAsia="Arial" w:hAnsi="Arial"/>
          <w:sz w:val="16"/>
          <w:szCs w:val="16"/>
          <w:color w:val="auto"/>
        </w:rPr>
      </w:pPr>
    </w:p>
    <w:p>
      <w:pPr>
        <w:ind w:right="60" w:firstLine="436"/>
        <w:spacing w:after="0" w:line="271" w:lineRule="auto"/>
        <w:tabs>
          <w:tab w:leader="none" w:pos="710"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Submission to Jurisdiction; Appointment of Agents for Service</w:t>
      </w:r>
      <w:r>
        <w:rPr>
          <w:rFonts w:ascii="Arial" w:cs="Arial" w:eastAsia="Arial" w:hAnsi="Arial"/>
          <w:sz w:val="17"/>
          <w:szCs w:val="17"/>
          <w:color w:val="auto"/>
        </w:rPr>
        <w:t>. (a) The Company irrevocably submits to the non-exclusive jurisdiction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State or United States Federal court sitting in The City of New York (the “</w:t>
      </w:r>
      <w:r>
        <w:rPr>
          <w:rFonts w:ascii="Arial" w:cs="Arial" w:eastAsia="Arial" w:hAnsi="Arial"/>
          <w:sz w:val="17"/>
          <w:szCs w:val="17"/>
          <w:b w:val="1"/>
          <w:bCs w:val="1"/>
          <w:color w:val="auto"/>
        </w:rPr>
        <w:t>Specified Courts</w:t>
      </w:r>
      <w:r>
        <w:rPr>
          <w:rFonts w:ascii="Arial" w:cs="Arial" w:eastAsia="Arial" w:hAnsi="Arial"/>
          <w:sz w:val="17"/>
          <w:szCs w:val="17"/>
          <w:color w:val="auto"/>
        </w:rPr>
        <w:t>”) over any suit, action or proceeding arising out of or relating to this Agreement, the Time of Sale Prospectus, the Prospectus, the Registration Statement or the offering of the Shares (each, a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Proceeding</w:t>
      </w:r>
      <w:r>
        <w:rPr>
          <w:rFonts w:ascii="Arial" w:cs="Arial" w:eastAsia="Arial" w:hAnsi="Arial"/>
          <w:sz w:val="17"/>
          <w:szCs w:val="17"/>
          <w:color w:val="auto"/>
        </w:rPr>
        <w:t>”). The Company irrevocably waives, to the fullest extent permitted by law, any objection which it may now or hereafter have to the laying</w:t>
      </w:r>
      <w:r>
        <w:rPr>
          <w:rFonts w:ascii="Arial" w:cs="Arial" w:eastAsia="Arial" w:hAnsi="Arial"/>
          <w:sz w:val="17"/>
          <w:szCs w:val="17"/>
          <w:b w:val="1"/>
          <w:bCs w:val="1"/>
          <w:color w:val="auto"/>
        </w:rPr>
        <w:t xml:space="preserve"> </w:t>
      </w:r>
      <w:r>
        <w:rPr>
          <w:rFonts w:ascii="Arial" w:cs="Arial" w:eastAsia="Arial" w:hAnsi="Arial"/>
          <w:sz w:val="17"/>
          <w:szCs w:val="17"/>
          <w:color w:val="auto"/>
        </w:rPr>
        <w:t>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70" w:lineRule="exact"/>
        <w:rPr>
          <w:rFonts w:ascii="Arial" w:cs="Arial" w:eastAsia="Arial" w:hAnsi="Arial"/>
          <w:sz w:val="17"/>
          <w:szCs w:val="17"/>
          <w:color w:val="auto"/>
        </w:rPr>
      </w:pPr>
    </w:p>
    <w:p>
      <w:pPr>
        <w:ind w:left="440" w:right="60" w:firstLine="419"/>
        <w:spacing w:after="0" w:line="255" w:lineRule="auto"/>
        <w:tabs>
          <w:tab w:leader="none" w:pos="111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Company hereby irrevocably appoints Morgan Conn, with offices at PO Box 121, Buckingham, PA 18912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92" w:name="page293"/>
    <w:bookmarkEnd w:id="292"/>
    <w:p>
      <w:pPr>
        <w:ind w:firstLine="436"/>
        <w:spacing w:after="0" w:line="269" w:lineRule="auto"/>
        <w:tabs>
          <w:tab w:leader="none" w:pos="710" w:val="left"/>
        </w:tabs>
        <w:numPr>
          <w:ilvl w:val="0"/>
          <w:numId w:val="2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Judgment Currency.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293" w:name="page294"/>
    <w:bookmarkEnd w:id="293"/>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PHARVARIS B.V.</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Underwriters named in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SVB Leerink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320" w:type="dxa"/>
            <w:vAlign w:val="bottom"/>
            <w:gridSpan w:val="3"/>
          </w:tcPr>
          <w:p>
            <w:pPr>
              <w:jc w:val="center"/>
              <w:ind w:left="611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Number of Firm</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920" w:type="dxa"/>
            <w:vAlign w:val="bottom"/>
            <w:vMerge w:val="restart"/>
          </w:tcPr>
          <w:p>
            <w:pPr>
              <w:spacing w:after="0"/>
              <w:rPr>
                <w:sz w:val="12"/>
                <w:szCs w:val="12"/>
                <w:color w:val="auto"/>
              </w:rPr>
            </w:pPr>
          </w:p>
        </w:tc>
        <w:tc>
          <w:tcPr>
            <w:tcW w:w="624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 To Be</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6240" w:type="dxa"/>
            <w:vAlign w:val="bottom"/>
          </w:tcPr>
          <w:p>
            <w:pPr>
              <w:spacing w:after="0"/>
              <w:rPr>
                <w:sz w:val="15"/>
                <w:szCs w:val="15"/>
                <w:color w:val="auto"/>
              </w:rPr>
            </w:pPr>
          </w:p>
        </w:tc>
        <w:tc>
          <w:tcPr>
            <w:tcW w:w="10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6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6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6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Kempen &amp; Co U.S.A, Inc.</w:t>
            </w:r>
          </w:p>
        </w:tc>
        <w:tc>
          <w:tcPr>
            <w:tcW w:w="6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6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320" w:type="dxa"/>
            <w:vAlign w:val="bottom"/>
            <w:gridSpan w:val="3"/>
          </w:tcPr>
          <w:p>
            <w:pPr>
              <w:ind w:left="170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Preliminary Prospectus issued [•], 2021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Pricing Information:</w:t>
      </w:r>
    </w:p>
    <w:p>
      <w:pPr>
        <w:spacing w:after="0" w:line="131" w:lineRule="exact"/>
        <w:rPr>
          <w:sz w:val="20"/>
          <w:szCs w:val="20"/>
          <w:color w:val="auto"/>
        </w:rPr>
      </w:pPr>
    </w:p>
    <w:p>
      <w:pPr>
        <w:ind w:left="824"/>
        <w:spacing w:after="0"/>
        <w:tabs>
          <w:tab w:leader="none" w:pos="3524" w:val="left"/>
        </w:tabs>
        <w:rPr>
          <w:sz w:val="20"/>
          <w:szCs w:val="20"/>
          <w:color w:val="auto"/>
        </w:rPr>
      </w:pPr>
      <w:r>
        <w:rPr>
          <w:rFonts w:ascii="Arial" w:cs="Arial" w:eastAsia="Arial" w:hAnsi="Arial"/>
          <w:sz w:val="18"/>
          <w:szCs w:val="18"/>
          <w:color w:val="auto"/>
        </w:rPr>
        <w:t>Firm Shares:</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824"/>
        <w:spacing w:after="0"/>
        <w:tabs>
          <w:tab w:leader="none" w:pos="3524" w:val="left"/>
        </w:tabs>
        <w:rPr>
          <w:sz w:val="20"/>
          <w:szCs w:val="20"/>
          <w:color w:val="auto"/>
        </w:rPr>
      </w:pPr>
      <w:r>
        <w:rPr>
          <w:rFonts w:ascii="Arial" w:cs="Arial" w:eastAsia="Arial" w:hAnsi="Arial"/>
          <w:sz w:val="18"/>
          <w:szCs w:val="18"/>
          <w:color w:val="auto"/>
        </w:rPr>
        <w:t>Additional Shares:</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824"/>
        <w:spacing w:after="0"/>
        <w:tabs>
          <w:tab w:leader="none" w:pos="3524" w:val="left"/>
        </w:tabs>
        <w:rPr>
          <w:sz w:val="20"/>
          <w:szCs w:val="20"/>
          <w:color w:val="auto"/>
        </w:rPr>
      </w:pPr>
      <w:r>
        <w:rPr>
          <w:rFonts w:ascii="Arial" w:cs="Arial" w:eastAsia="Arial" w:hAnsi="Arial"/>
          <w:sz w:val="18"/>
          <w:szCs w:val="18"/>
          <w:color w:val="auto"/>
        </w:rPr>
        <w:t>Public Offering Price:</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364" w:right="2800" w:hanging="5364"/>
        <w:spacing w:after="0" w:line="449" w:lineRule="auto"/>
        <w:tabs>
          <w:tab w:leader="none" w:pos="42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free writing prospectuses filed by the Company under Rule 433(d) of the Securities Act to be included] II-1</w:t>
      </w:r>
    </w:p>
    <w:p>
      <w:pPr>
        <w:sectPr>
          <w:pgSz w:w="11900" w:h="16838" w:orient="portrait"/>
          <w:cols w:equalWidth="0" w:num="1">
            <w:col w:w="11024"/>
          </w:cols>
          <w:pgMar w:left="436" w:top="270" w:right="4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Pharvaris B.V. TTW Presentation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020"/>
          </w:cols>
          <w:pgMar w:left="440" w:top="270" w:right="4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jc w:val="center"/>
        <w:ind w:right="9260"/>
        <w:spacing w:after="0"/>
        <w:rPr>
          <w:sz w:val="20"/>
          <w:szCs w:val="20"/>
          <w:color w:val="auto"/>
        </w:rPr>
      </w:pPr>
      <w:r>
        <w:rPr>
          <w:rFonts w:ascii="Arial" w:cs="Arial" w:eastAsia="Arial" w:hAnsi="Arial"/>
          <w:sz w:val="16"/>
          <w:szCs w:val="16"/>
          <w:color w:val="auto"/>
        </w:rPr>
        <w:t>c/o BofA Securities, Inc.</w:t>
      </w:r>
    </w:p>
    <w:p>
      <w:pPr>
        <w:spacing w:after="0" w:line="46" w:lineRule="exact"/>
        <w:rPr>
          <w:sz w:val="20"/>
          <w:szCs w:val="20"/>
          <w:color w:val="auto"/>
        </w:rPr>
      </w:pPr>
    </w:p>
    <w:p>
      <w:pPr>
        <w:jc w:val="center"/>
        <w:ind w:right="928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SVB Leerink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understands that Morgan Stanley &amp; Co. LLC, BofA Securities, Inc. and SVB Leerink LLC (the “</w:t>
      </w:r>
      <w:r>
        <w:rPr>
          <w:rFonts w:ascii="Arial" w:cs="Arial" w:eastAsia="Arial" w:hAnsi="Arial"/>
          <w:sz w:val="16"/>
          <w:szCs w:val="16"/>
          <w:b w:val="1"/>
          <w:bCs w:val="1"/>
          <w:color w:val="auto"/>
        </w:rPr>
        <w:t>Representatives</w:t>
      </w:r>
      <w:r>
        <w:rPr>
          <w:rFonts w:ascii="Arial" w:cs="Arial" w:eastAsia="Arial" w:hAnsi="Arial"/>
          <w:sz w:val="16"/>
          <w:szCs w:val="16"/>
          <w:color w:val="auto"/>
        </w:rPr>
        <w:t>”) propose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Pharvaris B.V., a Netherlands private company with limited liability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the Representatives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Underwriters</w:t>
      </w:r>
      <w:r>
        <w:rPr>
          <w:rFonts w:ascii="Arial" w:cs="Arial" w:eastAsia="Arial" w:hAnsi="Arial"/>
          <w:sz w:val="17"/>
          <w:szCs w:val="17"/>
          <w:color w:val="auto"/>
        </w:rPr>
        <w:t>”), of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ordinary shares, $0.01 par value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understanding that in connection with the closing of the Public Offering the Company will convert (the “</w:t>
      </w:r>
      <w:r>
        <w:rPr>
          <w:rFonts w:ascii="Arial" w:cs="Arial" w:eastAsia="Arial" w:hAnsi="Arial"/>
          <w:sz w:val="17"/>
          <w:szCs w:val="17"/>
          <w:b w:val="1"/>
          <w:bCs w:val="1"/>
          <w:color w:val="auto"/>
        </w:rPr>
        <w:t>Conversion</w:t>
      </w:r>
      <w:r>
        <w:rPr>
          <w:rFonts w:ascii="Arial" w:cs="Arial" w:eastAsia="Arial" w:hAnsi="Arial"/>
          <w:sz w:val="17"/>
          <w:szCs w:val="17"/>
          <w:color w:val="auto"/>
        </w:rPr>
        <w:t>”) into Pharvaris N.V., a public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limited company (the “</w:t>
      </w:r>
      <w:r>
        <w:rPr>
          <w:rFonts w:ascii="Arial" w:cs="Arial" w:eastAsia="Arial" w:hAnsi="Arial"/>
          <w:sz w:val="16"/>
          <w:szCs w:val="16"/>
          <w:b w:val="1"/>
          <w:bCs w:val="1"/>
          <w:color w:val="auto"/>
        </w:rPr>
        <w:t>Public Company</w:t>
      </w:r>
      <w:r>
        <w:rPr>
          <w:rFonts w:ascii="Arial" w:cs="Arial" w:eastAsia="Arial" w:hAnsi="Arial"/>
          <w:sz w:val="16"/>
          <w:szCs w:val="16"/>
          <w:color w:val="auto"/>
        </w:rPr>
        <w:t xml:space="preserve">”), with ordinary shares of €0.12 par value per share (the </w:t>
      </w:r>
      <w:r>
        <w:rPr>
          <w:rFonts w:ascii="Arial" w:cs="Arial" w:eastAsia="Arial" w:hAnsi="Arial"/>
          <w:sz w:val="16"/>
          <w:szCs w:val="16"/>
          <w:b w:val="1"/>
          <w:bCs w:val="1"/>
          <w:color w:val="auto"/>
        </w:rPr>
        <w:t>“Public Common Stock</w:t>
      </w:r>
      <w:r>
        <w:rPr>
          <w:rFonts w:ascii="Arial" w:cs="Arial" w:eastAsia="Arial" w:hAnsi="Arial"/>
          <w:sz w:val="16"/>
          <w:szCs w:val="16"/>
          <w:color w:val="auto"/>
        </w:rPr>
        <w:t>”). All references herein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the Common Stock shall be deemed to respectively refer to the Public Company and the Public Common Stock following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Conversion.</w:t>
      </w:r>
    </w:p>
    <w:p>
      <w:pPr>
        <w:spacing w:after="0" w:line="211"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and will not publicly disclose an intention to, during the period commencing on the date hereof and ending 180 days after the date of the final prospectus (the “</w:t>
      </w:r>
      <w:r>
        <w:rPr>
          <w:rFonts w:ascii="Arial" w:cs="Arial" w:eastAsia="Arial" w:hAnsi="Arial"/>
          <w:sz w:val="16"/>
          <w:szCs w:val="16"/>
          <w:b w:val="1"/>
          <w:bCs w:val="1"/>
          <w:color w:val="auto"/>
        </w:rPr>
        <w:t>Restricted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298" w:name="page299"/>
    <w:bookmarkEnd w:id="298"/>
    <w:p>
      <w:pPr>
        <w:ind w:left="4" w:right="8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the registration of the offer and sale of shares of Common Stock pursuant to the Underwriting Agreement,</w:t>
      </w:r>
    </w:p>
    <w:p>
      <w:pPr>
        <w:spacing w:after="0" w:line="1" w:lineRule="exact"/>
        <w:rPr>
          <w:sz w:val="20"/>
          <w:szCs w:val="20"/>
          <w:color w:val="auto"/>
        </w:rPr>
      </w:pPr>
    </w:p>
    <w:p>
      <w:pPr>
        <w:ind w:left="4" w:right="340" w:hanging="4"/>
        <w:spacing w:after="0" w:line="281" w:lineRule="auto"/>
        <w:tabs>
          <w:tab w:leader="none" w:pos="28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transactions relating to shares of Common Stock or other securities acquired in the Public Offering (other than any issuer-directed Shares the undersigned may purchase in the Public Offering), in a private placement from the Company consummated concurrently with the completion of the Public Offering or open market transactions after the completion of the Public Offering, (C) transfers of shares of Common Stock or any security convertible into Common Stock as a bona fide gift or gifts or by will, testamentary document or intestate succession, (D) distributions of shares of Common Stock or any security convertible into Common Stock to limited partners, members, trust beneficiaries or stockholders of the undersigned,</w:t>
      </w:r>
    </w:p>
    <w:p>
      <w:pPr>
        <w:spacing w:after="0" w:line="2" w:lineRule="exact"/>
        <w:rPr>
          <w:rFonts w:ascii="Arial" w:cs="Arial" w:eastAsia="Arial" w:hAnsi="Arial"/>
          <w:sz w:val="16"/>
          <w:szCs w:val="16"/>
          <w:color w:val="auto"/>
        </w:rPr>
      </w:pPr>
    </w:p>
    <w:p>
      <w:pPr>
        <w:ind w:left="4" w:hanging="4"/>
        <w:spacing w:after="0" w:line="284" w:lineRule="auto"/>
        <w:tabs>
          <w:tab w:leader="none" w:pos="27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if the undersigned is a corporation, partnership, limited liability company, trust or other business entity, to any direct or indirect affiliate (as defined in Rule 405 promulgated under the Securities Act of 1933, as amended) of the undersigned or any investment fund or other entity controlled or managed by, or under common control or management with, the undersigned or any investment fund or other entity that controls the undersigned, (F) solely by operation of law, pursuant to a qualified domestic order or in connection with a divorce settlement, (G) to any trust for the direct or indirect benefit of the undersigned or the immediate family of the undersigned (for purposes of this agreement “immediate family” shall mean any relationship by blood, marriage or adoption, not more remote than first cousin), provided that any such transfer shall not involve a disposition for value, (H) facilitating the establishment of a trading plan on behalf of a shareholder, officer or director of the Company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the transfer of Common Stock during the Restricted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(I) transfers to the Company of shares of Common Stock or any security convertible into shares of Common Stock in connection with the “net” or “cashless” exercise of options or warrants or the vesting, exercise or settlement of any other equity-based award during the Restricted Period, in each case, granted pursuant to the Company’s equity incentive plans described in the Prospectus, including any shares of Common Stock withheld by the Company or any of its subsidiaries to pay the applicable exercise price or tax withholding associated with such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 the restrictions contained in this agreement shall apply to</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4"/>
          </w:cols>
          <w:pgMar w:left="436" w:top="270" w:right="479" w:bottom="1440" w:gutter="0" w:footer="0" w:header="0"/>
        </w:sectPr>
      </w:pPr>
    </w:p>
    <w:bookmarkStart w:id="299" w:name="page300"/>
    <w:bookmarkEnd w:id="29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shares of Common Stock issued upon such exercise, conversion, vesting or settlement and (ii) for any options or other awards that expire, vest or become settled during the Restricted Period while the Company is unable to transfer shares for purposes of satisfying any tax or other governmental withholding obligations, the restrictions contained in this agreement shall not apply to shares sold or otherwise withheld for that purpose, (J) pursuant to a bona fide third-party tender offer, merger, consolidation or other similar transaction made to all holders of the Company’s securities involving a Change of Control of the Company and approved by the Company’s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such tender offer, merger, consolidation or other such transaction is not completed, such securities held by the undersigned shall remain subject to the provisions of this agreement (for purposes of this agreement “Change of Control” shall mean the transfer, whether by tender offer, merger, consolidation, spin-off or other such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 (K) to the Company pursuant to arrangements under which the Company has the option to repurchase the undersigned’s shares of Common Stock, which arrangements are described in the Prospectus; and (L) transfers made with the prior written consent of the Representatives, on behalf of the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(C), (D), (E), (F) or (G), (i) each donee or distributee shall sign and deliver a lock-up agreement substantially in the form of this agreement, and (ii) in the case of any transfer or distribution pursuant to clause (B), (C), (D), (E), (F), (G), (I), (J) or (K), no public announcement or filing under the Exchange Act, reporting a reduction in beneficial ownership of shares of Common Stock, shall be required or voluntarily made during the Restricted Period (other than a filing under Section 13 of the Exchange Act that is required to be filed during the Restricted Period).</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In addition, the undersigned agrees that, without the prior written consent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(other than in connection with a Follow-on Offering described below). For the avoidance of doubt, to the extent the undersigned has demand and/or piggyback registration rights described in the Prospectus, the foregoing shall not prohibit the undersigned from notifying the Company privately that it is or will be exercising its demand and/or piggyback registration rights following the expiration of the Restricted Period and undertaking preparations related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notification and/or preparations do not request, require or result in the filing or confidential submission of a registration statement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or any other public announcement or activity regarding such registration by the undersigned, the Company or any third party during the Restricted Period (and no such filing, confidential submission, public announcement or activity shall be voluntarily made or taken by the undersigned, the Company or any third party during the Restricted Period).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300" w:name="page301"/>
    <w:bookmarkEnd w:id="300"/>
    <w:p>
      <w:pPr>
        <w:ind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undersigned is an officer or director of the Company, the undersigned further agrees that the foregoing restrictions shall be equally applicable to any issuer-directed Shares the undersigned may purchase in the offering.]</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In the event that a release is granted by the Representatives to any officer, director or any other shareholder who is a party to a lock-up agreement, other than the undersigned, relating to the restrictions set forth above (each, a “</w:t>
      </w:r>
      <w:r>
        <w:rPr>
          <w:rFonts w:ascii="Arial" w:cs="Arial" w:eastAsia="Arial" w:hAnsi="Arial"/>
          <w:sz w:val="16"/>
          <w:szCs w:val="16"/>
          <w:b w:val="1"/>
          <w:bCs w:val="1"/>
          <w:color w:val="auto"/>
        </w:rPr>
        <w:t>Release</w:t>
      </w:r>
      <w:r>
        <w:rPr>
          <w:rFonts w:ascii="Arial" w:cs="Arial" w:eastAsia="Arial" w:hAnsi="Arial"/>
          <w:sz w:val="16"/>
          <w:szCs w:val="16"/>
          <w:color w:val="auto"/>
        </w:rPr>
        <w:t>” and, collectively, “</w:t>
      </w:r>
      <w:r>
        <w:rPr>
          <w:rFonts w:ascii="Arial" w:cs="Arial" w:eastAsia="Arial" w:hAnsi="Arial"/>
          <w:sz w:val="16"/>
          <w:szCs w:val="16"/>
          <w:b w:val="1"/>
          <w:bCs w:val="1"/>
          <w:color w:val="auto"/>
        </w:rPr>
        <w:t>Releases</w:t>
      </w:r>
      <w:r>
        <w:rPr>
          <w:rFonts w:ascii="Arial" w:cs="Arial" w:eastAsia="Arial" w:hAnsi="Arial"/>
          <w:sz w:val="16"/>
          <w:szCs w:val="16"/>
          <w:color w:val="auto"/>
        </w:rPr>
        <w:t>”), the same percentage of shares held by the undersigned (the “</w:t>
      </w:r>
      <w:r>
        <w:rPr>
          <w:rFonts w:ascii="Arial" w:cs="Arial" w:eastAsia="Arial" w:hAnsi="Arial"/>
          <w:sz w:val="16"/>
          <w:szCs w:val="16"/>
          <w:b w:val="1"/>
          <w:bCs w:val="1"/>
          <w:color w:val="auto"/>
        </w:rPr>
        <w:t>Pro</w:t>
      </w:r>
      <w:r>
        <w:rPr>
          <w:rFonts w:ascii="Arial" w:cs="Arial" w:eastAsia="Arial" w:hAnsi="Arial"/>
          <w:sz w:val="16"/>
          <w:szCs w:val="16"/>
          <w:color w:val="auto"/>
        </w:rPr>
        <w:t>-</w:t>
      </w:r>
      <w:r>
        <w:rPr>
          <w:rFonts w:ascii="Arial" w:cs="Arial" w:eastAsia="Arial" w:hAnsi="Arial"/>
          <w:sz w:val="16"/>
          <w:szCs w:val="16"/>
          <w:b w:val="1"/>
          <w:bCs w:val="1"/>
          <w:color w:val="auto"/>
        </w:rPr>
        <w:t>Rata Release</w:t>
      </w:r>
      <w:r>
        <w:rPr>
          <w:rFonts w:ascii="Arial" w:cs="Arial" w:eastAsia="Arial" w:hAnsi="Arial"/>
          <w:sz w:val="16"/>
          <w:szCs w:val="16"/>
          <w:color w:val="auto"/>
        </w:rPr>
        <w:t xml:space="preserve">”) shall be immediately, fully and irrevocably released in the same manner and on the same terms from any remaining restrictions set forth above on a pro rata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Pro-Rata Release shall not be applied to the extent that the aggregate percentage of the restricted securities subject to any such Release or Releases is less than or equal to 1% of the shares of Common Stock outstanding prior to completion of the Public Offering (calculated on an as-converted, fully-diluted basis and as of the close of business on the date set forth on the cover page of the Prospectus). The Representatives shall provide at least three business days’ written notice to the Company prior to the effective date of any such Release under this agreement (the effective date of such Release, the “</w:t>
      </w:r>
      <w:r>
        <w:rPr>
          <w:rFonts w:ascii="Arial" w:cs="Arial" w:eastAsia="Arial" w:hAnsi="Arial"/>
          <w:sz w:val="16"/>
          <w:szCs w:val="16"/>
          <w:b w:val="1"/>
          <w:bCs w:val="1"/>
          <w:color w:val="auto"/>
        </w:rPr>
        <w:t>Release Date</w:t>
      </w:r>
      <w:r>
        <w:rPr>
          <w:rFonts w:ascii="Arial" w:cs="Arial" w:eastAsia="Arial" w:hAnsi="Arial"/>
          <w:sz w:val="16"/>
          <w:szCs w:val="16"/>
          <w:color w:val="auto"/>
        </w:rPr>
        <w:t>”), stating the percentage of shares held by such person or entity to be released, with the understanding that the Company shall use commercially reasonable efforts to, prior to the Release Date, notify the undersigned that the same percentage of shares held by the undersigned as is held by the releasee shall be released from the restrictions set forth herein on the Release Date; provided that the failure to provide such notice shall not give rise to any claim or liability against the Representatives, the Underwriters or the Company. The undersigned acknowledges that the Representatives are under no obligation to inquire into whether, or to ensure that, the Company notifies the undersigned of the delivery by the Representatives on behalf of the Underwriters of any such notice, which is a matter between the undersigned and the Company. The foregoing shall not apply to any release granted to a holder of Common Stock pursuant to a registration statement filed with the SEC, provided that the undersigned has been given an opportunity to participate with other selling stockholders in such public offering (a “</w:t>
      </w:r>
      <w:r>
        <w:rPr>
          <w:rFonts w:ascii="Arial" w:cs="Arial" w:eastAsia="Arial" w:hAnsi="Arial"/>
          <w:sz w:val="16"/>
          <w:szCs w:val="16"/>
          <w:b w:val="1"/>
          <w:bCs w:val="1"/>
          <w:color w:val="auto"/>
        </w:rPr>
        <w:t>Follow-On Offering</w:t>
      </w:r>
      <w:r>
        <w:rPr>
          <w:rFonts w:ascii="Arial" w:cs="Arial" w:eastAsia="Arial" w:hAnsi="Arial"/>
          <w:sz w:val="16"/>
          <w:szCs w:val="16"/>
          <w:color w:val="auto"/>
        </w:rPr>
        <w:t>”) on a pro rata basis on pricing terms that are no less favorable than the terms of the Follow-On Offering, and in the event the Underwriters make the determination to cut back the number of securities to be sold by selling stockholders in the Follow-On Offering, such cut back shall be applied to the undersigned on a basis consistent with all selling stockholders.</w:t>
      </w:r>
    </w:p>
    <w:p>
      <w:pPr>
        <w:spacing w:after="0" w:line="17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301" w:name="page302"/>
    <w:bookmarkEnd w:id="301"/>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184"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This agreement shall be terminated and the undersigned shall be released from its obligations hereunder upon the earlier of: (i) the date the registration statement filed or submitted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over-allotment option), (iii) the Company or the Representatives notifies the other in writing prior to the execution of the Underwriting Agreement that it does not intend to proceed with the Public Offering or (iv) May 10, 2021, if the offering is not completed by such date.</w:t>
      </w:r>
    </w:p>
    <w:p>
      <w:pPr>
        <w:spacing w:after="0" w:line="19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9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302" w:name="page303"/>
    <w:bookmarkEnd w:id="302"/>
    <w:p>
      <w:pPr>
        <w:jc w:val="right"/>
        <w:ind w:right="2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9019"/>
          </w:cols>
          <w:pgMar w:left="1440" w:top="274" w:right="1440"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3"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This letter is being delivered to Morgan Stanley &amp; Co. LLC, BofA Securities, Inc. and SVB Leerink LLC (the “</w:t>
      </w:r>
      <w:r>
        <w:rPr>
          <w:rFonts w:ascii="Arial" w:cs="Arial" w:eastAsia="Arial" w:hAnsi="Arial"/>
          <w:sz w:val="16"/>
          <w:szCs w:val="16"/>
          <w:b w:val="1"/>
          <w:bCs w:val="1"/>
          <w:color w:val="auto"/>
        </w:rPr>
        <w:t>Representatives</w:t>
      </w:r>
      <w:r>
        <w:rPr>
          <w:rFonts w:ascii="Arial" w:cs="Arial" w:eastAsia="Arial" w:hAnsi="Arial"/>
          <w:sz w:val="16"/>
          <w:szCs w:val="16"/>
          <w:color w:val="auto"/>
        </w:rPr>
        <w:t>”) in connection with the offering by Pharvaris B.V. (the “</w:t>
      </w:r>
      <w:r>
        <w:rPr>
          <w:rFonts w:ascii="Arial" w:cs="Arial" w:eastAsia="Arial" w:hAnsi="Arial"/>
          <w:sz w:val="16"/>
          <w:szCs w:val="16"/>
          <w:b w:val="1"/>
          <w:bCs w:val="1"/>
          <w:color w:val="auto"/>
        </w:rPr>
        <w:t>Company</w:t>
      </w:r>
      <w:r>
        <w:rPr>
          <w:rFonts w:ascii="Arial" w:cs="Arial" w:eastAsia="Arial" w:hAnsi="Arial"/>
          <w:sz w:val="16"/>
          <w:szCs w:val="16"/>
          <w:color w:val="auto"/>
        </w:rPr>
        <w:t>”) of _____ ordinary shares, with a nominal value of €0.12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capital of the Company and the lock-up agreement dated ____, 2021 (the “Lock-up Agreement”), executed by you in connection with such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your request for a [waiver] [release] dated ____, 20__, with respect to ____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11" w:lineRule="exact"/>
        <w:rPr>
          <w:sz w:val="20"/>
          <w:szCs w:val="20"/>
          <w:color w:val="auto"/>
        </w:rPr>
      </w:pPr>
    </w:p>
    <w:p>
      <w:pPr>
        <w:ind w:right="360" w:firstLine="440"/>
        <w:spacing w:after="0" w:line="291" w:lineRule="auto"/>
        <w:rPr>
          <w:sz w:val="20"/>
          <w:szCs w:val="20"/>
          <w:color w:val="auto"/>
        </w:rPr>
      </w:pPr>
      <w:r>
        <w:rPr>
          <w:rFonts w:ascii="Arial" w:cs="Arial" w:eastAsia="Arial" w:hAnsi="Arial"/>
          <w:sz w:val="16"/>
          <w:szCs w:val="16"/>
          <w:color w:val="auto"/>
        </w:rPr>
        <w:t xml:space="preserve">The Representatives hereby agree to [waive] [release] the transfer restrictions set forth in the Lock-up Agreement, but only with respect to the Shares, effective _____, 20__;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[waiver] [release] is conditioned on the Company announcing the impending [waiver]</w:t>
      </w:r>
    </w:p>
    <w:p>
      <w:pPr>
        <w:ind w:right="20"/>
        <w:spacing w:after="0" w:line="260" w:lineRule="auto"/>
        <w:rPr>
          <w:sz w:val="20"/>
          <w:szCs w:val="20"/>
          <w:color w:val="auto"/>
        </w:rPr>
      </w:pPr>
      <w:r>
        <w:rPr>
          <w:rFonts w:ascii="Arial" w:cs="Arial" w:eastAsia="Arial" w:hAnsi="Arial"/>
          <w:sz w:val="18"/>
          <w:szCs w:val="18"/>
          <w:color w:val="auto"/>
        </w:rPr>
        <w:t>[release] by press release through a major news service at least two business days before effectiveness of such [waiver] [release]. This letter will serve as notice to the Company of the impending [waiver] [release].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Agreement shall remain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SVB Leerink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Acting severally on behalf of themselves and the several</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04" w:name="page305"/>
    <w:bookmarkEnd w:id="304"/>
    <w:p>
      <w:pPr>
        <w:ind w:left="6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BOFA SECURITIES, INC.</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SVB LEERINK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4" w:right="1440" w:bottom="1440" w:gutter="0" w:footer="0" w:header="0"/>
        </w:sectPr>
      </w:pPr>
    </w:p>
    <w:bookmarkStart w:id="305" w:name="page306"/>
    <w:bookmarkEnd w:id="30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 2021</w:t>
      </w:r>
    </w:p>
    <w:p>
      <w:pPr>
        <w:spacing w:after="0" w:line="2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Pharvaris N.V., a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incorporated under the laws of the Netherlands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BofA Securities, Inc. and SVB Leerink LLC, as lead book-running managers in the Company’s recent public sale of _____ ordinary shares is [waiving][releasing] a lock-up restriction with respect to ____ ordinary shares of the Company held by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[certain officers or directors] [an officer or director] of the Company. The [waiver][release] will take effect on ____, 20__ , and the shares may be sold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or after such date.</w:t>
      </w:r>
    </w:p>
    <w:p>
      <w:pPr>
        <w:spacing w:after="0" w:line="20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820"/>
          </w:cols>
          <w:pgMar w:left="440" w:top="270" w:right="639" w:bottom="1440" w:gutter="0" w:footer="0" w:header="0"/>
        </w:sectPr>
      </w:pPr>
    </w:p>
    <w:bookmarkStart w:id="306" w:name="page307"/>
    <w:bookmarkEnd w:id="306"/>
    <w:p>
      <w:pPr>
        <w:ind w:left="101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3208655</wp:posOffset>
            </wp:positionH>
            <wp:positionV relativeFrom="page">
              <wp:posOffset>88900</wp:posOffset>
            </wp:positionV>
            <wp:extent cx="1139825"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Exhibit 3.1</w:t>
      </w:r>
    </w:p>
    <w:p>
      <w:pPr>
        <w:spacing w:after="0" w:line="252"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b w:val="1"/>
          <w:bCs w:val="1"/>
          <w:i w:val="1"/>
          <w:iCs w:val="1"/>
          <w:color w:val="auto"/>
        </w:rPr>
        <w:t>This is a translation into English of the official Dutch version of the articles of association of a public company with limited liability under Dutch law. Definitions included in Article 1 below appear in the English alphabetical order, but will appear in the Dutch alphabetical order in the official Dutch version. In the event of a conflict between the English and Dutch texts, the Dutch text shall prevail.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In these articles of association the following definitions shall apply:</w:t>
      </w:r>
    </w:p>
    <w:p>
      <w:pPr>
        <w:sectPr>
          <w:pgSz w:w="11900" w:h="16838" w:orient="portrait"/>
          <w:cols w:equalWidth="0" w:num="1">
            <w:col w:w="11020"/>
          </w:cols>
          <w:pgMar w:left="440" w:top="486" w:right="439" w:bottom="1440" w:gutter="0" w:footer="0" w:header="0"/>
        </w:sectPr>
      </w:pP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Article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An article of these articles of association.</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board of directors.</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Board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internal rules applicable to the Board, as drawn up by the Board.</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chief executive officer.</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chairman of the Board.</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Class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meeting formed by the Persons with Meeting Rights with respect to shares of a certain class.</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to which these articles of association pertain.</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DCC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Civil Code.</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member of the Board.</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Euribor</w:t>
      </w:r>
    </w:p>
    <w:p>
      <w:pPr>
        <w:spacing w:after="0" w:line="20" w:lineRule="exact"/>
        <w:rPr>
          <w:sz w:val="20"/>
          <w:szCs w:val="20"/>
          <w:color w:val="auto"/>
        </w:rPr>
      </w:pPr>
      <w:r>
        <w:rPr>
          <w:sz w:val="20"/>
          <w:szCs w:val="20"/>
          <w:color w:val="auto"/>
        </w:rPr>
        <w:br w:type="column"/>
      </w:r>
    </w:p>
    <w:p>
      <w:pPr>
        <w:ind w:right="320"/>
        <w:spacing w:after="0" w:line="301" w:lineRule="auto"/>
        <w:rPr>
          <w:sz w:val="20"/>
          <w:szCs w:val="20"/>
          <w:color w:val="auto"/>
        </w:rPr>
      </w:pPr>
      <w:r>
        <w:rPr>
          <w:rFonts w:ascii="Arial" w:cs="Arial" w:eastAsia="Arial" w:hAnsi="Arial"/>
          <w:sz w:val="16"/>
          <w:szCs w:val="16"/>
          <w:color w:val="auto"/>
        </w:rPr>
        <w:t>The Euribor rate (or a European reference rate that has replaced the Euribor rate) published by Thomson Reuters or another institution chosen by the Board, for loans with a maturity of three, six, nine or twelve months, whichever had the highest mathematical average over the financial year (or the relevant part thereof) in respect of which the relevant distribution is made, but in any event no less than zero percent.</w:t>
      </w:r>
    </w:p>
    <w:p>
      <w:pPr>
        <w:spacing w:after="0" w:line="45"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Executive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executive Director.</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general meeting.</w:t>
      </w:r>
    </w:p>
    <w:p>
      <w:pPr>
        <w:spacing w:after="0" w:line="136"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Group Company</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An entity or partnership which is organisationally connected with the Company in an economic unit within the meaning of Section 2:24b DCC.</w:t>
      </w:r>
    </w:p>
    <w:p>
      <w:pPr>
        <w:spacing w:after="0" w:line="103" w:lineRule="exact"/>
        <w:rPr>
          <w:sz w:val="20"/>
          <w:szCs w:val="20"/>
          <w:color w:val="auto"/>
        </w:rPr>
      </w:pPr>
    </w:p>
    <w:p>
      <w:pPr>
        <w:sectPr>
          <w:pgSz w:w="11900" w:h="16838" w:orient="portrait"/>
          <w:cols w:equalWidth="0" w:num="2">
            <w:col w:w="2480" w:space="720"/>
            <w:col w:w="7820"/>
          </w:cols>
          <w:pgMar w:left="440" w:top="486" w:right="439"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20"/>
          </w:cols>
          <w:pgMar w:left="440" w:top="486" w:right="439" w:bottom="1440" w:gutter="0" w:footer="0" w:header="0"/>
          <w:type w:val="continuous"/>
        </w:sectPr>
      </w:pPr>
    </w:p>
    <w:bookmarkStart w:id="307" w:name="page308"/>
    <w:bookmarkEnd w:id="307"/>
    <w:tbl>
      <w:tblPr>
        <w:tblLayout w:type="fixed"/>
        <w:tblInd w:w="0" w:type="dxa"/>
        <w:tblCellMar>
          <w:top w:w="0" w:type="dxa"/>
          <w:left w:w="0" w:type="dxa"/>
          <w:bottom w:w="0" w:type="dxa"/>
          <w:right w:w="0" w:type="dxa"/>
        </w:tblCellMar>
      </w:tblPr>
      <w:tr>
        <w:trPr>
          <w:trHeight w:val="220"/>
        </w:trPr>
        <w:tc>
          <w:tcPr>
            <w:tcW w:w="2440" w:type="dxa"/>
            <w:vAlign w:val="bottom"/>
          </w:tcPr>
          <w:p>
            <w:pPr>
              <w:spacing w:after="0"/>
              <w:rPr>
                <w:sz w:val="20"/>
                <w:szCs w:val="20"/>
                <w:color w:val="auto"/>
              </w:rPr>
            </w:pPr>
            <w:r>
              <w:rPr>
                <w:rFonts w:ascii="Arial" w:cs="Arial" w:eastAsia="Arial" w:hAnsi="Arial"/>
                <w:sz w:val="18"/>
                <w:szCs w:val="18"/>
                <w:b w:val="1"/>
                <w:bCs w:val="1"/>
                <w:color w:val="auto"/>
              </w:rPr>
              <w:t>Indemnified Officer</w:t>
            </w: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6"/>
              </w:rPr>
              <w:t>A current or former Director or such other current or former officer or employee of the Company or its</w:t>
            </w:r>
          </w:p>
        </w:tc>
      </w:tr>
      <w:tr>
        <w:trPr>
          <w:trHeight w:val="230"/>
        </w:trPr>
        <w:tc>
          <w:tcPr>
            <w:tcW w:w="2440" w:type="dxa"/>
            <w:vAlign w:val="bottom"/>
          </w:tcPr>
          <w:p>
            <w:pPr>
              <w:spacing w:after="0"/>
              <w:rPr>
                <w:sz w:val="20"/>
                <w:szCs w:val="20"/>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rPr>
              <w:t>Group Companies as designated by the Board.</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Meeting Rights</w:t>
            </w: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4"/>
              </w:rPr>
              <w:t>With respect to the Company, the rights attributed by law to the holders of depository receipts issued for</w:t>
            </w:r>
          </w:p>
        </w:tc>
      </w:tr>
      <w:tr>
        <w:trPr>
          <w:trHeight w:val="230"/>
        </w:trPr>
        <w:tc>
          <w:tcPr>
            <w:tcW w:w="2440" w:type="dxa"/>
            <w:vAlign w:val="bottom"/>
          </w:tcPr>
          <w:p>
            <w:pPr>
              <w:spacing w:after="0"/>
              <w:rPr>
                <w:sz w:val="20"/>
                <w:szCs w:val="20"/>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8"/>
              </w:rPr>
              <w:t>shares with a company’s cooperation, including the right to attend and address a General Meeting.</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Non-Executive Director</w:t>
            </w: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rPr>
              <w:t>A non-executive Director.</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Person with Meeting Rights</w:t>
            </w: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4"/>
              </w:rPr>
              <w:t>A shareholder, a usufructuary or pledgee with voting rights or a holder of depository receipts for shares</w:t>
            </w:r>
          </w:p>
        </w:tc>
      </w:tr>
      <w:tr>
        <w:trPr>
          <w:trHeight w:val="230"/>
        </w:trPr>
        <w:tc>
          <w:tcPr>
            <w:tcW w:w="2440" w:type="dxa"/>
            <w:vAlign w:val="bottom"/>
          </w:tcPr>
          <w:p>
            <w:pPr>
              <w:spacing w:after="0"/>
              <w:rPr>
                <w:sz w:val="20"/>
                <w:szCs w:val="20"/>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rPr>
              <w:t>issued with the Company’s cooperation.</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Preferred Distribution</w:t>
            </w: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0"/>
              </w:rPr>
              <w:t>A distribution on the preferred shares for an amount equal to the Preferred Interest Rate calculated over the</w:t>
            </w:r>
          </w:p>
        </w:tc>
      </w:tr>
      <w:tr>
        <w:trPr>
          <w:trHeight w:val="230"/>
        </w:trPr>
        <w:tc>
          <w:tcPr>
            <w:tcW w:w="2440" w:type="dxa"/>
            <w:vAlign w:val="bottom"/>
          </w:tcPr>
          <w:p>
            <w:pPr>
              <w:spacing w:after="0"/>
              <w:rPr>
                <w:sz w:val="20"/>
                <w:szCs w:val="20"/>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rPr>
              <w:t>aggregate amount paid up on those preferred shares, whereby:</w:t>
            </w:r>
          </w:p>
        </w:tc>
      </w:tr>
      <w:tr>
        <w:trPr>
          <w:trHeight w:val="323"/>
        </w:trPr>
        <w:tc>
          <w:tcPr>
            <w:tcW w:w="244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8"/>
                <w:szCs w:val="18"/>
                <w:b w:val="1"/>
                <w:bCs w:val="1"/>
                <w:color w:val="auto"/>
              </w:rPr>
              <w:t>a.</w:t>
            </w:r>
          </w:p>
        </w:tc>
        <w:tc>
          <w:tcPr>
            <w:tcW w:w="7540" w:type="dxa"/>
            <w:vAlign w:val="bottom"/>
          </w:tcPr>
          <w:p>
            <w:pPr>
              <w:ind w:left="100"/>
              <w:spacing w:after="0"/>
              <w:rPr>
                <w:sz w:val="20"/>
                <w:szCs w:val="20"/>
                <w:color w:val="auto"/>
              </w:rPr>
            </w:pPr>
            <w:r>
              <w:rPr>
                <w:rFonts w:ascii="Arial" w:cs="Arial" w:eastAsia="Arial" w:hAnsi="Arial"/>
                <w:sz w:val="18"/>
                <w:szCs w:val="18"/>
                <w:color w:val="auto"/>
                <w:w w:val="93"/>
              </w:rPr>
              <w:t>any amount paid up on those preferred shares (including as a result of an issue of preferred shares)</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1"/>
              </w:rPr>
              <w:t>during the financial year (or the relevant part thereof) in respect of which the distribution is made shall</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2"/>
              </w:rPr>
              <w:t>only be taken into account proportionate to the number of days that elapsed during that financial year</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(or the relevant part thereof) after the payment was made on those preferred shares;</w:t>
            </w:r>
          </w:p>
        </w:tc>
      </w:tr>
      <w:tr>
        <w:trPr>
          <w:trHeight w:val="323"/>
        </w:trPr>
        <w:tc>
          <w:tcPr>
            <w:tcW w:w="2440" w:type="dxa"/>
            <w:vAlign w:val="bottom"/>
          </w:tcPr>
          <w:p>
            <w:pPr>
              <w:spacing w:after="0"/>
              <w:rPr>
                <w:sz w:val="24"/>
                <w:szCs w:val="24"/>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 xml:space="preserve">b.  </w:t>
            </w:r>
            <w:r>
              <w:rPr>
                <w:rFonts w:ascii="Arial" w:cs="Arial" w:eastAsia="Arial" w:hAnsi="Arial"/>
                <w:sz w:val="18"/>
                <w:szCs w:val="18"/>
                <w:color w:val="auto"/>
                <w:w w:val="95"/>
              </w:rPr>
              <w:t>any reduction of the aggregate amount paid up on preferred shares during the financial year (or the</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relevant part thereof) in respect of which the distribution is made shall be taken into account</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0"/>
              </w:rPr>
              <w:t>proportionate to the number of days that elapsed during that financial year (or the relevant part thereof)</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until such reduction was effected; and</w:t>
            </w:r>
          </w:p>
        </w:tc>
      </w:tr>
      <w:tr>
        <w:trPr>
          <w:trHeight w:val="323"/>
        </w:trPr>
        <w:tc>
          <w:tcPr>
            <w:tcW w:w="244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8"/>
                <w:szCs w:val="18"/>
                <w:b w:val="1"/>
                <w:bCs w:val="1"/>
                <w:color w:val="auto"/>
              </w:rPr>
              <w:t>c.</w:t>
            </w:r>
          </w:p>
        </w:tc>
        <w:tc>
          <w:tcPr>
            <w:tcW w:w="7540" w:type="dxa"/>
            <w:vAlign w:val="bottom"/>
          </w:tcPr>
          <w:p>
            <w:pPr>
              <w:ind w:left="100"/>
              <w:spacing w:after="0"/>
              <w:rPr>
                <w:sz w:val="20"/>
                <w:szCs w:val="20"/>
                <w:color w:val="auto"/>
              </w:rPr>
            </w:pPr>
            <w:r>
              <w:rPr>
                <w:rFonts w:ascii="Arial" w:cs="Arial" w:eastAsia="Arial" w:hAnsi="Arial"/>
                <w:sz w:val="18"/>
                <w:szCs w:val="18"/>
                <w:color w:val="auto"/>
                <w:w w:val="93"/>
              </w:rPr>
              <w:t>if the distribution is made in respect of part of a financial year, the amount of the distribution shall be</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proportionate to the number of days that elapsed during that part of the financial year.</w:t>
            </w:r>
          </w:p>
        </w:tc>
      </w:tr>
      <w:tr>
        <w:trPr>
          <w:trHeight w:val="323"/>
        </w:trPr>
        <w:tc>
          <w:tcPr>
            <w:tcW w:w="2440" w:type="dxa"/>
            <w:vAlign w:val="bottom"/>
          </w:tcPr>
          <w:p>
            <w:pPr>
              <w:spacing w:after="0"/>
              <w:rPr>
                <w:sz w:val="20"/>
                <w:szCs w:val="20"/>
                <w:color w:val="auto"/>
              </w:rPr>
            </w:pPr>
            <w:r>
              <w:rPr>
                <w:rFonts w:ascii="Arial" w:cs="Arial" w:eastAsia="Arial" w:hAnsi="Arial"/>
                <w:sz w:val="18"/>
                <w:szCs w:val="18"/>
                <w:b w:val="1"/>
                <w:bCs w:val="1"/>
                <w:color w:val="auto"/>
              </w:rPr>
              <w:t>Preferred Interest Rate</w:t>
            </w: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4"/>
              </w:rPr>
              <w:t>The mathematical average, calculated over the financial year (or the relevant part thereof) in respect of</w:t>
            </w:r>
          </w:p>
        </w:tc>
      </w:tr>
      <w:tr>
        <w:trPr>
          <w:trHeight w:val="216"/>
        </w:trPr>
        <w:tc>
          <w:tcPr>
            <w:tcW w:w="2440" w:type="dxa"/>
            <w:vAlign w:val="bottom"/>
          </w:tcPr>
          <w:p>
            <w:pPr>
              <w:spacing w:after="0"/>
              <w:rPr>
                <w:sz w:val="18"/>
                <w:szCs w:val="18"/>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4"/>
              </w:rPr>
              <w:t>which a distribution is made on preferred shares, of the relevant Euribor interest rate, plus a margin not</w:t>
            </w:r>
          </w:p>
        </w:tc>
      </w:tr>
      <w:tr>
        <w:trPr>
          <w:trHeight w:val="216"/>
        </w:trPr>
        <w:tc>
          <w:tcPr>
            <w:tcW w:w="2440" w:type="dxa"/>
            <w:vAlign w:val="bottom"/>
          </w:tcPr>
          <w:p>
            <w:pPr>
              <w:spacing w:after="0"/>
              <w:rPr>
                <w:sz w:val="18"/>
                <w:szCs w:val="18"/>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3"/>
              </w:rPr>
              <w:t>exceeding five hundred basis points (500bps) to be determined by the Board each time when, or before,</w:t>
            </w:r>
          </w:p>
        </w:tc>
      </w:tr>
      <w:tr>
        <w:trPr>
          <w:trHeight w:val="216"/>
        </w:trPr>
        <w:tc>
          <w:tcPr>
            <w:tcW w:w="2440" w:type="dxa"/>
            <w:vAlign w:val="bottom"/>
          </w:tcPr>
          <w:p>
            <w:pPr>
              <w:spacing w:after="0"/>
              <w:rPr>
                <w:sz w:val="18"/>
                <w:szCs w:val="18"/>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w w:val="92"/>
              </w:rPr>
              <w:t>preferred shares are issued without preferred shares already forming part of the Company’s issued share</w:t>
            </w:r>
          </w:p>
        </w:tc>
      </w:tr>
      <w:tr>
        <w:trPr>
          <w:trHeight w:val="230"/>
        </w:trPr>
        <w:tc>
          <w:tcPr>
            <w:tcW w:w="2440" w:type="dxa"/>
            <w:vAlign w:val="bottom"/>
          </w:tcPr>
          <w:p>
            <w:pPr>
              <w:spacing w:after="0"/>
              <w:rPr>
                <w:sz w:val="20"/>
                <w:szCs w:val="20"/>
                <w:color w:val="auto"/>
              </w:rPr>
            </w:pPr>
          </w:p>
        </w:tc>
        <w:tc>
          <w:tcPr>
            <w:tcW w:w="8080" w:type="dxa"/>
            <w:vAlign w:val="bottom"/>
            <w:gridSpan w:val="2"/>
          </w:tcPr>
          <w:p>
            <w:pPr>
              <w:ind w:left="300"/>
              <w:spacing w:after="0"/>
              <w:rPr>
                <w:sz w:val="20"/>
                <w:szCs w:val="20"/>
                <w:color w:val="auto"/>
              </w:rPr>
            </w:pPr>
            <w:r>
              <w:rPr>
                <w:rFonts w:ascii="Arial" w:cs="Arial" w:eastAsia="Arial" w:hAnsi="Arial"/>
                <w:sz w:val="18"/>
                <w:szCs w:val="18"/>
                <w:color w:val="auto"/>
              </w:rPr>
              <w:t>capital.</w:t>
            </w:r>
          </w:p>
        </w:tc>
      </w:tr>
      <w:tr>
        <w:trPr>
          <w:trHeight w:val="365"/>
        </w:trPr>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40" w:type="dxa"/>
            <w:vAlign w:val="bottom"/>
          </w:tcPr>
          <w:p>
            <w:pPr>
              <w:ind w:left="2020"/>
              <w:spacing w:after="0"/>
              <w:rPr>
                <w:sz w:val="20"/>
                <w:szCs w:val="20"/>
                <w:color w:val="auto"/>
              </w:rPr>
            </w:pPr>
            <w:r>
              <w:rPr>
                <w:rFonts w:ascii="Arial" w:cs="Arial" w:eastAsia="Arial" w:hAnsi="Arial"/>
                <w:sz w:val="18"/>
                <w:szCs w:val="18"/>
                <w:color w:val="auto"/>
              </w:rPr>
              <w:t>2</w:t>
            </w:r>
          </w:p>
        </w:tc>
      </w:tr>
    </w:tbl>
    <w:p>
      <w:pPr>
        <w:ind w:left="2020"/>
        <w:spacing w:after="0"/>
        <w:rPr>
          <w:sz w:val="20"/>
          <w:szCs w:val="20"/>
          <w:color w:val="auto"/>
        </w:rPr>
        <w:sectPr>
          <w:pgSz w:w="11900" w:h="16838" w:orient="portrait"/>
          <w:cols w:equalWidth="0" w:num="1">
            <w:col w:w="10520"/>
          </w:cols>
          <w:pgMar w:left="900" w:top="742"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bookmarkStart w:id="308" w:name="page309"/>
    <w:bookmarkEnd w:id="308"/>
    <w:p>
      <w:pPr>
        <w:ind w:left="464"/>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of registration for a General Meeting as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-501650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-407035</wp:posOffset>
            </wp:positionV>
            <wp:extent cx="1139825"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484" w:space="720"/>
            <w:col w:w="7820"/>
          </w:cols>
          <w:pgMar w:left="436" w:top="742" w:right="439" w:bottom="1440" w:gutter="0" w:footer="0" w:header="0"/>
        </w:sectPr>
      </w:pPr>
    </w:p>
    <w:p>
      <w:pPr>
        <w:ind w:left="464"/>
        <w:spacing w:after="0"/>
        <w:rPr>
          <w:sz w:val="20"/>
          <w:szCs w:val="20"/>
          <w:color w:val="auto"/>
        </w:rPr>
      </w:pPr>
      <w:r>
        <w:rPr>
          <w:rFonts w:ascii="Arial" w:cs="Arial" w:eastAsia="Arial" w:hAnsi="Arial"/>
          <w:sz w:val="17"/>
          <w:szCs w:val="17"/>
          <w:b w:val="1"/>
          <w:bCs w:val="1"/>
          <w:color w:val="auto"/>
        </w:rPr>
        <w:t>Simple Majority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More than half of the votes cast.</w:t>
      </w:r>
    </w:p>
    <w:p>
      <w:pPr>
        <w:spacing w:after="0" w:line="136" w:lineRule="exact"/>
        <w:rPr>
          <w:sz w:val="20"/>
          <w:szCs w:val="20"/>
          <w:color w:val="auto"/>
        </w:rPr>
      </w:pPr>
    </w:p>
    <w:p>
      <w:pPr>
        <w:sectPr>
          <w:pgSz w:w="11900" w:h="16838" w:orient="portrait"/>
          <w:cols w:equalWidth="0" w:num="2">
            <w:col w:w="2484" w:space="720"/>
            <w:col w:w="7820"/>
          </w:cols>
          <w:pgMar w:left="436" w:top="742" w:right="439" w:bottom="1440" w:gutter="0" w:footer="0" w:header="0"/>
          <w:type w:val="continuous"/>
        </w:sectPr>
      </w:pPr>
    </w:p>
    <w:p>
      <w:pPr>
        <w:ind w:left="464"/>
        <w:spacing w:after="0"/>
        <w:rPr>
          <w:sz w:val="20"/>
          <w:szCs w:val="20"/>
          <w:color w:val="auto"/>
        </w:rPr>
      </w:pPr>
      <w:r>
        <w:rPr>
          <w:rFonts w:ascii="Arial" w:cs="Arial" w:eastAsia="Arial" w:hAnsi="Arial"/>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subsidiary of the Company within the meaning of Section 2:24a DCC.</w:t>
      </w:r>
    </w:p>
    <w:p>
      <w:pPr>
        <w:spacing w:after="0" w:line="150" w:lineRule="exact"/>
        <w:rPr>
          <w:sz w:val="20"/>
          <w:szCs w:val="20"/>
          <w:color w:val="auto"/>
        </w:rPr>
      </w:pPr>
    </w:p>
    <w:p>
      <w:pPr>
        <w:sectPr>
          <w:pgSz w:w="11900" w:h="16838" w:orient="portrait"/>
          <w:cols w:equalWidth="0" w:num="2">
            <w:col w:w="2484" w:space="720"/>
            <w:col w:w="7820"/>
          </w:cols>
          <w:pgMar w:left="436" w:top="742" w:right="439" w:bottom="1440" w:gutter="0" w:footer="0" w:header="0"/>
          <w:type w:val="continuous"/>
        </w:sectPr>
      </w:pPr>
    </w:p>
    <w:p>
      <w:pPr>
        <w:ind w:left="424" w:right="56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Unless the context requires otherwise, references to “shares” or “shareholders” without further specification are to shares in the Company’s capital, irrespective of their class, or to the holders thereof, respectively.</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References to statutory provisions are to those provisions as they are in force from time to time.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Terms that are defined in the singular have a corresponding meaning in the plural.</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Words denoting a gender include each other gender.</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Except as otherwise required by law, the terms “written” and “in writing” include the use of electronic means of communication.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NAME AND SEAT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2</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 xml:space="preserve">The Company’s name is </w:t>
      </w:r>
      <w:r>
        <w:rPr>
          <w:rFonts w:ascii="Arial" w:cs="Arial" w:eastAsia="Arial" w:hAnsi="Arial"/>
          <w:sz w:val="16"/>
          <w:szCs w:val="16"/>
          <w:b w:val="1"/>
          <w:bCs w:val="1"/>
          <w:color w:val="auto"/>
        </w:rPr>
        <w:t>Pharvaris N.V.</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Company has its corporate seat in Amsterdam.</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OBJECTS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3</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Company’s objects are:</w:t>
      </w:r>
    </w:p>
    <w:p>
      <w:pPr>
        <w:spacing w:after="0" w:line="131" w:lineRule="exact"/>
        <w:rPr>
          <w:sz w:val="20"/>
          <w:szCs w:val="20"/>
          <w:color w:val="auto"/>
        </w:rPr>
      </w:pPr>
    </w:p>
    <w:p>
      <w:pPr>
        <w:ind w:left="424" w:hanging="424"/>
        <w:spacing w:after="0"/>
        <w:tabs>
          <w:tab w:leader="none" w:pos="424"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to discover, develop and commercialize treatments, including for hereditary angioedema;</w:t>
      </w:r>
    </w:p>
    <w:p>
      <w:pPr>
        <w:spacing w:after="0" w:line="130" w:lineRule="exact"/>
        <w:rPr>
          <w:rFonts w:ascii="Arial" w:cs="Arial" w:eastAsia="Arial" w:hAnsi="Arial"/>
          <w:sz w:val="18"/>
          <w:szCs w:val="18"/>
          <w:b w:val="1"/>
          <w:bCs w:val="1"/>
          <w:color w:val="auto"/>
        </w:rPr>
      </w:pPr>
    </w:p>
    <w:p>
      <w:pPr>
        <w:ind w:left="424" w:right="100" w:hanging="424"/>
        <w:spacing w:after="0" w:line="263" w:lineRule="auto"/>
        <w:tabs>
          <w:tab w:leader="none" w:pos="424"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89" w:lineRule="exact"/>
        <w:rPr>
          <w:rFonts w:ascii="Arial" w:cs="Arial" w:eastAsia="Arial" w:hAnsi="Arial"/>
          <w:sz w:val="18"/>
          <w:szCs w:val="18"/>
          <w:b w:val="1"/>
          <w:bCs w:val="1"/>
          <w:color w:val="auto"/>
        </w:rPr>
      </w:pPr>
    </w:p>
    <w:p>
      <w:pPr>
        <w:ind w:left="424" w:hanging="424"/>
        <w:spacing w:after="0" w:line="277" w:lineRule="auto"/>
        <w:tabs>
          <w:tab w:leader="none" w:pos="424"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to incorporate, to participate in, to finance, to hold any other interest in and to conduct the management or supervision of other entities, companies, partnerships and businesses;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742" w:right="439" w:bottom="1440" w:gutter="0" w:footer="0" w:header="0"/>
          <w:type w:val="continuous"/>
        </w:sectPr>
      </w:pPr>
    </w:p>
    <w:bookmarkStart w:id="309" w:name="page310"/>
    <w:bookmarkEnd w:id="309"/>
    <w:p>
      <w:pPr>
        <w:ind w:left="424" w:hanging="424"/>
        <w:spacing w:after="0"/>
        <w:tabs>
          <w:tab w:leader="none" w:pos="424"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to acquire, to manage, to invest, to exploit, to encumber and to dispose of assets and liabilities;</w:t>
      </w:r>
    </w:p>
    <w:p>
      <w:pPr>
        <w:spacing w:after="0" w:line="130" w:lineRule="exact"/>
        <w:rPr>
          <w:rFonts w:ascii="Arial" w:cs="Arial" w:eastAsia="Arial" w:hAnsi="Arial"/>
          <w:sz w:val="18"/>
          <w:szCs w:val="18"/>
          <w:b w:val="1"/>
          <w:bCs w:val="1"/>
          <w:color w:val="auto"/>
        </w:rPr>
      </w:pPr>
    </w:p>
    <w:p>
      <w:pPr>
        <w:ind w:left="424" w:right="540" w:hanging="424"/>
        <w:spacing w:after="0" w:line="277" w:lineRule="auto"/>
        <w:tabs>
          <w:tab w:leader="none" w:pos="424"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75" w:lineRule="exact"/>
        <w:rPr>
          <w:rFonts w:ascii="Arial" w:cs="Arial" w:eastAsia="Arial" w:hAnsi="Arial"/>
          <w:sz w:val="18"/>
          <w:szCs w:val="18"/>
          <w:b w:val="1"/>
          <w:bCs w:val="1"/>
          <w:color w:val="auto"/>
        </w:rPr>
      </w:pPr>
    </w:p>
    <w:p>
      <w:pPr>
        <w:ind w:left="424" w:hanging="424"/>
        <w:spacing w:after="0"/>
        <w:tabs>
          <w:tab w:leader="none" w:pos="424"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329" w:lineRule="exact"/>
        <w:rPr>
          <w:sz w:val="20"/>
          <w:szCs w:val="20"/>
          <w:color w:val="auto"/>
        </w:rPr>
      </w:pPr>
    </w:p>
    <w:p>
      <w:pPr>
        <w:ind w:left="4" w:right="4780"/>
        <w:spacing w:after="0" w:line="383" w:lineRule="auto"/>
        <w:rPr>
          <w:sz w:val="20"/>
          <w:szCs w:val="20"/>
          <w:color w:val="auto"/>
        </w:rPr>
      </w:pPr>
      <w:r>
        <w:rPr>
          <w:rFonts w:ascii="Arial" w:cs="Arial" w:eastAsia="Arial" w:hAnsi="Arial"/>
          <w:sz w:val="18"/>
          <w:szCs w:val="18"/>
          <w:b w:val="1"/>
          <w:bCs w:val="1"/>
          <w:color w:val="auto"/>
        </w:rPr>
        <w:t>SHARES - AUTHORISED SHARE CAPITAL AND DEPOSITORY RECEIPTS Article 4</w:t>
      </w:r>
    </w:p>
    <w:p>
      <w:pPr>
        <w:spacing w:after="0" w:line="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The Company’s authorised share capital amounts to fourteen million one hundred thousand euros (EUR 14,100,000).</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The authorised share capital is divided into:</w:t>
      </w:r>
    </w:p>
    <w:p>
      <w:pPr>
        <w:spacing w:after="0" w:line="135" w:lineRule="exact"/>
        <w:rPr>
          <w:sz w:val="20"/>
          <w:szCs w:val="20"/>
          <w:color w:val="auto"/>
        </w:rPr>
      </w:pPr>
    </w:p>
    <w:p>
      <w:pPr>
        <w:ind w:left="964" w:hanging="532"/>
        <w:spacing w:after="0"/>
        <w:tabs>
          <w:tab w:leader="none" w:pos="964"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fifty-eight million seven hundred and fifty thousand (58,750,000) ordinary shares; and</w:t>
      </w:r>
    </w:p>
    <w:p>
      <w:pPr>
        <w:spacing w:after="0" w:line="130" w:lineRule="exact"/>
        <w:rPr>
          <w:rFonts w:ascii="Arial" w:cs="Arial" w:eastAsia="Arial" w:hAnsi="Arial"/>
          <w:sz w:val="18"/>
          <w:szCs w:val="18"/>
          <w:b w:val="1"/>
          <w:bCs w:val="1"/>
          <w:color w:val="auto"/>
        </w:rPr>
      </w:pPr>
    </w:p>
    <w:p>
      <w:pPr>
        <w:ind w:left="444" w:right="4040" w:hanging="12"/>
        <w:spacing w:after="0" w:line="381" w:lineRule="auto"/>
        <w:tabs>
          <w:tab w:leader="none" w:pos="976"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fifty-eight million seven hundred and fifty thousand (58,750,000) preferred shares, each having a nominal value of twelve eurocents (EUR 0.12).</w:t>
      </w:r>
    </w:p>
    <w:p>
      <w:pPr>
        <w:ind w:left="424" w:right="40"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The Board may resolve that one or more shares are divided into such number of fractional shares as may be determined by the Board. Unless specified differently, the provisions of these articles of association concerning shares and shareholders apply mutatis mutandis to fractional shares and the holders thereof, respectively.</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color w:val="auto"/>
        </w:rPr>
        <w:t>The Company may cooperate with the issue of depository receipts for shares in its capital.</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 FORM AND SHARE REGISTER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5</w:t>
      </w:r>
    </w:p>
    <w:p>
      <w:pPr>
        <w:spacing w:after="0" w:line="131" w:lineRule="exact"/>
        <w:rPr>
          <w:sz w:val="20"/>
          <w:szCs w:val="20"/>
          <w:color w:val="auto"/>
        </w:rPr>
      </w:pPr>
    </w:p>
    <w:p>
      <w:pPr>
        <w:ind w:left="424" w:right="8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All shares are in registered form. The Company may issue share certificates for shares in registered form as may be approved by the Board. Each Director is authorised to sign any such share certificate on behalf of the Company.</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Shares shall be numbered consecutively per class of shares, starting from 1.</w:t>
      </w:r>
    </w:p>
    <w:p>
      <w:pPr>
        <w:spacing w:after="0" w:line="131" w:lineRule="exact"/>
        <w:rPr>
          <w:sz w:val="20"/>
          <w:szCs w:val="20"/>
          <w:color w:val="auto"/>
        </w:rPr>
      </w:pPr>
    </w:p>
    <w:p>
      <w:pPr>
        <w:jc w:val="both"/>
        <w:ind w:left="424" w:hanging="431"/>
        <w:spacing w:after="0" w:line="286" w:lineRule="auto"/>
        <w:tabs>
          <w:tab w:leader="none" w:pos="40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color w:val="auto"/>
        </w:rPr>
        <w:t>The Board shall keep a register setting out the names and addresses of all shareholders and all holders of a usufruct or pledge in respect of shares. The register shall also set out any other particulars that must be included in the register pursuant to applicable law. Part of the register may be kept outside the Netherlands to comply with applicable local law or pursuant to stock exchange rules.</w:t>
      </w:r>
    </w:p>
    <w:p>
      <w:pPr>
        <w:spacing w:after="0" w:line="10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638" w:right="499" w:bottom="1440" w:gutter="0" w:footer="0" w:header="0"/>
        </w:sectPr>
      </w:pPr>
    </w:p>
    <w:bookmarkStart w:id="310" w:name="page311"/>
    <w:bookmarkEnd w:id="310"/>
    <w:p>
      <w:pPr>
        <w:ind w:left="420" w:right="100" w:hanging="431"/>
        <w:spacing w:after="0" w:line="277" w:lineRule="auto"/>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5.4</w:t>
      </w:r>
      <w:r>
        <w:rPr>
          <w:sz w:val="20"/>
          <w:szCs w:val="20"/>
          <w:color w:val="auto"/>
        </w:rPr>
        <w:tab/>
      </w:r>
      <w:r>
        <w:rPr>
          <w:rFonts w:ascii="Arial" w:cs="Arial" w:eastAsia="Arial" w:hAnsi="Arial"/>
          <w:sz w:val="18"/>
          <w:szCs w:val="18"/>
          <w:color w:val="auto"/>
        </w:rPr>
        <w:t>Shareholders, usufructuaries and pledgees shall provide the Board with the necessary particulars in a timely fashion. Any consequences of not, or incorrectly, notifying such particulars shall be borne by the party concerned.</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color w:val="auto"/>
        </w:rPr>
        <w:t>All notifications may be sent to shareholders, usufructuaries and pledgees at their respective addresses as set out in the register.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ISSUE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w:t>
      </w:r>
    </w:p>
    <w:p>
      <w:pPr>
        <w:spacing w:after="0" w:line="131" w:lineRule="exact"/>
        <w:rPr>
          <w:sz w:val="20"/>
          <w:szCs w:val="20"/>
          <w:color w:val="auto"/>
        </w:rPr>
      </w:pPr>
    </w:p>
    <w:p>
      <w:pPr>
        <w:ind w:left="420" w:hanging="431"/>
        <w:spacing w:after="0" w:line="257" w:lineRule="auto"/>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p>
      <w:pPr>
        <w:spacing w:after="0" w:line="93" w:lineRule="exact"/>
        <w:rPr>
          <w:sz w:val="20"/>
          <w:szCs w:val="20"/>
          <w:color w:val="auto"/>
        </w:rPr>
      </w:pPr>
    </w:p>
    <w:p>
      <w:pPr>
        <w:ind w:left="420" w:right="100" w:hanging="431"/>
        <w:spacing w:after="0" w:line="277" w:lineRule="auto"/>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In order for a resolution of the General Meeting on an issuance or an authorisation as referred to in Article 6.1 to be valid, a prior or simultaneous approval shall be required from each Class Meeting of shares whose rights are prejudiced by the issuance.</w:t>
      </w:r>
    </w:p>
    <w:p>
      <w:pPr>
        <w:spacing w:after="0" w:line="76" w:lineRule="exact"/>
        <w:rPr>
          <w:sz w:val="20"/>
          <w:szCs w:val="20"/>
          <w:color w:val="auto"/>
        </w:rPr>
      </w:pPr>
    </w:p>
    <w:p>
      <w:pPr>
        <w:ind w:left="420" w:right="240" w:hanging="431"/>
        <w:spacing w:after="0" w:line="277" w:lineRule="auto"/>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The preceding provisions of this Article 6 apply mutatis mutandis to the granting of rights to subscribe for shares, but do not apply in respect of issuing shares to a party exercising a previously acquired right to subscribe for shares.</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color w:val="auto"/>
        </w:rPr>
        <w:t>The Company may not subscribe for shares in its own capital.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PRE-EMPTION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w:t>
      </w:r>
    </w:p>
    <w:p>
      <w:pPr>
        <w:spacing w:after="0" w:line="131" w:lineRule="exact"/>
        <w:rPr>
          <w:sz w:val="20"/>
          <w:szCs w:val="20"/>
          <w:color w:val="auto"/>
        </w:rPr>
      </w:pPr>
    </w:p>
    <w:p>
      <w:pPr>
        <w:ind w:left="420" w:right="340" w:hanging="431"/>
        <w:spacing w:after="0" w:line="277" w:lineRule="auto"/>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Upon an issue of ordinary shares, each shareholder shall have a pre-emption right in proportion to the aggregate nominal value of his ordinary shares. No pre-emption rights are attached to preferred shares.</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color w:val="auto"/>
        </w:rPr>
        <w:t>In deviation of Article 7.1, shareholders do not have pre-emption rights in respect of:</w:t>
      </w:r>
    </w:p>
    <w:p>
      <w:pPr>
        <w:spacing w:after="0" w:line="135" w:lineRule="exact"/>
        <w:rPr>
          <w:sz w:val="20"/>
          <w:szCs w:val="20"/>
          <w:color w:val="auto"/>
        </w:rPr>
      </w:pPr>
    </w:p>
    <w:p>
      <w:pPr>
        <w:ind w:left="960" w:hanging="532"/>
        <w:spacing w:after="0"/>
        <w:tabs>
          <w:tab w:leader="none" w:pos="96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preferred shares;</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shares issued against non-cash contribution; or</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shares issued to employees of the Company or of a Group Company.</w:t>
      </w:r>
    </w:p>
    <w:p>
      <w:pPr>
        <w:spacing w:after="0" w:line="127" w:lineRule="exact"/>
        <w:rPr>
          <w:sz w:val="20"/>
          <w:szCs w:val="20"/>
          <w:color w:val="auto"/>
        </w:rPr>
      </w:pPr>
    </w:p>
    <w:p>
      <w:pPr>
        <w:jc w:val="right"/>
        <w:ind w:right="100"/>
        <w:spacing w:after="0" w:line="347"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color w:val="auto"/>
        </w:rPr>
        <w:t>The Company shall announce an issue with pre-emption rights and the period during which those rights can be exercised in the State Gazette and</w:t>
      </w:r>
      <w:r>
        <w:rPr>
          <w:rFonts w:ascii="Arial" w:cs="Arial" w:eastAsia="Arial" w:hAnsi="Arial"/>
          <w:sz w:val="16"/>
          <w:szCs w:val="16"/>
          <w:b w:val="1"/>
          <w:bCs w:val="1"/>
          <w:color w:val="auto"/>
        </w:rPr>
        <w:t xml:space="preserve"> </w:t>
      </w:r>
      <w:r>
        <w:rPr>
          <w:rFonts w:ascii="Arial" w:cs="Arial" w:eastAsia="Arial" w:hAnsi="Arial"/>
          <w:sz w:val="16"/>
          <w:szCs w:val="16"/>
          <w:color w:val="auto"/>
        </w:rPr>
        <w:t>in a daily newspaper with national distribution, unless the announcement is sent in writing to all shareholders at the addresses submitted by them.</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634" w:right="459" w:bottom="1440" w:gutter="0" w:footer="0" w:header="0"/>
        </w:sectPr>
      </w:pPr>
    </w:p>
    <w:bookmarkStart w:id="311" w:name="page312"/>
    <w:bookmarkEnd w:id="311"/>
    <w:p>
      <w:pPr>
        <w:ind w:left="420" w:right="920" w:hanging="431"/>
        <w:spacing w:after="0" w:line="277" w:lineRule="auto"/>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7.4</w:t>
      </w:r>
      <w:r>
        <w:rPr>
          <w:sz w:val="20"/>
          <w:szCs w:val="20"/>
          <w:color w:val="auto"/>
        </w:rPr>
        <w:tab/>
      </w:r>
      <w:r>
        <w:rPr>
          <w:rFonts w:ascii="Arial" w:cs="Arial" w:eastAsia="Arial" w:hAnsi="Arial"/>
          <w:sz w:val="18"/>
          <w:szCs w:val="18"/>
          <w:color w:val="auto"/>
        </w:rPr>
        <w:t>Pre-emption rights may be exercised for a period of at least two weeks after the date of announcement in the State Gazette or after the announcement was sent to the shareholders.</w:t>
      </w:r>
    </w:p>
    <w:p>
      <w:pPr>
        <w:spacing w:after="0" w:line="76" w:lineRule="exact"/>
        <w:rPr>
          <w:sz w:val="20"/>
          <w:szCs w:val="20"/>
          <w:color w:val="auto"/>
        </w:rPr>
      </w:pPr>
    </w:p>
    <w:p>
      <w:pPr>
        <w:ind w:left="420" w:hanging="431"/>
        <w:spacing w:after="0" w:line="257" w:lineRule="auto"/>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color w:val="auto"/>
        </w:rPr>
        <w:t>Pre-emption rights may be limited or excluded by a resolution of the General Meeting or of the body authorised as referred to in Article 6.1,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p>
      <w:pPr>
        <w:spacing w:after="0" w:line="93" w:lineRule="exact"/>
        <w:rPr>
          <w:sz w:val="20"/>
          <w:szCs w:val="20"/>
          <w:color w:val="auto"/>
        </w:rPr>
      </w:pPr>
    </w:p>
    <w:p>
      <w:pPr>
        <w:ind w:left="420" w:right="40" w:hanging="431"/>
        <w:spacing w:after="0" w:line="308" w:lineRule="auto"/>
        <w:tabs>
          <w:tab w:leader="none" w:pos="4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color w:val="auto"/>
        </w:rPr>
        <w:t>A resolution of the General Meeting to limit or exclude pre-emption rights, or to grant an authorisation as referred to in Article 7.5, shall require a majority of at least two thirds of the votes cast if less than half of the issued share capital is represented at the General Meeting.</w:t>
      </w:r>
    </w:p>
    <w:p>
      <w:pPr>
        <w:spacing w:after="0" w:line="52" w:lineRule="exact"/>
        <w:rPr>
          <w:sz w:val="20"/>
          <w:szCs w:val="20"/>
          <w:color w:val="auto"/>
        </w:rPr>
      </w:pPr>
    </w:p>
    <w:p>
      <w:pPr>
        <w:ind w:left="420" w:right="220" w:hanging="431"/>
        <w:spacing w:after="0" w:line="277" w:lineRule="auto"/>
        <w:tabs>
          <w:tab w:leader="none" w:pos="40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color w:val="auto"/>
        </w:rPr>
        <w:t>The preceding provisions of this Article 7 apply mutatis mutandis to the granting of rights to subscribe for shares, but do not apply in respect of issuing shares to a party exercising a previously acquired right to subscribe for shares.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w:t>
      </w:r>
    </w:p>
    <w:p>
      <w:pPr>
        <w:spacing w:after="0" w:line="131" w:lineRule="exact"/>
        <w:rPr>
          <w:sz w:val="20"/>
          <w:szCs w:val="20"/>
          <w:color w:val="auto"/>
        </w:rPr>
      </w:pPr>
    </w:p>
    <w:p>
      <w:pPr>
        <w:ind w:left="420" w:right="20" w:hanging="431"/>
        <w:spacing w:after="0" w:line="259" w:lineRule="auto"/>
        <w:tabs>
          <w:tab w:leader="none" w:pos="4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Without prejudice to Section 2:80(2) DCC, the nominal value of a share and, if the share is subscribed for at a higher price, the difference between these amounts must be paid up upon subscription for that share. However, it may be stipulated that part of the nominal value of a preferred share, not exceeding three quarters thereof, need not be paid up until the Company has called for payment. The Company shall observe a reasonable notice period of at least one month with respect to any such call for payment.</w:t>
      </w:r>
    </w:p>
    <w:p>
      <w:pPr>
        <w:spacing w:after="0" w:line="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Shares must be paid up in cash, except to the extent that payment by means of a contribution in another form has been agreed.</w:t>
      </w:r>
    </w:p>
    <w:p>
      <w:pPr>
        <w:spacing w:after="0" w:line="131" w:lineRule="exact"/>
        <w:rPr>
          <w:sz w:val="20"/>
          <w:szCs w:val="20"/>
          <w:color w:val="auto"/>
        </w:rPr>
      </w:pPr>
    </w:p>
    <w:p>
      <w:pPr>
        <w:ind w:left="420" w:right="60" w:hanging="431"/>
        <w:spacing w:after="0" w:line="263" w:lineRule="auto"/>
        <w:tabs>
          <w:tab w:leader="none" w:pos="4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color w:val="auto"/>
        </w:rPr>
        <w:t>Payment in a currency other than the euro can only be made with the Company’s consent. Where such a payment is made, the payment obligation is satisfied for the amount in euro for which the paid amount can be freely exchanged. Without prejudice to the last sentence of Section 2:80a(3) DCC, the date of the payment determines the exchange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FINANCIAL ASSISTANCE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131" w:lineRule="exact"/>
        <w:rPr>
          <w:sz w:val="20"/>
          <w:szCs w:val="20"/>
          <w:color w:val="auto"/>
        </w:rPr>
      </w:pPr>
    </w:p>
    <w:p>
      <w:pPr>
        <w:jc w:val="both"/>
        <w:ind w:left="420" w:right="280" w:hanging="431"/>
        <w:spacing w:after="0" w:line="263" w:lineRule="auto"/>
        <w:tabs>
          <w:tab w:leader="none" w:pos="4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634" w:right="479" w:bottom="1440" w:gutter="0" w:footer="0" w:header="0"/>
        </w:sectPr>
      </w:pPr>
    </w:p>
    <w:bookmarkStart w:id="312" w:name="page313"/>
    <w:bookmarkEnd w:id="312"/>
    <w:p>
      <w:pPr>
        <w:ind w:left="420" w:right="380" w:hanging="431"/>
        <w:spacing w:after="0" w:line="308" w:lineRule="auto"/>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9.2</w:t>
      </w:r>
      <w:r>
        <w:rPr>
          <w:sz w:val="20"/>
          <w:szCs w:val="20"/>
          <w:color w:val="auto"/>
        </w:rPr>
        <w:tab/>
      </w:r>
      <w:r>
        <w:rPr>
          <w:rFonts w:ascii="Arial" w:cs="Arial" w:eastAsia="Arial" w:hAnsi="Arial"/>
          <w:sz w:val="17"/>
          <w:szCs w:val="17"/>
          <w:color w:val="auto"/>
        </w:rPr>
        <w:t>The Company and its Subsidiaries may not provide loans with a view to the subscription for or acquisition of shares or depository receipts for shares in the Company’s capital by others, unless the Board resolves to do so and Section 2:98c DCC is observed.</w:t>
      </w:r>
    </w:p>
    <w:p>
      <w:pPr>
        <w:spacing w:after="0" w:line="52" w:lineRule="exact"/>
        <w:rPr>
          <w:sz w:val="20"/>
          <w:szCs w:val="20"/>
          <w:color w:val="auto"/>
        </w:rPr>
      </w:pPr>
    </w:p>
    <w:p>
      <w:pPr>
        <w:ind w:left="420" w:right="760" w:hanging="431"/>
        <w:spacing w:after="0" w:line="277" w:lineRule="auto"/>
        <w:tabs>
          <w:tab w:leader="none" w:pos="40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The preceding provisions of this Article 9 do not apply if shares or depository receipts for shares are subscribed for or acquired by or for employees of the Company or of a Group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ACQUISITION OF OWN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acquisition by the Company of shares in its own capital which have not been fully paid up shall be null and void.</w:t>
      </w:r>
    </w:p>
    <w:p>
      <w:pPr>
        <w:spacing w:after="0" w:line="131" w:lineRule="exact"/>
        <w:rPr>
          <w:sz w:val="20"/>
          <w:szCs w:val="20"/>
          <w:color w:val="auto"/>
        </w:rPr>
      </w:pPr>
    </w:p>
    <w:p>
      <w:pPr>
        <w:ind w:left="420" w:right="320" w:hanging="431"/>
        <w:spacing w:after="0" w:line="312"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color w:val="auto"/>
        </w:rPr>
        <w:t>The Company may only acquire fully paid up shares in its own capital for no consideration or if and to the extent that the General Meeting has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authorised the Board for this purpose and all other relevant statutory requirements of Section 2:98 DCC are observed.</w:t>
      </w:r>
    </w:p>
    <w:p>
      <w:pPr>
        <w:spacing w:after="0" w:line="45" w:lineRule="exact"/>
        <w:rPr>
          <w:sz w:val="20"/>
          <w:szCs w:val="20"/>
          <w:color w:val="auto"/>
        </w:rPr>
      </w:pPr>
    </w:p>
    <w:p>
      <w:pPr>
        <w:ind w:left="420" w:right="40" w:hanging="431"/>
        <w:spacing w:after="0" w:line="258"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An authorisation as referred to in Article 10.2 remains valid for no longer than eighteen months. When granting such authorisation,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p>
      <w:pPr>
        <w:spacing w:after="0" w:line="89" w:lineRule="exact"/>
        <w:rPr>
          <w:sz w:val="20"/>
          <w:szCs w:val="20"/>
          <w:color w:val="auto"/>
        </w:rPr>
      </w:pPr>
    </w:p>
    <w:p>
      <w:pPr>
        <w:jc w:val="both"/>
        <w:ind w:left="420" w:right="280" w:hanging="431"/>
        <w:spacing w:after="0" w:line="266"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Without prejudice to Articles 10.1 through 10.3, the Company may acquire shares in its own capital for cash consideration or for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 in the form of assets. In the case of a consideration being satisfied in the form of assets, the value thereof, as determined by the Board, must be within the range stipulated by the General Meeting as referred to in Article 10.3.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The previous provisions of this Article 10 do not apply to shares acquired by the Company under universal title of succession.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color w:val="auto"/>
        </w:rPr>
        <w:t>In this Article 10, references to shares include depository receipts for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REDUCTION OF ISSUED SHARE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131" w:lineRule="exact"/>
        <w:rPr>
          <w:sz w:val="20"/>
          <w:szCs w:val="20"/>
          <w:color w:val="auto"/>
        </w:rPr>
      </w:pPr>
    </w:p>
    <w:p>
      <w:pPr>
        <w:jc w:val="both"/>
        <w:ind w:left="420" w:hanging="431"/>
        <w:spacing w:after="0" w:line="26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The General Meeting can resolve to reduce the Company’s issued share capital by cancelling shares or by reducing the nominal value of shares by</w:t>
      </w:r>
      <w:r>
        <w:rPr>
          <w:rFonts w:ascii="Arial" w:cs="Arial" w:eastAsia="Arial" w:hAnsi="Arial"/>
          <w:sz w:val="18"/>
          <w:szCs w:val="18"/>
          <w:b w:val="1"/>
          <w:bCs w:val="1"/>
          <w:color w:val="auto"/>
        </w:rPr>
        <w:t xml:space="preserve"> </w:t>
      </w:r>
      <w:r>
        <w:rPr>
          <w:rFonts w:ascii="Arial" w:cs="Arial" w:eastAsia="Arial" w:hAnsi="Arial"/>
          <w:sz w:val="18"/>
          <w:szCs w:val="18"/>
          <w:color w:val="auto"/>
        </w:rPr>
        <w:t>virtue of an amendment to these articles of association. The resolution must designate the shares to which the resolution relates and it must provide for the implementation of the resolution.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634" w:right="4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11.2  </w:t>
      </w:r>
      <w:r>
        <w:rPr>
          <w:rFonts w:ascii="Arial" w:cs="Arial" w:eastAsia="Arial" w:hAnsi="Arial"/>
          <w:sz w:val="18"/>
          <w:szCs w:val="18"/>
          <w:color w:val="auto"/>
        </w:rPr>
        <w:t>A resolution to cancel shares can only relate to:</w:t>
      </w:r>
    </w:p>
    <w:p>
      <w:pPr>
        <w:spacing w:after="0" w:line="135" w:lineRule="exact"/>
        <w:rPr>
          <w:sz w:val="20"/>
          <w:szCs w:val="20"/>
          <w:color w:val="auto"/>
        </w:rPr>
      </w:pPr>
    </w:p>
    <w:p>
      <w:pPr>
        <w:ind w:left="960" w:hanging="532"/>
        <w:spacing w:after="0"/>
        <w:tabs>
          <w:tab w:leader="none" w:pos="96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shares held by the Company itself or in respect of which the Company holds the depository receipts; and</w:t>
      </w:r>
    </w:p>
    <w:p>
      <w:pPr>
        <w:spacing w:after="0" w:line="130" w:lineRule="exact"/>
        <w:rPr>
          <w:rFonts w:ascii="Arial" w:cs="Arial" w:eastAsia="Arial" w:hAnsi="Arial"/>
          <w:sz w:val="18"/>
          <w:szCs w:val="18"/>
          <w:b w:val="1"/>
          <w:bCs w:val="1"/>
          <w:color w:val="auto"/>
        </w:rPr>
      </w:pPr>
    </w:p>
    <w:p>
      <w:pPr>
        <w:ind w:left="960" w:right="40" w:hanging="532"/>
        <w:spacing w:after="0" w:line="263" w:lineRule="auto"/>
        <w:tabs>
          <w:tab w:leader="none" w:pos="96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all preferred shares, with repayment of the amounts paid up in respect thereof and provided that, to the extent allowed under Articles 30.1 and 30.2, a distribution is made on those preferred shares, in proportion to the amounts paid up on those preferred shares, immediately prior to such cancellation becoming effective, for an aggregate amount of:</w:t>
      </w:r>
    </w:p>
    <w:p>
      <w:pPr>
        <w:spacing w:after="0" w:line="89" w:lineRule="exact"/>
        <w:rPr>
          <w:rFonts w:ascii="Arial" w:cs="Arial" w:eastAsia="Arial" w:hAnsi="Arial"/>
          <w:sz w:val="18"/>
          <w:szCs w:val="18"/>
          <w:b w:val="1"/>
          <w:bCs w:val="1"/>
          <w:color w:val="auto"/>
        </w:rPr>
      </w:pPr>
    </w:p>
    <w:p>
      <w:pPr>
        <w:ind w:left="1420" w:right="240" w:hanging="439"/>
        <w:spacing w:after="0" w:line="263" w:lineRule="auto"/>
        <w:tabs>
          <w:tab w:leader="none" w:pos="14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the total of all Preferred Distributions (or parts thereof) in relation to financial years prior to the financial year in which the cancellation occurs, to the extent that these should have been distributed but have not yet been distributed as described in Article 32.1; and</w:t>
      </w:r>
    </w:p>
    <w:p>
      <w:pPr>
        <w:spacing w:after="0" w:line="89" w:lineRule="exact"/>
        <w:rPr>
          <w:rFonts w:ascii="Arial" w:cs="Arial" w:eastAsia="Arial" w:hAnsi="Arial"/>
          <w:sz w:val="18"/>
          <w:szCs w:val="18"/>
          <w:b w:val="1"/>
          <w:bCs w:val="1"/>
          <w:color w:val="auto"/>
        </w:rPr>
      </w:pPr>
    </w:p>
    <w:p>
      <w:pPr>
        <w:ind w:left="1420" w:right="160" w:hanging="439"/>
        <w:spacing w:after="0" w:line="277" w:lineRule="auto"/>
        <w:tabs>
          <w:tab w:leader="none" w:pos="14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the Preferred Distribution calculated in respect of the part of the financial year in which the cancellation occurs, for the number of days that have elapsed during such part of the financial year.</w:t>
      </w:r>
    </w:p>
    <w:p>
      <w:pPr>
        <w:spacing w:after="0" w:line="72" w:lineRule="exact"/>
        <w:rPr>
          <w:sz w:val="20"/>
          <w:szCs w:val="20"/>
          <w:color w:val="auto"/>
        </w:rPr>
      </w:pPr>
    </w:p>
    <w:p>
      <w:pPr>
        <w:ind w:left="420" w:right="400" w:hanging="431"/>
        <w:spacing w:after="0" w:line="266"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A resolution to reduce the Company’s issued share capital, shall require a prior or simultaneous approval from each Class Meeting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whose rights are prejudiced. However, if such a resolution relates to preferred shares, such resolution shall always require the prior or simultaneous approval of the Class Meeting concerned.</w:t>
      </w:r>
    </w:p>
    <w:p>
      <w:pPr>
        <w:spacing w:after="0" w:line="81" w:lineRule="exact"/>
        <w:rPr>
          <w:sz w:val="20"/>
          <w:szCs w:val="20"/>
          <w:color w:val="auto"/>
        </w:rPr>
      </w:pPr>
    </w:p>
    <w:p>
      <w:pPr>
        <w:ind w:left="420" w:hanging="431"/>
        <w:spacing w:after="0" w:line="266"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A resolution of the General Meeting to reduce the Company’s issued share capital shall require a majority of at least two thirds of the votes cast if</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half of the issued share capital is represented at the General Meeting. The previous sentence applies mutatis mutandis to a resolution as referred to in Article 11.3.</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ISSUE AND TRANSFER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131" w:lineRule="exact"/>
        <w:rPr>
          <w:sz w:val="20"/>
          <w:szCs w:val="20"/>
          <w:color w:val="auto"/>
        </w:rPr>
      </w:pPr>
    </w:p>
    <w:p>
      <w:pPr>
        <w:ind w:left="420" w:right="440" w:hanging="431"/>
        <w:spacing w:after="0" w:line="312"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color w:val="auto"/>
        </w:rPr>
        <w:t>Except as otherwise provided or allowed by Dutch law, the issue or transfer of a share shall require a deed to that effect and, in the case of a</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and unless the Company itself is a party to the transaction, acknowledgement of the transfer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The acknowledgement shall be set out in the deed or shall be made in such other manner as prescribed by law.</w:t>
      </w:r>
    </w:p>
    <w:p>
      <w:pPr>
        <w:spacing w:after="0" w:line="131" w:lineRule="exact"/>
        <w:rPr>
          <w:sz w:val="20"/>
          <w:szCs w:val="20"/>
          <w:color w:val="auto"/>
        </w:rPr>
      </w:pPr>
    </w:p>
    <w:p>
      <w:pPr>
        <w:ind w:left="420" w:right="40" w:hanging="431"/>
        <w:spacing w:after="0" w:line="261"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For as long as any ordinary shares are admitted to trading on the New York Stock Exchange, the NASDAQ Stock Market or on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634" w:right="5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SHARES - USUFRUCT AND PLEDGE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color w:val="auto"/>
        </w:rPr>
        <w:t>Shares can be encumbered with a usufruct or pledge. The creation of a pledge on preferred shares shall require the prior approval of the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The voting rights attached to a share which is subject to a usufruct or pledge vest in the shareholder concerned.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In deviation of Article 13.2:</w:t>
      </w:r>
    </w:p>
    <w:p>
      <w:pPr>
        <w:spacing w:after="0" w:line="135" w:lineRule="exact"/>
        <w:rPr>
          <w:sz w:val="20"/>
          <w:szCs w:val="20"/>
          <w:color w:val="auto"/>
        </w:rPr>
      </w:pPr>
    </w:p>
    <w:p>
      <w:pPr>
        <w:ind w:left="960" w:right="80" w:hanging="532"/>
        <w:spacing w:after="0" w:line="277" w:lineRule="auto"/>
        <w:tabs>
          <w:tab w:leader="none" w:pos="96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the holder of a usufruct or pledge on ordinary shares shall have the voting rights attached thereto if this was provided when the usufruct or pledge was created; and</w:t>
      </w:r>
    </w:p>
    <w:p>
      <w:pPr>
        <w:spacing w:after="0" w:line="75" w:lineRule="exact"/>
        <w:rPr>
          <w:rFonts w:ascii="Arial" w:cs="Arial" w:eastAsia="Arial" w:hAnsi="Arial"/>
          <w:sz w:val="18"/>
          <w:szCs w:val="18"/>
          <w:b w:val="1"/>
          <w:bCs w:val="1"/>
          <w:color w:val="auto"/>
        </w:rPr>
      </w:pPr>
    </w:p>
    <w:p>
      <w:pPr>
        <w:ind w:left="960" w:right="20" w:hanging="532"/>
        <w:spacing w:after="0" w:line="277" w:lineRule="auto"/>
        <w:tabs>
          <w:tab w:leader="none" w:pos="96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the holder of a usufruct or pledge on preferred shares shall have the voting rights attached thereto if this was provided when the usufruct or pledge was created and this was approved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Usufructuaries and pledgees without voting rights shall not have Meeting Rights.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TRANSFER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w:t>
      </w:r>
    </w:p>
    <w:p>
      <w:pPr>
        <w:spacing w:after="0" w:line="131" w:lineRule="exact"/>
        <w:rPr>
          <w:sz w:val="20"/>
          <w:szCs w:val="20"/>
          <w:color w:val="auto"/>
        </w:rPr>
      </w:pPr>
    </w:p>
    <w:p>
      <w:pPr>
        <w:ind w:left="420" w:right="240" w:hanging="431"/>
        <w:spacing w:after="0" w:line="347"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A transfer of preferred shares shall require the prior approval of the Board. A shareholder wishing to transfer preferred shares must first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to grant such approval. A transfer of ordinary shares is not subject to transfer restrictions under these articles of association.</w:t>
      </w:r>
    </w:p>
    <w:p>
      <w:pPr>
        <w:spacing w:after="0" w:line="21" w:lineRule="exact"/>
        <w:rPr>
          <w:sz w:val="20"/>
          <w:szCs w:val="20"/>
          <w:color w:val="auto"/>
        </w:rPr>
      </w:pPr>
    </w:p>
    <w:p>
      <w:pPr>
        <w:ind w:left="420" w:right="60" w:hanging="431"/>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A transfer of the preferred shares to which the request for approval relates must take place within three months after the approval of the Board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granted or is deemed to have been granted pursuant to Article 14.3.</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The approval of the Board shall be deemed to have been granted:</w:t>
      </w:r>
    </w:p>
    <w:p>
      <w:pPr>
        <w:spacing w:after="0" w:line="135" w:lineRule="exact"/>
        <w:rPr>
          <w:sz w:val="20"/>
          <w:szCs w:val="20"/>
          <w:color w:val="auto"/>
        </w:rPr>
      </w:pPr>
    </w:p>
    <w:p>
      <w:pPr>
        <w:ind w:left="960" w:right="280" w:hanging="532"/>
        <w:spacing w:after="0" w:line="277" w:lineRule="auto"/>
        <w:tabs>
          <w:tab w:leader="none" w:pos="96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if no resolution granting or denying the approval has been passed by the Board within three months after the Company has received the request for approval; or</w:t>
      </w:r>
    </w:p>
    <w:p>
      <w:pPr>
        <w:spacing w:after="0" w:line="75" w:lineRule="exact"/>
        <w:rPr>
          <w:rFonts w:ascii="Arial" w:cs="Arial" w:eastAsia="Arial" w:hAnsi="Arial"/>
          <w:sz w:val="18"/>
          <w:szCs w:val="18"/>
          <w:b w:val="1"/>
          <w:bCs w:val="1"/>
          <w:color w:val="auto"/>
        </w:rPr>
      </w:pPr>
    </w:p>
    <w:p>
      <w:pPr>
        <w:ind w:left="960" w:right="20" w:hanging="532"/>
        <w:spacing w:after="0" w:line="277" w:lineRule="auto"/>
        <w:tabs>
          <w:tab w:leader="none" w:pos="96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if the Board, when denying the approval, does not notify the requesting shareholder of the identity of one or more interested parties willing to purchase the relevant preferred shares.</w:t>
      </w:r>
    </w:p>
    <w:p>
      <w:pPr>
        <w:spacing w:after="0" w:line="72" w:lineRule="exact"/>
        <w:rPr>
          <w:sz w:val="20"/>
          <w:szCs w:val="20"/>
          <w:color w:val="auto"/>
        </w:rPr>
      </w:pPr>
    </w:p>
    <w:p>
      <w:pPr>
        <w:ind w:left="420" w:hanging="431"/>
        <w:spacing w:after="0" w:line="28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If the Board denies the approval and notifies the requesting shareholder of the identity of one or more interested parties, the requesting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notify the Board within two weeks after having received such notice whether:</w:t>
      </w:r>
    </w:p>
    <w:p>
      <w:pPr>
        <w:spacing w:after="0" w:line="71" w:lineRule="exact"/>
        <w:rPr>
          <w:sz w:val="20"/>
          <w:szCs w:val="20"/>
          <w:color w:val="auto"/>
        </w:rPr>
      </w:pPr>
    </w:p>
    <w:p>
      <w:pPr>
        <w:ind w:left="960" w:hanging="532"/>
        <w:spacing w:after="0"/>
        <w:tabs>
          <w:tab w:leader="none" w:pos="960" w:val="left"/>
        </w:tabs>
        <w:numPr>
          <w:ilvl w:val="0"/>
          <w:numId w:val="215"/>
        </w:numPr>
        <w:rPr>
          <w:rFonts w:ascii="Arial" w:cs="Arial" w:eastAsia="Arial" w:hAnsi="Arial"/>
          <w:sz w:val="17"/>
          <w:szCs w:val="17"/>
          <w:b w:val="1"/>
          <w:bCs w:val="1"/>
          <w:color w:val="auto"/>
        </w:rPr>
      </w:pPr>
      <w:r>
        <w:rPr>
          <w:rFonts w:ascii="Arial" w:cs="Arial" w:eastAsia="Arial" w:hAnsi="Arial"/>
          <w:sz w:val="17"/>
          <w:szCs w:val="17"/>
          <w:color w:val="auto"/>
        </w:rPr>
        <w:t>he withdraws his request for approval, in which case the requesting shareholder cannot transfer the relevant preferred shares; or</w:t>
      </w:r>
    </w:p>
    <w:p>
      <w:pPr>
        <w:spacing w:after="0" w:line="169" w:lineRule="exact"/>
        <w:rPr>
          <w:rFonts w:ascii="Arial" w:cs="Arial" w:eastAsia="Arial" w:hAnsi="Arial"/>
          <w:sz w:val="17"/>
          <w:szCs w:val="17"/>
          <w:b w:val="1"/>
          <w:bCs w:val="1"/>
          <w:color w:val="auto"/>
        </w:rPr>
      </w:pPr>
    </w:p>
    <w:p>
      <w:pPr>
        <w:ind w:left="5460"/>
        <w:spacing w:after="0"/>
        <w:rPr>
          <w:rFonts w:ascii="Arial" w:cs="Arial" w:eastAsia="Arial" w:hAnsi="Arial"/>
          <w:sz w:val="17"/>
          <w:szCs w:val="17"/>
          <w:b w:val="1"/>
          <w:bCs w:val="1"/>
          <w:color w:val="auto"/>
        </w:rPr>
      </w:pPr>
      <w:r>
        <w:rPr>
          <w:rFonts w:ascii="Arial" w:cs="Arial" w:eastAsia="Arial" w:hAnsi="Arial"/>
          <w:sz w:val="18"/>
          <w:szCs w:val="18"/>
          <w:color w:val="auto"/>
        </w:rPr>
        <w:t>9</w:t>
      </w:r>
    </w:p>
    <w:p>
      <w:pPr>
        <w:sectPr>
          <w:pgSz w:w="11900" w:h="16838" w:orient="portrait"/>
          <w:cols w:equalWidth="0" w:num="1">
            <w:col w:w="11000"/>
          </w:cols>
          <w:pgMar w:left="440" w:top="634" w:right="459" w:bottom="1440" w:gutter="0" w:footer="0" w:header="0"/>
        </w:sectPr>
      </w:pPr>
    </w:p>
    <w:bookmarkStart w:id="315" w:name="page316"/>
    <w:bookmarkEnd w:id="315"/>
    <w:p>
      <w:pPr>
        <w:ind w:left="960" w:right="360" w:hanging="532"/>
        <w:spacing w:after="0" w:line="277" w:lineRule="auto"/>
        <w:tabs>
          <w:tab w:leader="none" w:pos="96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he accepts the interested party(ies), in which case the requesting shareholder shall promptly enter into negotiations with the interested party(ies) regarding the price to be paid for the relevant preferred shares.</w:t>
      </w:r>
    </w:p>
    <w:p>
      <w:pPr>
        <w:spacing w:after="0" w:line="62"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If the requesting shareholder does not notify the Board of his choice in a timely fashion, he shall be deemed to have withdrawn his request for approval, in which case he cannot transfer the relevant preferred shares.</w:t>
      </w:r>
    </w:p>
    <w:p>
      <w:pPr>
        <w:spacing w:after="0" w:line="72" w:lineRule="exact"/>
        <w:rPr>
          <w:sz w:val="20"/>
          <w:szCs w:val="20"/>
          <w:color w:val="auto"/>
        </w:rPr>
      </w:pPr>
    </w:p>
    <w:p>
      <w:pPr>
        <w:ind w:left="420" w:right="60" w:hanging="431"/>
        <w:spacing w:after="0" w:line="266"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If an agreement is reached in the negotiations referred to in Article 14.4 paragraph b. within two weeks after the end of the period referred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14.4, the relevant preferred shares shall be transferred for the agreed price within three months after such agreement having been reached. If no agreement is reached in these negotiations in a timely fashion:</w:t>
      </w:r>
    </w:p>
    <w:p>
      <w:pPr>
        <w:spacing w:after="0" w:line="85" w:lineRule="exact"/>
        <w:rPr>
          <w:sz w:val="20"/>
          <w:szCs w:val="20"/>
          <w:color w:val="auto"/>
        </w:rPr>
      </w:pPr>
    </w:p>
    <w:p>
      <w:pPr>
        <w:ind w:left="960" w:hanging="532"/>
        <w:spacing w:after="0"/>
        <w:tabs>
          <w:tab w:leader="none" w:pos="96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the requesting shareholder shall promptly notify the Board thereof; and</w:t>
      </w:r>
    </w:p>
    <w:p>
      <w:pPr>
        <w:spacing w:after="0" w:line="130" w:lineRule="exact"/>
        <w:rPr>
          <w:rFonts w:ascii="Arial" w:cs="Arial" w:eastAsia="Arial" w:hAnsi="Arial"/>
          <w:sz w:val="18"/>
          <w:szCs w:val="18"/>
          <w:b w:val="1"/>
          <w:bCs w:val="1"/>
          <w:color w:val="auto"/>
        </w:rPr>
      </w:pPr>
    </w:p>
    <w:p>
      <w:pPr>
        <w:ind w:left="960" w:right="60" w:hanging="532"/>
        <w:spacing w:after="0" w:line="277" w:lineRule="auto"/>
        <w:tabs>
          <w:tab w:leader="none" w:pos="96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the price to be paid for the relevant preferred shares shall be equal to the value thereof, as determined by one or more independent experts to be appointed by the requesting shareholder and the interested party(ies) by mutual agreement.</w:t>
      </w:r>
    </w:p>
    <w:p>
      <w:pPr>
        <w:spacing w:after="0" w:line="72" w:lineRule="exact"/>
        <w:rPr>
          <w:sz w:val="20"/>
          <w:szCs w:val="20"/>
          <w:color w:val="auto"/>
        </w:rPr>
      </w:pPr>
    </w:p>
    <w:p>
      <w:pPr>
        <w:ind w:left="420" w:right="120" w:hanging="431"/>
        <w:spacing w:after="0" w:line="282" w:lineRule="auto"/>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If no agreement is reached on the appointment of the independent expert(s) as referred to in Article 14.5 paragraph b. within two weeks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period referred to in Article 14.5:</w:t>
      </w:r>
    </w:p>
    <w:p>
      <w:pPr>
        <w:spacing w:after="0" w:line="71" w:lineRule="exact"/>
        <w:rPr>
          <w:sz w:val="20"/>
          <w:szCs w:val="20"/>
          <w:color w:val="auto"/>
        </w:rPr>
      </w:pPr>
    </w:p>
    <w:p>
      <w:pPr>
        <w:ind w:left="960" w:hanging="532"/>
        <w:spacing w:after="0"/>
        <w:tabs>
          <w:tab w:leader="none" w:pos="96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requesting shareholder shall promptly notify the Board thereof; and</w:t>
      </w:r>
    </w:p>
    <w:p>
      <w:pPr>
        <w:spacing w:after="0" w:line="130" w:lineRule="exact"/>
        <w:rPr>
          <w:rFonts w:ascii="Arial" w:cs="Arial" w:eastAsia="Arial" w:hAnsi="Arial"/>
          <w:sz w:val="18"/>
          <w:szCs w:val="18"/>
          <w:b w:val="1"/>
          <w:bCs w:val="1"/>
          <w:color w:val="auto"/>
        </w:rPr>
      </w:pPr>
    </w:p>
    <w:p>
      <w:pPr>
        <w:ind w:left="960" w:right="60" w:hanging="532"/>
        <w:spacing w:after="0" w:line="277" w:lineRule="auto"/>
        <w:tabs>
          <w:tab w:leader="none" w:pos="96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requesting shareholder shall promptly request the president of the district court in whose district the Company has its corporate seat to appoint three independent experts to determine the value of the relevant preferred shares.</w:t>
      </w:r>
    </w:p>
    <w:p>
      <w:pPr>
        <w:spacing w:after="0" w:line="72" w:lineRule="exact"/>
        <w:rPr>
          <w:sz w:val="20"/>
          <w:szCs w:val="20"/>
          <w:color w:val="auto"/>
        </w:rPr>
      </w:pPr>
    </w:p>
    <w:p>
      <w:pPr>
        <w:jc w:val="both"/>
        <w:ind w:left="420" w:hanging="431"/>
        <w:spacing w:after="0" w:line="281" w:lineRule="auto"/>
        <w:rPr>
          <w:sz w:val="20"/>
          <w:szCs w:val="20"/>
          <w:color w:val="auto"/>
        </w:rPr>
      </w:pPr>
      <w:r>
        <w:rPr>
          <w:rFonts w:ascii="Arial" w:cs="Arial" w:eastAsia="Arial" w:hAnsi="Arial"/>
          <w:sz w:val="17"/>
          <w:szCs w:val="17"/>
          <w:b w:val="1"/>
          <w:bCs w:val="1"/>
          <w:color w:val="auto"/>
        </w:rPr>
        <w:t xml:space="preserve">14.7 </w:t>
      </w:r>
      <w:r>
        <w:rPr>
          <w:rFonts w:ascii="Arial" w:cs="Arial" w:eastAsia="Arial" w:hAnsi="Arial"/>
          <w:sz w:val="17"/>
          <w:szCs w:val="17"/>
          <w:color w:val="auto"/>
        </w:rPr>
        <w:t>If and when the value of the relevant preferred shares has been determined by the independent expert(s), irrespective of whether he/they was/were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by mutual agreement or by the president of the relevant district court, the requesting shareholder shall promptly notify the Board of the value so determined. The Board shall then promptly inform the interested party(ies) of such value, following which the/each interested party may withdraw from the sale procedure by giving notice thereof to the Board within two weeks.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If any interested party withdraws from the sale procedure in accordance with Article 14.7, the Board:</w:t>
      </w:r>
    </w:p>
    <w:p>
      <w:pPr>
        <w:spacing w:after="0" w:line="135" w:lineRule="exact"/>
        <w:rPr>
          <w:sz w:val="20"/>
          <w:szCs w:val="20"/>
          <w:color w:val="auto"/>
        </w:rPr>
      </w:pPr>
    </w:p>
    <w:p>
      <w:pPr>
        <w:ind w:left="960" w:hanging="532"/>
        <w:spacing w:after="0"/>
        <w:tabs>
          <w:tab w:leader="none" w:pos="96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shall promptly inform the requesting shareholder and the other interested party(ies), if any, thereof; and</w:t>
      </w:r>
    </w:p>
    <w:p>
      <w:pPr>
        <w:spacing w:after="0" w:line="130" w:lineRule="exact"/>
        <w:rPr>
          <w:rFonts w:ascii="Arial" w:cs="Arial" w:eastAsia="Arial" w:hAnsi="Arial"/>
          <w:sz w:val="18"/>
          <w:szCs w:val="18"/>
          <w:b w:val="1"/>
          <w:bCs w:val="1"/>
          <w:color w:val="auto"/>
        </w:rPr>
      </w:pPr>
    </w:p>
    <w:p>
      <w:pPr>
        <w:ind w:left="960" w:right="180" w:hanging="532"/>
        <w:spacing w:after="0" w:line="259" w:lineRule="auto"/>
        <w:tabs>
          <w:tab w:leader="none" w:pos="96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shall give the opportunity to the/each other interested party, if any, to declare to the Board and the requesting shareholder, within two weeks, his willingness to acquire the preferred shares having become available as a result of the withdrawal, for the price determined by the independent expert(s) (with the Board being entitled to determine the allocation of such preferred shares among any such willing interested party(ies) at its absolute discretion).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638" w:right="519" w:bottom="1440" w:gutter="0" w:footer="0" w:header="0"/>
        </w:sectPr>
      </w:pPr>
    </w:p>
    <w:bookmarkStart w:id="316" w:name="page317"/>
    <w:bookmarkEnd w:id="316"/>
    <w:p>
      <w:pPr>
        <w:ind w:left="420" w:right="200" w:hanging="43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14.9 </w:t>
      </w:r>
      <w:r>
        <w:rPr>
          <w:rFonts w:ascii="Arial" w:cs="Arial" w:eastAsia="Arial" w:hAnsi="Arial"/>
          <w:sz w:val="18"/>
          <w:szCs w:val="18"/>
          <w:color w:val="auto"/>
        </w:rPr>
        <w:t>If it becomes apparent to the Board that all relevant preferred shares can be transferred to one or more interested parties for the price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independent expert(s), the Board shall promptly notify the requesting shareholder and such interested party(ies) thereof. Within three months after sending such notice the relevant preferred shares shall be transferred.</w:t>
      </w:r>
    </w:p>
    <w:p>
      <w:pPr>
        <w:spacing w:after="0" w:line="81" w:lineRule="exact"/>
        <w:rPr>
          <w:sz w:val="20"/>
          <w:szCs w:val="20"/>
          <w:color w:val="auto"/>
        </w:rPr>
      </w:pPr>
    </w:p>
    <w:p>
      <w:pPr>
        <w:ind w:left="420" w:right="760" w:hanging="431"/>
        <w:spacing w:after="0" w:line="282" w:lineRule="auto"/>
        <w:rPr>
          <w:sz w:val="20"/>
          <w:szCs w:val="20"/>
          <w:color w:val="auto"/>
        </w:rPr>
      </w:pPr>
      <w:r>
        <w:rPr>
          <w:rFonts w:ascii="Arial" w:cs="Arial" w:eastAsia="Arial" w:hAnsi="Arial"/>
          <w:sz w:val="18"/>
          <w:szCs w:val="18"/>
          <w:b w:val="1"/>
          <w:bCs w:val="1"/>
          <w:color w:val="auto"/>
        </w:rPr>
        <w:t xml:space="preserve">14.10 </w:t>
      </w:r>
      <w:r>
        <w:rPr>
          <w:rFonts w:ascii="Arial" w:cs="Arial" w:eastAsia="Arial" w:hAnsi="Arial"/>
          <w:sz w:val="18"/>
          <w:szCs w:val="18"/>
          <w:color w:val="auto"/>
        </w:rPr>
        <w:t>If it becomes apparent to the Board that not all relevant preferred shares can be transferred to one or more interested parties for the price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independent expert(s):</w:t>
      </w:r>
    </w:p>
    <w:p>
      <w:pPr>
        <w:spacing w:after="0" w:line="71" w:lineRule="exact"/>
        <w:rPr>
          <w:sz w:val="20"/>
          <w:szCs w:val="20"/>
          <w:color w:val="auto"/>
        </w:rPr>
      </w:pPr>
    </w:p>
    <w:p>
      <w:pPr>
        <w:ind w:left="960" w:hanging="532"/>
        <w:spacing w:after="0"/>
        <w:tabs>
          <w:tab w:leader="none" w:pos="96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the Board shall promptly notify the requesting shareholder thereof; and</w:t>
      </w:r>
    </w:p>
    <w:p>
      <w:pPr>
        <w:spacing w:after="0" w:line="130" w:lineRule="exact"/>
        <w:rPr>
          <w:rFonts w:ascii="Arial" w:cs="Arial" w:eastAsia="Arial" w:hAnsi="Arial"/>
          <w:sz w:val="18"/>
          <w:szCs w:val="18"/>
          <w:b w:val="1"/>
          <w:bCs w:val="1"/>
          <w:color w:val="auto"/>
        </w:rPr>
      </w:pPr>
    </w:p>
    <w:p>
      <w:pPr>
        <w:ind w:left="960" w:right="160" w:hanging="532"/>
        <w:spacing w:after="0" w:line="277" w:lineRule="auto"/>
        <w:tabs>
          <w:tab w:leader="none" w:pos="96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the requesting shareholder shall be free to transfer all relevant preferred shares, provided that the transfer takes place within three months after having received the notice referred to in paragraph 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14.11 </w:t>
      </w:r>
      <w:r>
        <w:rPr>
          <w:rFonts w:ascii="Arial" w:cs="Arial" w:eastAsia="Arial" w:hAnsi="Arial"/>
          <w:sz w:val="18"/>
          <w:szCs w:val="18"/>
          <w:color w:val="auto"/>
        </w:rPr>
        <w:t>The Company may only be an interested party under this Article 14 with the consent of the requesting shareholder.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color w:val="auto"/>
        </w:rPr>
        <w:t>All notices given pursuant to this Article 14 shall be provided in writing.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14.13 </w:t>
      </w:r>
      <w:r>
        <w:rPr>
          <w:rFonts w:ascii="Arial" w:cs="Arial" w:eastAsia="Arial" w:hAnsi="Arial"/>
          <w:sz w:val="18"/>
          <w:szCs w:val="18"/>
          <w:color w:val="auto"/>
        </w:rPr>
        <w:t>The preceding provisions of this Article 14 do not apply:</w:t>
      </w:r>
    </w:p>
    <w:p>
      <w:pPr>
        <w:spacing w:after="0" w:line="135" w:lineRule="exact"/>
        <w:rPr>
          <w:sz w:val="20"/>
          <w:szCs w:val="20"/>
          <w:color w:val="auto"/>
        </w:rPr>
      </w:pPr>
    </w:p>
    <w:p>
      <w:pPr>
        <w:ind w:left="960" w:hanging="532"/>
        <w:spacing w:after="0"/>
        <w:tabs>
          <w:tab w:leader="none" w:pos="96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to the extent that a shareholder is under a statutory obligation to transfer preferred shares to a previous holder thereof;</w:t>
      </w:r>
    </w:p>
    <w:p>
      <w:pPr>
        <w:spacing w:after="0" w:line="130" w:lineRule="exact"/>
        <w:rPr>
          <w:rFonts w:ascii="Arial" w:cs="Arial" w:eastAsia="Arial" w:hAnsi="Arial"/>
          <w:sz w:val="18"/>
          <w:szCs w:val="18"/>
          <w:b w:val="1"/>
          <w:bCs w:val="1"/>
          <w:color w:val="auto"/>
        </w:rPr>
      </w:pPr>
    </w:p>
    <w:p>
      <w:pPr>
        <w:ind w:left="960" w:hanging="532"/>
        <w:spacing w:after="0" w:line="277" w:lineRule="auto"/>
        <w:tabs>
          <w:tab w:leader="none" w:pos="96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if it concerns a transfer in connection with an enforcement of a pledge pursuant to Section 3:248 DCC in conjunction with Section 3:250 or 3:251 DCC; or</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if it concerns a transfer to the Company, except in the case that the Company acts as an interested party pursuant to Article 14.11.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14.14 </w:t>
      </w:r>
      <w:r>
        <w:rPr>
          <w:rFonts w:ascii="Arial" w:cs="Arial" w:eastAsia="Arial" w:hAnsi="Arial"/>
          <w:sz w:val="18"/>
          <w:szCs w:val="18"/>
          <w:color w:val="auto"/>
        </w:rPr>
        <w:t>This Article 14 applies mutatis mutandis in case of a transfer of rights to subscribe for preferred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COMPOSITION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The Company has a Board consisting of:</w:t>
      </w:r>
    </w:p>
    <w:p>
      <w:pPr>
        <w:spacing w:after="0" w:line="135" w:lineRule="exact"/>
        <w:rPr>
          <w:sz w:val="20"/>
          <w:szCs w:val="20"/>
          <w:color w:val="auto"/>
        </w:rPr>
      </w:pPr>
    </w:p>
    <w:p>
      <w:pPr>
        <w:ind w:left="960" w:hanging="532"/>
        <w:spacing w:after="0"/>
        <w:tabs>
          <w:tab w:leader="none" w:pos="96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one or more Executive Directors, being primarily charged with the Company’s day-to-day operations; and</w:t>
      </w:r>
    </w:p>
    <w:p>
      <w:pPr>
        <w:spacing w:after="0" w:line="130" w:lineRule="exact"/>
        <w:rPr>
          <w:rFonts w:ascii="Arial" w:cs="Arial" w:eastAsia="Arial" w:hAnsi="Arial"/>
          <w:sz w:val="18"/>
          <w:szCs w:val="18"/>
          <w:b w:val="1"/>
          <w:bCs w:val="1"/>
          <w:color w:val="auto"/>
        </w:rPr>
      </w:pPr>
    </w:p>
    <w:p>
      <w:pPr>
        <w:ind w:left="440" w:right="420" w:hanging="12"/>
        <w:spacing w:after="0" w:line="381" w:lineRule="auto"/>
        <w:tabs>
          <w:tab w:leader="none" w:pos="972"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one or more Non-Executive Directors, being primarily charged with the supervision of the performance of the duties of the Directors. The Board shall be composed of individuals.</w:t>
      </w:r>
    </w:p>
    <w:p>
      <w:pPr>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The Board shall determine the number of Executive Directors and the number of Non-Executive Directors.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634" w:right="459" w:bottom="1440" w:gutter="0" w:footer="0" w:header="0"/>
        </w:sectPr>
      </w:pPr>
    </w:p>
    <w:bookmarkStart w:id="317" w:name="page318"/>
    <w:bookmarkEnd w:id="317"/>
    <w:p>
      <w:pPr>
        <w:ind w:left="420" w:right="760" w:hanging="43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15.3 </w:t>
      </w:r>
      <w:r>
        <w:rPr>
          <w:rFonts w:ascii="Arial" w:cs="Arial" w:eastAsia="Arial" w:hAnsi="Arial"/>
          <w:sz w:val="18"/>
          <w:szCs w:val="18"/>
          <w:color w:val="auto"/>
        </w:rPr>
        <w:t>The Board shall elect an Executive Director to be the CEO. The Board may dismiss the CEO, provided that the CEO so dismissed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subsequently continue his term of office as an Executive Director without having the title of CEO.</w:t>
      </w:r>
    </w:p>
    <w:p>
      <w:pPr>
        <w:spacing w:after="0" w:line="67" w:lineRule="exact"/>
        <w:rPr>
          <w:sz w:val="20"/>
          <w:szCs w:val="20"/>
          <w:color w:val="auto"/>
        </w:rPr>
      </w:pPr>
    </w:p>
    <w:p>
      <w:pPr>
        <w:ind w:left="420" w:right="580" w:hanging="431"/>
        <w:spacing w:after="0" w:line="347" w:lineRule="auto"/>
        <w:rPr>
          <w:sz w:val="20"/>
          <w:szCs w:val="20"/>
          <w:color w:val="auto"/>
        </w:rPr>
      </w:pPr>
      <w:r>
        <w:rPr>
          <w:rFonts w:ascii="Arial" w:cs="Arial" w:eastAsia="Arial" w:hAnsi="Arial"/>
          <w:sz w:val="16"/>
          <w:szCs w:val="16"/>
          <w:b w:val="1"/>
          <w:bCs w:val="1"/>
          <w:color w:val="auto"/>
        </w:rPr>
        <w:t xml:space="preserve">15.4 </w:t>
      </w:r>
      <w:r>
        <w:rPr>
          <w:rFonts w:ascii="Arial" w:cs="Arial" w:eastAsia="Arial" w:hAnsi="Arial"/>
          <w:sz w:val="16"/>
          <w:szCs w:val="16"/>
          <w:color w:val="auto"/>
        </w:rPr>
        <w:t>The Board shall elect a Non-Executive Director to be the Chairman. The Board may dismiss the Chairman, provided that the Chairman so</w:t>
      </w:r>
      <w:r>
        <w:rPr>
          <w:rFonts w:ascii="Arial" w:cs="Arial" w:eastAsia="Arial" w:hAnsi="Arial"/>
          <w:sz w:val="16"/>
          <w:szCs w:val="16"/>
          <w:b w:val="1"/>
          <w:bCs w:val="1"/>
          <w:color w:val="auto"/>
        </w:rPr>
        <w:t xml:space="preserve"> </w:t>
      </w:r>
      <w:r>
        <w:rPr>
          <w:rFonts w:ascii="Arial" w:cs="Arial" w:eastAsia="Arial" w:hAnsi="Arial"/>
          <w:sz w:val="16"/>
          <w:szCs w:val="16"/>
          <w:color w:val="auto"/>
        </w:rPr>
        <w:t>dismissed shall subsequently continue his term of office as a Non-Executive Director without having the title of Chairman.</w:t>
      </w:r>
    </w:p>
    <w:p>
      <w:pPr>
        <w:spacing w:after="0" w:line="21" w:lineRule="exact"/>
        <w:rPr>
          <w:sz w:val="20"/>
          <w:szCs w:val="20"/>
          <w:color w:val="auto"/>
        </w:rPr>
      </w:pPr>
    </w:p>
    <w:p>
      <w:pPr>
        <w:ind w:left="420" w:right="60" w:hanging="431"/>
        <w:spacing w:after="0" w:line="292" w:lineRule="auto"/>
        <w:rPr>
          <w:sz w:val="20"/>
          <w:szCs w:val="20"/>
          <w:color w:val="auto"/>
        </w:rPr>
      </w:pPr>
      <w:r>
        <w:rPr>
          <w:rFonts w:ascii="Arial" w:cs="Arial" w:eastAsia="Arial" w:hAnsi="Arial"/>
          <w:sz w:val="16"/>
          <w:szCs w:val="16"/>
          <w:b w:val="1"/>
          <w:bCs w:val="1"/>
          <w:color w:val="auto"/>
        </w:rPr>
        <w:t xml:space="preserve">15.5 </w:t>
      </w:r>
      <w:r>
        <w:rPr>
          <w:rFonts w:ascii="Arial" w:cs="Arial" w:eastAsia="Arial" w:hAnsi="Arial"/>
          <w:sz w:val="16"/>
          <w:szCs w:val="16"/>
          <w:color w:val="auto"/>
        </w:rPr>
        <w:t>If a Director is absent or incapacitated, he may be replaced temporarily by a person whom the Board has designated for that purpose and, until</w:t>
      </w:r>
      <w:r>
        <w:rPr>
          <w:rFonts w:ascii="Arial" w:cs="Arial" w:eastAsia="Arial" w:hAnsi="Arial"/>
          <w:sz w:val="16"/>
          <w:szCs w:val="16"/>
          <w:b w:val="1"/>
          <w:bCs w:val="1"/>
          <w:color w:val="auto"/>
        </w:rPr>
        <w:t xml:space="preserve"> </w:t>
      </w:r>
      <w:r>
        <w:rPr>
          <w:rFonts w:ascii="Arial" w:cs="Arial" w:eastAsia="Arial" w:hAnsi="Arial"/>
          <w:sz w:val="16"/>
          <w:szCs w:val="16"/>
          <w:color w:val="auto"/>
        </w:rPr>
        <w:t>then, the other Director(s) shall be charged with the management of the Company. If all Directors are absent or incapacitated, the management of the Company shall be attributed to the person who most recently ceased to hold office as the Chairman. If such former Chairman is unwilling or unable to accept that position, the management of the Company shall be attributed to the person who most recently ceased to hold office as the CEO. If such former CEO is also unwilling or unable to accept that position, the management of the Company shall be attributed to one or more persons whom the General Meeting has designated for that purpose. The person(s) charged with the management of the Company in this manner, may designate one or more persons to be charged with the management of the Company instead of, or together with, such person(s).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A Director shall be considered to be unable to act within the meaning of Article 15.5:</w:t>
      </w:r>
    </w:p>
    <w:p>
      <w:pPr>
        <w:spacing w:after="0" w:line="135" w:lineRule="exact"/>
        <w:rPr>
          <w:sz w:val="20"/>
          <w:szCs w:val="20"/>
          <w:color w:val="auto"/>
        </w:rPr>
      </w:pPr>
    </w:p>
    <w:p>
      <w:pPr>
        <w:ind w:left="960" w:hanging="532"/>
        <w:spacing w:after="0"/>
        <w:tabs>
          <w:tab w:leader="none" w:pos="96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during the existence of a vacancy on the Board, including as a result of:</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his death;</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his dismissal by the General Meeting, other than at the proposal of the Board; or</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his voluntary resignation before his term of office has expired;</w:t>
      </w:r>
    </w:p>
    <w:p>
      <w:pPr>
        <w:spacing w:after="0" w:line="130" w:lineRule="exact"/>
        <w:rPr>
          <w:rFonts w:ascii="Arial" w:cs="Arial" w:eastAsia="Arial" w:hAnsi="Arial"/>
          <w:sz w:val="18"/>
          <w:szCs w:val="18"/>
          <w:b w:val="1"/>
          <w:bCs w:val="1"/>
          <w:color w:val="auto"/>
        </w:rPr>
      </w:pPr>
    </w:p>
    <w:p>
      <w:pPr>
        <w:jc w:val="both"/>
        <w:ind w:left="980" w:right="1280" w:firstLine="1"/>
        <w:spacing w:after="0" w:line="428" w:lineRule="auto"/>
        <w:tabs>
          <w:tab w:leader="none" w:pos="1406" w:val="left"/>
        </w:tabs>
        <w:numPr>
          <w:ilvl w:val="1"/>
          <w:numId w:val="223"/>
        </w:numPr>
        <w:rPr>
          <w:rFonts w:ascii="Arial" w:cs="Arial" w:eastAsia="Arial" w:hAnsi="Arial"/>
          <w:sz w:val="16"/>
          <w:szCs w:val="16"/>
          <w:b w:val="1"/>
          <w:bCs w:val="1"/>
          <w:color w:val="auto"/>
        </w:rPr>
      </w:pPr>
      <w:r>
        <w:rPr>
          <w:rFonts w:ascii="Arial" w:cs="Arial" w:eastAsia="Arial" w:hAnsi="Arial"/>
          <w:sz w:val="16"/>
          <w:szCs w:val="16"/>
          <w:color w:val="auto"/>
        </w:rPr>
        <w:t>not being reappointed by the General Meeting, notwithstanding a (binding) nomination to that effect by the Board, provided that the Board may always decide to decrease the number of Directors such that a vacancy no longer exists; or</w:t>
      </w:r>
    </w:p>
    <w:p>
      <w:pPr>
        <w:spacing w:after="0" w:line="5" w:lineRule="exact"/>
        <w:rPr>
          <w:rFonts w:ascii="Arial" w:cs="Arial" w:eastAsia="Arial" w:hAnsi="Arial"/>
          <w:sz w:val="16"/>
          <w:szCs w:val="16"/>
          <w:b w:val="1"/>
          <w:bCs w:val="1"/>
          <w:color w:val="auto"/>
        </w:rPr>
      </w:pPr>
    </w:p>
    <w:p>
      <w:pPr>
        <w:ind w:left="960" w:hanging="532"/>
        <w:spacing w:after="0"/>
        <w:tabs>
          <w:tab w:leader="none" w:pos="96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during his suspension;</w:t>
      </w:r>
    </w:p>
    <w:p>
      <w:pPr>
        <w:spacing w:after="0" w:line="130" w:lineRule="exact"/>
        <w:rPr>
          <w:rFonts w:ascii="Arial" w:cs="Arial" w:eastAsia="Arial" w:hAnsi="Arial"/>
          <w:sz w:val="18"/>
          <w:szCs w:val="18"/>
          <w:b w:val="1"/>
          <w:bCs w:val="1"/>
          <w:color w:val="auto"/>
        </w:rPr>
      </w:pPr>
    </w:p>
    <w:p>
      <w:pPr>
        <w:ind w:left="960" w:hanging="532"/>
        <w:spacing w:after="0" w:line="342" w:lineRule="auto"/>
        <w:tabs>
          <w:tab w:leader="none" w:pos="960" w:val="left"/>
        </w:tabs>
        <w:numPr>
          <w:ilvl w:val="0"/>
          <w:numId w:val="223"/>
        </w:numPr>
        <w:rPr>
          <w:rFonts w:ascii="Arial" w:cs="Arial" w:eastAsia="Arial" w:hAnsi="Arial"/>
          <w:sz w:val="16"/>
          <w:szCs w:val="16"/>
          <w:b w:val="1"/>
          <w:bCs w:val="1"/>
          <w:color w:val="auto"/>
        </w:rPr>
      </w:pPr>
      <w:r>
        <w:rPr>
          <w:rFonts w:ascii="Arial" w:cs="Arial" w:eastAsia="Arial" w:hAnsi="Arial"/>
          <w:sz w:val="16"/>
          <w:szCs w:val="16"/>
          <w:color w:val="auto"/>
        </w:rPr>
        <w:t>in a period during which the Company has not been able to contact him (including as a result of illness), provided that such period lasted longer than five consecutive days (or such other period as determined by the Board on the basis of the facts and circumstances at hand); or</w:t>
      </w:r>
    </w:p>
    <w:p>
      <w:pPr>
        <w:spacing w:after="0" w:line="29" w:lineRule="exact"/>
        <w:rPr>
          <w:rFonts w:ascii="Arial" w:cs="Arial" w:eastAsia="Arial" w:hAnsi="Arial"/>
          <w:sz w:val="16"/>
          <w:szCs w:val="16"/>
          <w:b w:val="1"/>
          <w:bCs w:val="1"/>
          <w:color w:val="auto"/>
        </w:rPr>
      </w:pPr>
    </w:p>
    <w:p>
      <w:pPr>
        <w:ind w:left="960" w:right="60" w:hanging="532"/>
        <w:spacing w:after="0" w:line="308" w:lineRule="auto"/>
        <w:tabs>
          <w:tab w:leader="none" w:pos="960" w:val="left"/>
        </w:tabs>
        <w:numPr>
          <w:ilvl w:val="0"/>
          <w:numId w:val="223"/>
        </w:numPr>
        <w:rPr>
          <w:rFonts w:ascii="Arial" w:cs="Arial" w:eastAsia="Arial" w:hAnsi="Arial"/>
          <w:sz w:val="17"/>
          <w:szCs w:val="17"/>
          <w:b w:val="1"/>
          <w:bCs w:val="1"/>
          <w:color w:val="auto"/>
        </w:rPr>
      </w:pPr>
      <w:r>
        <w:rPr>
          <w:rFonts w:ascii="Arial" w:cs="Arial" w:eastAsia="Arial" w:hAnsi="Arial"/>
          <w:sz w:val="17"/>
          <w:szCs w:val="17"/>
          <w:color w:val="auto"/>
        </w:rPr>
        <w:t>in connection with and during the deliberations and decision-making of the Board on matters in relation to which he has declared to have, or in relation to which the Board has established that he has, a conflict of interests as described in Article 18.7.</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634" w:right="51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BOARD - APPOINTMENT, SUSPENSION AND DISMISSAL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w:t>
      </w:r>
    </w:p>
    <w:p>
      <w:pPr>
        <w:spacing w:after="0" w:line="131" w:lineRule="exact"/>
        <w:rPr>
          <w:sz w:val="20"/>
          <w:szCs w:val="20"/>
          <w:color w:val="auto"/>
        </w:rPr>
      </w:pPr>
    </w:p>
    <w:p>
      <w:pPr>
        <w:ind w:left="420" w:right="340" w:hanging="431"/>
        <w:spacing w:after="0" w:line="282"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The General Meeting shall appoint the Directors and may at any time suspend or dismiss any Director. In addition, the Board may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suspend an Executive Director.</w:t>
      </w:r>
    </w:p>
    <w:p>
      <w:pPr>
        <w:spacing w:after="0" w:line="67" w:lineRule="exact"/>
        <w:rPr>
          <w:sz w:val="20"/>
          <w:szCs w:val="20"/>
          <w:color w:val="auto"/>
        </w:rPr>
      </w:pPr>
    </w:p>
    <w:p>
      <w:pPr>
        <w:ind w:left="420" w:right="220" w:hanging="431"/>
        <w:spacing w:after="0" w:line="258"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The General Meeting can only appoint Directors upon a nomination by the Board. The General Meeting may at any time resolve to render such</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nomination to be non-binding by a majority of at least two thirds of the votes cast representing more than half of the issued share capital. If a nomination is rendered non-binding, a new nomination shall be made by the Board. If the nomination comprises one candidate for a vacancy, a resolution concerning the nomination shall result in the appointment of the candidate, unless the nomination is rendered non-binding. A second meeting as referred to in Section 2:120(3) DCC cannot be convened.</w:t>
      </w:r>
    </w:p>
    <w:p>
      <w:pPr>
        <w:spacing w:after="0" w:line="89" w:lineRule="exact"/>
        <w:rPr>
          <w:sz w:val="20"/>
          <w:szCs w:val="20"/>
          <w:color w:val="auto"/>
        </w:rPr>
      </w:pPr>
    </w:p>
    <w:p>
      <w:pPr>
        <w:ind w:left="420" w:hanging="431"/>
        <w:spacing w:after="0" w:line="282"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At a General Meeting, a resolution to appoint a Director can only be passed in respect of candidates whose names are stated for that purpose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agenda of that General Meeting or the explanatory notes thereto.</w:t>
      </w:r>
    </w:p>
    <w:p>
      <w:pPr>
        <w:spacing w:after="0" w:line="67" w:lineRule="exact"/>
        <w:rPr>
          <w:sz w:val="20"/>
          <w:szCs w:val="20"/>
          <w:color w:val="auto"/>
        </w:rPr>
      </w:pPr>
    </w:p>
    <w:p>
      <w:pPr>
        <w:ind w:left="420" w:right="40" w:hanging="431"/>
        <w:spacing w:after="0" w:line="282"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Upon the appointment of a person as a Director, the General Meeting shall determine whether that person is appointed as Executive Director or as</w:t>
      </w:r>
      <w:r>
        <w:rPr>
          <w:rFonts w:ascii="Arial" w:cs="Arial" w:eastAsia="Arial" w:hAnsi="Arial"/>
          <w:sz w:val="18"/>
          <w:szCs w:val="18"/>
          <w:b w:val="1"/>
          <w:bCs w:val="1"/>
          <w:color w:val="auto"/>
        </w:rPr>
        <w:t xml:space="preserve"> </w:t>
      </w:r>
      <w:r>
        <w:rPr>
          <w:rFonts w:ascii="Arial" w:cs="Arial" w:eastAsia="Arial" w:hAnsi="Arial"/>
          <w:sz w:val="18"/>
          <w:szCs w:val="18"/>
          <w:color w:val="auto"/>
        </w:rPr>
        <w:t>Non-Executive Director.</w:t>
      </w:r>
    </w:p>
    <w:p>
      <w:pPr>
        <w:spacing w:after="0" w:line="67" w:lineRule="exact"/>
        <w:rPr>
          <w:sz w:val="20"/>
          <w:szCs w:val="20"/>
          <w:color w:val="auto"/>
        </w:rPr>
      </w:pPr>
    </w:p>
    <w:p>
      <w:pPr>
        <w:ind w:left="420" w:right="200" w:hanging="431"/>
        <w:spacing w:after="0" w:line="266" w:lineRule="auto"/>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A resolution of the General Meeting to suspend or dismiss a Director shall require a majority of at least two thirds of the votes cast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half of the issued share capital, unless the resolution is passed at the proposal of the Board. A second meeting as referred to in Section 2:120(3) DCC cannot be convened.</w:t>
      </w:r>
    </w:p>
    <w:p>
      <w:pPr>
        <w:spacing w:after="0" w:line="81" w:lineRule="exact"/>
        <w:rPr>
          <w:sz w:val="20"/>
          <w:szCs w:val="20"/>
          <w:color w:val="auto"/>
        </w:rPr>
      </w:pPr>
    </w:p>
    <w:p>
      <w:pPr>
        <w:ind w:left="420" w:right="360" w:hanging="431"/>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If a Director is suspended and the General Meeting does not resolve to dismiss him within three months from the date of such suspension,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suspension shall lapse.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DUTIES AND ORGANISATION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w:t>
      </w:r>
    </w:p>
    <w:p>
      <w:pPr>
        <w:spacing w:after="0" w:line="131" w:lineRule="exact"/>
        <w:rPr>
          <w:sz w:val="20"/>
          <w:szCs w:val="20"/>
          <w:color w:val="auto"/>
        </w:rPr>
      </w:pPr>
    </w:p>
    <w:p>
      <w:pPr>
        <w:ind w:left="420" w:right="280" w:hanging="431"/>
        <w:spacing w:after="0" w:line="282"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The Board is charged with the management of the Company, subject to the restrictions contained in these articles of association. In performing</w:t>
      </w:r>
      <w:r>
        <w:rPr>
          <w:rFonts w:ascii="Arial" w:cs="Arial" w:eastAsia="Arial" w:hAnsi="Arial"/>
          <w:sz w:val="18"/>
          <w:szCs w:val="18"/>
          <w:b w:val="1"/>
          <w:bCs w:val="1"/>
          <w:color w:val="auto"/>
        </w:rPr>
        <w:t xml:space="preserve"> </w:t>
      </w:r>
      <w:r>
        <w:rPr>
          <w:rFonts w:ascii="Arial" w:cs="Arial" w:eastAsia="Arial" w:hAnsi="Arial"/>
          <w:sz w:val="18"/>
          <w:szCs w:val="18"/>
          <w:color w:val="auto"/>
        </w:rPr>
        <w:t>their duties, Directors shall be guided by the interests of the Company and of the business connected with it.</w:t>
      </w:r>
    </w:p>
    <w:p>
      <w:pPr>
        <w:spacing w:after="0" w:line="67" w:lineRule="exact"/>
        <w:rPr>
          <w:sz w:val="20"/>
          <w:szCs w:val="20"/>
          <w:color w:val="auto"/>
        </w:rPr>
      </w:pPr>
    </w:p>
    <w:p>
      <w:pPr>
        <w:ind w:left="420" w:right="480" w:hanging="431"/>
        <w:spacing w:after="0" w:line="312"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color w:val="auto"/>
        </w:rPr>
        <w:t>The Board shall draw up Board Rules concerning its organisation, decision-making and other internal matters, with due observance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articles of association. In performing their duties, the Directors shall act in compliance with the Board Rules.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17.3  </w:t>
      </w:r>
      <w:r>
        <w:rPr>
          <w:rFonts w:ascii="Arial" w:cs="Arial" w:eastAsia="Arial" w:hAnsi="Arial"/>
          <w:sz w:val="16"/>
          <w:szCs w:val="16"/>
          <w:color w:val="auto"/>
        </w:rPr>
        <w:t>The Directors may allocate their duties amongst themselves in or pursuant to the Board Rules or otherwise pursuant to resolutions adopted by the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Board, provided that:</w:t>
      </w:r>
    </w:p>
    <w:p>
      <w:pPr>
        <w:spacing w:after="0" w:line="116" w:lineRule="exact"/>
        <w:rPr>
          <w:sz w:val="20"/>
          <w:szCs w:val="20"/>
          <w:color w:val="auto"/>
        </w:rPr>
      </w:pPr>
    </w:p>
    <w:p>
      <w:pPr>
        <w:ind w:left="960" w:hanging="532"/>
        <w:spacing w:after="0"/>
        <w:tabs>
          <w:tab w:leader="none" w:pos="960"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the Executive Directors shall be charged with the Company’s day-to-day operations;</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the task of supervising the performance of the duties of the Directors cannot be taken away from the Non-Executive Directors;</w:t>
      </w:r>
    </w:p>
    <w:p>
      <w:pPr>
        <w:spacing w:after="0" w:line="157" w:lineRule="exact"/>
        <w:rPr>
          <w:rFonts w:ascii="Arial" w:cs="Arial" w:eastAsia="Arial" w:hAnsi="Arial"/>
          <w:sz w:val="18"/>
          <w:szCs w:val="18"/>
          <w:b w:val="1"/>
          <w:bCs w:val="1"/>
          <w:color w:val="auto"/>
        </w:rPr>
      </w:pPr>
    </w:p>
    <w:p>
      <w:pPr>
        <w:ind w:left="5420"/>
        <w:spacing w:after="0"/>
        <w:rPr>
          <w:rFonts w:ascii="Arial" w:cs="Arial" w:eastAsia="Arial" w:hAnsi="Arial"/>
          <w:sz w:val="18"/>
          <w:szCs w:val="18"/>
          <w:b w:val="1"/>
          <w:bCs w:val="1"/>
          <w:color w:val="auto"/>
        </w:rPr>
      </w:pPr>
      <w:r>
        <w:rPr>
          <w:rFonts w:ascii="Arial" w:cs="Arial" w:eastAsia="Arial" w:hAnsi="Arial"/>
          <w:sz w:val="18"/>
          <w:szCs w:val="18"/>
          <w:color w:val="auto"/>
        </w:rPr>
        <w:t>13</w:t>
      </w:r>
    </w:p>
    <w:p>
      <w:pPr>
        <w:sectPr>
          <w:pgSz w:w="11900" w:h="16838" w:orient="portrait"/>
          <w:cols w:equalWidth="0" w:num="1">
            <w:col w:w="10980"/>
          </w:cols>
          <w:pgMar w:left="440" w:top="634" w:right="479" w:bottom="1440" w:gutter="0" w:footer="0" w:header="0"/>
        </w:sectPr>
      </w:pPr>
    </w:p>
    <w:bookmarkStart w:id="319" w:name="page320"/>
    <w:bookmarkEnd w:id="319"/>
    <w:p>
      <w:pPr>
        <w:ind w:left="960" w:hanging="532"/>
        <w:spacing w:after="0"/>
        <w:tabs>
          <w:tab w:leader="none" w:pos="960"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the Chairman must be a Non-Executive Director; and</w:t>
      </w:r>
    </w:p>
    <w:p>
      <w:pPr>
        <w:spacing w:after="0" w:line="130" w:lineRule="exact"/>
        <w:rPr>
          <w:rFonts w:ascii="Arial" w:cs="Arial" w:eastAsia="Arial" w:hAnsi="Arial"/>
          <w:sz w:val="18"/>
          <w:szCs w:val="18"/>
          <w:b w:val="1"/>
          <w:bCs w:val="1"/>
          <w:color w:val="auto"/>
        </w:rPr>
      </w:pPr>
    </w:p>
    <w:p>
      <w:pPr>
        <w:ind w:left="960" w:right="60" w:hanging="532"/>
        <w:spacing w:after="0" w:line="277" w:lineRule="auto"/>
        <w:tabs>
          <w:tab w:leader="none" w:pos="960"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the making of proposals for the appointment of a Director and the determination of the compensation of the Executive Directors cannot be allocated to an Executive Director.</w:t>
      </w:r>
    </w:p>
    <w:p>
      <w:pPr>
        <w:spacing w:after="0" w:line="72" w:lineRule="exact"/>
        <w:rPr>
          <w:sz w:val="20"/>
          <w:szCs w:val="20"/>
          <w:color w:val="auto"/>
        </w:rPr>
      </w:pPr>
    </w:p>
    <w:p>
      <w:pPr>
        <w:ind w:left="420" w:right="360" w:hanging="431"/>
        <w:spacing w:after="0" w:line="282"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The Board may determine in writing, in or pursuant to the Board Rules or otherwise pursuant to resolutions adopted by the Board, that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Directors can validly pass resolutions in respect of matters which fall under his/their duties.</w:t>
      </w:r>
    </w:p>
    <w:p>
      <w:pPr>
        <w:spacing w:after="0" w:line="67" w:lineRule="exact"/>
        <w:rPr>
          <w:sz w:val="20"/>
          <w:szCs w:val="20"/>
          <w:color w:val="auto"/>
        </w:rPr>
      </w:pPr>
    </w:p>
    <w:p>
      <w:pPr>
        <w:jc w:val="both"/>
        <w:ind w:left="420" w:right="80" w:hanging="431"/>
        <w:spacing w:after="0" w:line="266" w:lineRule="auto"/>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The Board shall establish the committees which the Company is required to have and otherwise such committees as are deemed to be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The Board shall draw up (and/or include in the Board Rules) rules concerning the organisation, decision-making and other internal matters of its committees.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The Board may perform the legal acts referred to in Section 2:94(1) DCC without the prior approval of the General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DECISION-MAKING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Without prejudice to Article 18.5, each Director may cast one vote in the decision-making of the Board.</w:t>
      </w:r>
    </w:p>
    <w:p>
      <w:pPr>
        <w:spacing w:after="0" w:line="131" w:lineRule="exact"/>
        <w:rPr>
          <w:sz w:val="20"/>
          <w:szCs w:val="20"/>
          <w:color w:val="auto"/>
        </w:rPr>
      </w:pPr>
    </w:p>
    <w:p>
      <w:pPr>
        <w:ind w:left="420" w:right="360" w:hanging="431"/>
        <w:spacing w:after="0" w:line="282"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A Director can be represented by another Director holding a written proxy for the purpose of the deliberations and the decision-making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w:t>
      </w:r>
    </w:p>
    <w:p>
      <w:pPr>
        <w:spacing w:after="0" w:line="67" w:lineRule="exact"/>
        <w:rPr>
          <w:sz w:val="20"/>
          <w:szCs w:val="20"/>
          <w:color w:val="auto"/>
        </w:rPr>
      </w:pPr>
    </w:p>
    <w:p>
      <w:pPr>
        <w:ind w:left="420" w:hanging="431"/>
        <w:spacing w:after="0" w:line="282" w:lineRule="auto"/>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Resolutions of the Board shall be passed, irrespective of whether this occurs at a meeting or otherwise, by Simple Majority unless the Board Rules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differently.</w:t>
      </w:r>
    </w:p>
    <w:p>
      <w:pPr>
        <w:spacing w:after="0" w:line="67" w:lineRule="exact"/>
        <w:rPr>
          <w:sz w:val="20"/>
          <w:szCs w:val="20"/>
          <w:color w:val="auto"/>
        </w:rPr>
      </w:pPr>
    </w:p>
    <w:p>
      <w:pPr>
        <w:ind w:left="420" w:right="80" w:hanging="431"/>
        <w:spacing w:after="0" w:line="347" w:lineRule="auto"/>
        <w:rPr>
          <w:sz w:val="20"/>
          <w:szCs w:val="20"/>
          <w:color w:val="auto"/>
        </w:rPr>
      </w:pPr>
      <w:r>
        <w:rPr>
          <w:rFonts w:ascii="Arial" w:cs="Arial" w:eastAsia="Arial" w:hAnsi="Arial"/>
          <w:sz w:val="16"/>
          <w:szCs w:val="16"/>
          <w:b w:val="1"/>
          <w:bCs w:val="1"/>
          <w:color w:val="auto"/>
        </w:rPr>
        <w:t xml:space="preserve">18.4 </w:t>
      </w:r>
      <w:r>
        <w:rPr>
          <w:rFonts w:ascii="Arial" w:cs="Arial" w:eastAsia="Arial" w:hAnsi="Arial"/>
          <w:sz w:val="16"/>
          <w:szCs w:val="16"/>
          <w:color w:val="auto"/>
        </w:rPr>
        <w:t>Invalid votes, blank votes and abstentions shall not be counted as votes cast. Directors who casted an invalid or blank vote or who abstained from</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shall be taken into account when determining the number of Directors who are present or represented at a meeting of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18.5  </w:t>
      </w:r>
      <w:r>
        <w:rPr>
          <w:rFonts w:ascii="Arial" w:cs="Arial" w:eastAsia="Arial" w:hAnsi="Arial"/>
          <w:sz w:val="16"/>
          <w:szCs w:val="16"/>
          <w:color w:val="auto"/>
        </w:rPr>
        <w:t>Where there is a tie in any vote of the Board, the Chairman shall have a casting vote, provided that there are at least three Directors in office.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Otherwise, the relevant resolution shall not have been passed.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The Executive Directors shall not participate in the decision-making concerning:</w:t>
      </w:r>
    </w:p>
    <w:p>
      <w:pPr>
        <w:spacing w:after="0" w:line="135" w:lineRule="exact"/>
        <w:rPr>
          <w:sz w:val="20"/>
          <w:szCs w:val="20"/>
          <w:color w:val="auto"/>
        </w:rPr>
      </w:pPr>
    </w:p>
    <w:p>
      <w:pPr>
        <w:ind w:left="960" w:hanging="532"/>
        <w:spacing w:after="0"/>
        <w:tabs>
          <w:tab w:leader="none" w:pos="960"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the determination of the compensation of Executive Directors; and</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the instruction of an auditor to audit the annual accounts if the General Meeting has not granted such instruction.</w:t>
      </w:r>
    </w:p>
    <w:p>
      <w:pPr>
        <w:spacing w:after="0" w:line="127" w:lineRule="exact"/>
        <w:rPr>
          <w:sz w:val="20"/>
          <w:szCs w:val="20"/>
          <w:color w:val="auto"/>
        </w:rPr>
      </w:pPr>
    </w:p>
    <w:p>
      <w:pPr>
        <w:jc w:val="both"/>
        <w:ind w:left="420" w:right="120" w:hanging="431"/>
        <w:spacing w:after="0" w:line="261" w:lineRule="auto"/>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A Director shall not participate in the deliberations and decision-making of the Board on a matter in relation to which he has a direct or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interest which conflicts with the interests of the Company and of the business connected with it. If, as a result thereof, no resolution can be passed by the Board, the resolution may nevertheless be passed by the Board as if none of the Directors has a conflict of interests as described in the previous sentence.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638" w:right="47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18.8  </w:t>
      </w:r>
      <w:r>
        <w:rPr>
          <w:rFonts w:ascii="Arial" w:cs="Arial" w:eastAsia="Arial" w:hAnsi="Arial"/>
          <w:sz w:val="18"/>
          <w:szCs w:val="18"/>
          <w:color w:val="auto"/>
        </w:rPr>
        <w:t>Meetings of the Board can be held through audio-communication facilities, unless a Director objects thereto.</w:t>
      </w:r>
    </w:p>
    <w:p>
      <w:pPr>
        <w:spacing w:after="0" w:line="131" w:lineRule="exact"/>
        <w:rPr>
          <w:sz w:val="20"/>
          <w:szCs w:val="20"/>
          <w:color w:val="auto"/>
        </w:rPr>
      </w:pPr>
    </w:p>
    <w:p>
      <w:pPr>
        <w:ind w:left="420" w:right="20" w:hanging="431"/>
        <w:spacing w:after="0" w:line="282" w:lineRule="auto"/>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Resolutions of the Board may, instead of at a meeting, be passed in writing, provided that all Directors are familiar with the resolution to be passed</w:t>
      </w:r>
      <w:r>
        <w:rPr>
          <w:rFonts w:ascii="Arial" w:cs="Arial" w:eastAsia="Arial" w:hAnsi="Arial"/>
          <w:sz w:val="18"/>
          <w:szCs w:val="18"/>
          <w:b w:val="1"/>
          <w:bCs w:val="1"/>
          <w:color w:val="auto"/>
        </w:rPr>
        <w:t xml:space="preserve"> </w:t>
      </w:r>
      <w:r>
        <w:rPr>
          <w:rFonts w:ascii="Arial" w:cs="Arial" w:eastAsia="Arial" w:hAnsi="Arial"/>
          <w:sz w:val="18"/>
          <w:szCs w:val="18"/>
          <w:color w:val="auto"/>
        </w:rPr>
        <w:t>and none of them objects to this decision-making process. Articles 18.1 through 18.6 apply mutatis mutandis.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18.10 </w:t>
      </w:r>
      <w:r>
        <w:rPr>
          <w:rFonts w:ascii="Arial" w:cs="Arial" w:eastAsia="Arial" w:hAnsi="Arial"/>
          <w:sz w:val="16"/>
          <w:szCs w:val="16"/>
          <w:color w:val="auto"/>
        </w:rPr>
        <w:t>The approval of the General Meeting is required for resolutions of the Board concerning a material change to the identity or the character of the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Company or the business, including in any event:</w:t>
      </w:r>
    </w:p>
    <w:p>
      <w:pPr>
        <w:spacing w:after="0" w:line="116" w:lineRule="exact"/>
        <w:rPr>
          <w:sz w:val="20"/>
          <w:szCs w:val="20"/>
          <w:color w:val="auto"/>
        </w:rPr>
      </w:pPr>
    </w:p>
    <w:p>
      <w:pPr>
        <w:ind w:left="960" w:hanging="532"/>
        <w:spacing w:after="0"/>
        <w:tabs>
          <w:tab w:leader="none" w:pos="96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transferring the business or materially all of the business to a third party;</w:t>
      </w:r>
    </w:p>
    <w:p>
      <w:pPr>
        <w:spacing w:after="0" w:line="130" w:lineRule="exact"/>
        <w:rPr>
          <w:rFonts w:ascii="Arial" w:cs="Arial" w:eastAsia="Arial" w:hAnsi="Arial"/>
          <w:sz w:val="18"/>
          <w:szCs w:val="18"/>
          <w:b w:val="1"/>
          <w:bCs w:val="1"/>
          <w:color w:val="auto"/>
        </w:rPr>
      </w:pPr>
    </w:p>
    <w:p>
      <w:pPr>
        <w:jc w:val="both"/>
        <w:ind w:left="960" w:right="220" w:hanging="532"/>
        <w:spacing w:after="0" w:line="263" w:lineRule="auto"/>
        <w:tabs>
          <w:tab w:leader="none" w:pos="96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p>
      <w:pPr>
        <w:spacing w:after="0" w:line="89" w:lineRule="exact"/>
        <w:rPr>
          <w:rFonts w:ascii="Arial" w:cs="Arial" w:eastAsia="Arial" w:hAnsi="Arial"/>
          <w:sz w:val="18"/>
          <w:szCs w:val="18"/>
          <w:b w:val="1"/>
          <w:bCs w:val="1"/>
          <w:color w:val="auto"/>
        </w:rPr>
      </w:pPr>
    </w:p>
    <w:p>
      <w:pPr>
        <w:ind w:left="960" w:right="40" w:hanging="532"/>
        <w:spacing w:after="0" w:line="286" w:lineRule="auto"/>
        <w:tabs>
          <w:tab w:leader="none" w:pos="960"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p>
      <w:pPr>
        <w:spacing w:after="0" w:line="67" w:lineRule="exact"/>
        <w:rPr>
          <w:sz w:val="20"/>
          <w:szCs w:val="20"/>
          <w:color w:val="auto"/>
        </w:rPr>
      </w:pPr>
    </w:p>
    <w:p>
      <w:pPr>
        <w:ind w:left="420" w:right="140" w:hanging="431"/>
        <w:spacing w:after="0" w:line="312" w:lineRule="auto"/>
        <w:rPr>
          <w:sz w:val="20"/>
          <w:szCs w:val="20"/>
          <w:color w:val="auto"/>
        </w:rPr>
      </w:pPr>
      <w:r>
        <w:rPr>
          <w:rFonts w:ascii="Arial" w:cs="Arial" w:eastAsia="Arial" w:hAnsi="Arial"/>
          <w:sz w:val="17"/>
          <w:szCs w:val="17"/>
          <w:b w:val="1"/>
          <w:bCs w:val="1"/>
          <w:color w:val="auto"/>
        </w:rPr>
        <w:t xml:space="preserve">18.11 </w:t>
      </w:r>
      <w:r>
        <w:rPr>
          <w:rFonts w:ascii="Arial" w:cs="Arial" w:eastAsia="Arial" w:hAnsi="Arial"/>
          <w:sz w:val="17"/>
          <w:szCs w:val="17"/>
          <w:color w:val="auto"/>
        </w:rPr>
        <w:t>The absence of the approval of the General Meeting of a resolution as referred to in Article 18.10 shall result in the relevant resolution being null</w:t>
      </w:r>
      <w:r>
        <w:rPr>
          <w:rFonts w:ascii="Arial" w:cs="Arial" w:eastAsia="Arial" w:hAnsi="Arial"/>
          <w:sz w:val="17"/>
          <w:szCs w:val="17"/>
          <w:b w:val="1"/>
          <w:bCs w:val="1"/>
          <w:color w:val="auto"/>
        </w:rPr>
        <w:t xml:space="preserve"> </w:t>
      </w:r>
      <w:r>
        <w:rPr>
          <w:rFonts w:ascii="Arial" w:cs="Arial" w:eastAsia="Arial" w:hAnsi="Arial"/>
          <w:sz w:val="17"/>
          <w:szCs w:val="17"/>
          <w:color w:val="auto"/>
        </w:rPr>
        <w:t>and void pursuant to Section 2:14(1) DCC but shall not affect the powers of representation of the Board or of the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w:t>
      </w:r>
    </w:p>
    <w:p>
      <w:pPr>
        <w:spacing w:after="0" w:line="131" w:lineRule="exact"/>
        <w:rPr>
          <w:sz w:val="20"/>
          <w:szCs w:val="20"/>
          <w:color w:val="auto"/>
        </w:rPr>
      </w:pPr>
    </w:p>
    <w:p>
      <w:pPr>
        <w:ind w:left="420" w:right="580" w:hanging="431"/>
        <w:spacing w:after="0" w:line="282"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The General Meeting shall determine the Company’s policy concerning the compensation of the Board with due observance of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statutory requirements.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The compensation of Directors shall be determined by the Board with due observance of the policy referred to in Article 19.1.</w:t>
      </w:r>
    </w:p>
    <w:p>
      <w:pPr>
        <w:spacing w:after="0" w:line="131" w:lineRule="exact"/>
        <w:rPr>
          <w:sz w:val="20"/>
          <w:szCs w:val="20"/>
          <w:color w:val="auto"/>
        </w:rPr>
      </w:pPr>
    </w:p>
    <w:p>
      <w:pPr>
        <w:ind w:left="420" w:hanging="431"/>
        <w:spacing w:after="0" w:line="261" w:lineRule="auto"/>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The Board shall submit proposals concerning compensation arrangements for the Board in the form of shares or rights to subscribe for shares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Meeting for approval. This proposal must at least include the number of shares or rights to subscribe for shares that may be awarded to the Board and which criteria apply for such awards or changes thereto. The absence of the approval of the General Meeting shall not affect the powers of representation.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634" w:right="43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BOARD - REPRESENTATION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color w:val="auto"/>
        </w:rPr>
        <w:t>The Board is entitled to represent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color w:val="auto"/>
        </w:rPr>
        <w:t>The power to represent the Company also vests in the CEO individually, as well as in any other two Executive Directors acting jointly.</w:t>
      </w:r>
    </w:p>
    <w:p>
      <w:pPr>
        <w:spacing w:after="0" w:line="142" w:lineRule="exact"/>
        <w:rPr>
          <w:sz w:val="20"/>
          <w:szCs w:val="20"/>
          <w:color w:val="auto"/>
        </w:rPr>
      </w:pPr>
    </w:p>
    <w:p>
      <w:pPr>
        <w:ind w:left="420" w:right="620" w:hanging="431"/>
        <w:spacing w:after="0" w:line="282" w:lineRule="auto"/>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color w:val="auto"/>
        </w:rPr>
        <w:t>The Company may also be represented by the holder of a power of attorney to that effect. If the Company grants a power of attorney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the Board may grant an appropriate title to such person.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The Company shall indemnify and hold harmless each of its Indemnified Officers against:</w:t>
      </w:r>
    </w:p>
    <w:p>
      <w:pPr>
        <w:spacing w:after="0" w:line="135" w:lineRule="exact"/>
        <w:rPr>
          <w:sz w:val="20"/>
          <w:szCs w:val="20"/>
          <w:color w:val="auto"/>
        </w:rPr>
      </w:pPr>
    </w:p>
    <w:p>
      <w:pPr>
        <w:ind w:left="960" w:hanging="532"/>
        <w:spacing w:after="0"/>
        <w:tabs>
          <w:tab w:leader="none" w:pos="96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any financial losses or damages incurred by such Indemnified Officer; and</w:t>
      </w:r>
    </w:p>
    <w:p>
      <w:pPr>
        <w:spacing w:after="0" w:line="130" w:lineRule="exact"/>
        <w:rPr>
          <w:rFonts w:ascii="Arial" w:cs="Arial" w:eastAsia="Arial" w:hAnsi="Arial"/>
          <w:sz w:val="18"/>
          <w:szCs w:val="18"/>
          <w:b w:val="1"/>
          <w:bCs w:val="1"/>
          <w:color w:val="auto"/>
        </w:rPr>
      </w:pPr>
    </w:p>
    <w:p>
      <w:pPr>
        <w:ind w:left="960" w:right="60" w:hanging="532"/>
        <w:spacing w:after="0" w:line="342" w:lineRule="auto"/>
        <w:tabs>
          <w:tab w:leader="none" w:pos="960"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any expense reasonably paid or incurred by such Indemnified Officer in connection with any threatened, pending or completed suit, claim, action or legal proceedings of a civil, criminal, administrative or other nature, formal or informal, in which he becomes involved,</w:t>
      </w:r>
    </w:p>
    <w:p>
      <w:pPr>
        <w:spacing w:after="0" w:line="16"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to the extent this relates to his current or former position with the Company and/or a Group Company and in each case to the extent permitted by applicable law.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No indemnification shall be given to an Indemnified Officer:</w:t>
      </w:r>
    </w:p>
    <w:p>
      <w:pPr>
        <w:spacing w:after="0" w:line="135" w:lineRule="exact"/>
        <w:rPr>
          <w:sz w:val="20"/>
          <w:szCs w:val="20"/>
          <w:color w:val="auto"/>
        </w:rPr>
      </w:pPr>
    </w:p>
    <w:p>
      <w:pPr>
        <w:ind w:left="960" w:right="360" w:hanging="532"/>
        <w:spacing w:after="0" w:line="279" w:lineRule="auto"/>
        <w:tabs>
          <w:tab w:leader="none" w:pos="960" w:val="left"/>
        </w:tabs>
        <w:numPr>
          <w:ilvl w:val="0"/>
          <w:numId w:val="229"/>
        </w:numPr>
        <w:rPr>
          <w:rFonts w:ascii="Arial" w:cs="Arial" w:eastAsia="Arial" w:hAnsi="Arial"/>
          <w:sz w:val="17"/>
          <w:szCs w:val="17"/>
          <w:b w:val="1"/>
          <w:bCs w:val="1"/>
          <w:color w:val="auto"/>
        </w:rPr>
      </w:pPr>
      <w:r>
        <w:rPr>
          <w:rFonts w:ascii="Arial" w:cs="Arial" w:eastAsia="Arial" w:hAnsi="Arial"/>
          <w:sz w:val="17"/>
          <w:szCs w:val="17"/>
          <w:color w:val="auto"/>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21.1 are of an unlawful nature (including acts or omissions which are considered to constitute malice, gross negligence, intentional recklessness and/or serious culpability attributable to such Indemnified Officer);</w:t>
      </w:r>
    </w:p>
    <w:p>
      <w:pPr>
        <w:spacing w:after="0" w:line="76" w:lineRule="exact"/>
        <w:rPr>
          <w:rFonts w:ascii="Arial" w:cs="Arial" w:eastAsia="Arial" w:hAnsi="Arial"/>
          <w:sz w:val="17"/>
          <w:szCs w:val="17"/>
          <w:b w:val="1"/>
          <w:bCs w:val="1"/>
          <w:color w:val="auto"/>
        </w:rPr>
      </w:pPr>
    </w:p>
    <w:p>
      <w:pPr>
        <w:ind w:left="960" w:right="580" w:hanging="532"/>
        <w:spacing w:after="0" w:line="342" w:lineRule="auto"/>
        <w:tabs>
          <w:tab w:leader="none" w:pos="960" w:val="left"/>
        </w:tabs>
        <w:numPr>
          <w:ilvl w:val="0"/>
          <w:numId w:val="229"/>
        </w:numPr>
        <w:rPr>
          <w:rFonts w:ascii="Arial" w:cs="Arial" w:eastAsia="Arial" w:hAnsi="Arial"/>
          <w:sz w:val="16"/>
          <w:szCs w:val="16"/>
          <w:b w:val="1"/>
          <w:bCs w:val="1"/>
          <w:color w:val="auto"/>
        </w:rPr>
      </w:pPr>
      <w:r>
        <w:rPr>
          <w:rFonts w:ascii="Arial" w:cs="Arial" w:eastAsia="Arial" w:hAnsi="Arial"/>
          <w:sz w:val="16"/>
          <w:szCs w:val="16"/>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spacing w:after="0" w:line="29" w:lineRule="exact"/>
        <w:rPr>
          <w:rFonts w:ascii="Arial" w:cs="Arial" w:eastAsia="Arial" w:hAnsi="Arial"/>
          <w:sz w:val="16"/>
          <w:szCs w:val="16"/>
          <w:b w:val="1"/>
          <w:bCs w:val="1"/>
          <w:color w:val="auto"/>
        </w:rPr>
      </w:pPr>
    </w:p>
    <w:p>
      <w:pPr>
        <w:ind w:left="960" w:hanging="532"/>
        <w:spacing w:after="0" w:line="259" w:lineRule="auto"/>
        <w:tabs>
          <w:tab w:leader="none" w:pos="96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Board or pursuant to insurance taken out by the Company for the benefit of such Indemnified Officer;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634" w:right="459" w:bottom="1440" w:gutter="0" w:footer="0" w:header="0"/>
        </w:sectPr>
      </w:pPr>
    </w:p>
    <w:bookmarkStart w:id="322" w:name="page323"/>
    <w:bookmarkEnd w:id="322"/>
    <w:p>
      <w:pPr>
        <w:ind w:left="1180" w:right="660" w:hanging="644"/>
        <w:spacing w:after="0" w:line="277" w:lineRule="auto"/>
        <w:tabs>
          <w:tab w:leader="none" w:pos="118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for any financial losses, damages or expenses incurred in connection with a settlement of any proceedings effected without the Company’s prior consent.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The Board may stipulate additional terms, conditions and restrictions in relation to the indemnification referred to in Article 21.1.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CONVENING AND HOLDING MEETINGS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w:t>
      </w:r>
    </w:p>
    <w:p>
      <w:pPr>
        <w:spacing w:after="0" w:line="131" w:lineRule="exact"/>
        <w:rPr>
          <w:sz w:val="20"/>
          <w:szCs w:val="20"/>
          <w:color w:val="auto"/>
        </w:rPr>
      </w:pPr>
    </w:p>
    <w:p>
      <w:pPr>
        <w:ind w:left="420" w:hanging="431"/>
        <w:spacing w:after="0" w:line="282"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Annually, at least one General Meeting shall be held. This annual General Meeting shall be held within six months after the end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year.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A General Meeting shall also be held:</w:t>
      </w:r>
    </w:p>
    <w:p>
      <w:pPr>
        <w:spacing w:after="0" w:line="135" w:lineRule="exact"/>
        <w:rPr>
          <w:sz w:val="20"/>
          <w:szCs w:val="20"/>
          <w:color w:val="auto"/>
        </w:rPr>
      </w:pPr>
    </w:p>
    <w:p>
      <w:pPr>
        <w:ind w:left="960" w:right="60" w:hanging="532"/>
        <w:spacing w:after="0" w:line="308" w:lineRule="auto"/>
        <w:tabs>
          <w:tab w:leader="none" w:pos="960" w:val="left"/>
        </w:tabs>
        <w:numPr>
          <w:ilvl w:val="0"/>
          <w:numId w:val="231"/>
        </w:numPr>
        <w:rPr>
          <w:rFonts w:ascii="Arial" w:cs="Arial" w:eastAsia="Arial" w:hAnsi="Arial"/>
          <w:sz w:val="17"/>
          <w:szCs w:val="17"/>
          <w:b w:val="1"/>
          <w:bCs w:val="1"/>
          <w:color w:val="auto"/>
        </w:rPr>
      </w:pPr>
      <w:r>
        <w:rPr>
          <w:rFonts w:ascii="Arial" w:cs="Arial" w:eastAsia="Arial" w:hAnsi="Arial"/>
          <w:sz w:val="17"/>
          <w:szCs w:val="17"/>
          <w:color w:val="auto"/>
        </w:rPr>
        <w:t>within three months after the Board has considered it to be likely that the Company’s equity has decreased to an amount equal to or lower than half of its paid up and called up capital, in order to discuss the measures to be taken if so required; and</w:t>
      </w:r>
    </w:p>
    <w:p>
      <w:pPr>
        <w:spacing w:after="0" w:line="51" w:lineRule="exact"/>
        <w:rPr>
          <w:rFonts w:ascii="Arial" w:cs="Arial" w:eastAsia="Arial" w:hAnsi="Arial"/>
          <w:sz w:val="17"/>
          <w:szCs w:val="17"/>
          <w:b w:val="1"/>
          <w:bCs w:val="1"/>
          <w:color w:val="auto"/>
        </w:rPr>
      </w:pPr>
    </w:p>
    <w:p>
      <w:pPr>
        <w:ind w:left="960" w:hanging="532"/>
        <w:spacing w:after="0"/>
        <w:tabs>
          <w:tab w:leader="none" w:pos="96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whenever the Board so decides.</w:t>
      </w:r>
    </w:p>
    <w:p>
      <w:pPr>
        <w:spacing w:after="0" w:line="127" w:lineRule="exact"/>
        <w:rPr>
          <w:sz w:val="20"/>
          <w:szCs w:val="20"/>
          <w:color w:val="auto"/>
        </w:rPr>
      </w:pPr>
    </w:p>
    <w:p>
      <w:pPr>
        <w:ind w:left="420" w:right="480" w:hanging="431"/>
        <w:spacing w:after="0" w:line="266"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General Meetings must be held in the place where the Company has its corporate seat or in Arnhem, Assen, The Hague, Haarlem,</w:t>
      </w:r>
      <w:r>
        <w:rPr>
          <w:rFonts w:ascii="Arial" w:cs="Arial" w:eastAsia="Arial" w:hAnsi="Arial"/>
          <w:sz w:val="18"/>
          <w:szCs w:val="18"/>
          <w:b w:val="1"/>
          <w:bCs w:val="1"/>
          <w:color w:val="auto"/>
        </w:rPr>
        <w:t xml:space="preserve"> </w:t>
      </w:r>
      <w:r>
        <w:rPr>
          <w:rFonts w:ascii="Arial" w:cs="Arial" w:eastAsia="Arial" w:hAnsi="Arial"/>
          <w:sz w:val="18"/>
          <w:szCs w:val="18"/>
          <w:color w:val="auto"/>
        </w:rPr>
        <w:t>‘s-Hertogenbosch, Groningen, Leeuwarden, Leiden, Lelystad, Maastricht, Middelburg, Rotterdam, Schiphol (Haarlemmermeer), Utrecht or Zwolle.</w:t>
      </w:r>
    </w:p>
    <w:p>
      <w:pPr>
        <w:spacing w:after="0" w:line="81" w:lineRule="exact"/>
        <w:rPr>
          <w:sz w:val="20"/>
          <w:szCs w:val="20"/>
          <w:color w:val="auto"/>
        </w:rPr>
      </w:pPr>
    </w:p>
    <w:p>
      <w:pPr>
        <w:ind w:left="420" w:right="380" w:hanging="431"/>
        <w:spacing w:after="0" w:line="282"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If the Board has failed to ensure that a General Meeting as referred to in Articles 22.1 or 22.2 paragraph a. is held, each Person with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Rights may be authorised by the court in preliminary relief proceedings to do so.</w:t>
      </w:r>
    </w:p>
    <w:p>
      <w:pPr>
        <w:spacing w:after="0" w:line="67" w:lineRule="exact"/>
        <w:rPr>
          <w:sz w:val="20"/>
          <w:szCs w:val="20"/>
          <w:color w:val="auto"/>
        </w:rPr>
      </w:pPr>
    </w:p>
    <w:p>
      <w:pPr>
        <w:ind w:left="420" w:right="40" w:hanging="431"/>
        <w:spacing w:after="0" w:line="258"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One or more Persons with Meeting Rights who collectively represent at least the part of the Company’s issued share capital prescribed by law for</w:t>
      </w:r>
      <w:r>
        <w:rPr>
          <w:rFonts w:ascii="Arial" w:cs="Arial" w:eastAsia="Arial" w:hAnsi="Arial"/>
          <w:sz w:val="18"/>
          <w:szCs w:val="18"/>
          <w:b w:val="1"/>
          <w:bCs w:val="1"/>
          <w:color w:val="auto"/>
        </w:rPr>
        <w:t xml:space="preserve"> </w:t>
      </w:r>
      <w:r>
        <w:rPr>
          <w:rFonts w:ascii="Arial" w:cs="Arial" w:eastAsia="Arial" w:hAnsi="Arial"/>
          <w:sz w:val="18"/>
          <w:szCs w:val="18"/>
          <w:color w:val="auto"/>
        </w:rPr>
        <w:t>this purpose may request the Board in writing to convene a General Meeting, setting out in detail the matters to be discussed. If the Board has not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p>
      <w:pPr>
        <w:spacing w:after="0" w:line="89" w:lineRule="exact"/>
        <w:rPr>
          <w:sz w:val="20"/>
          <w:szCs w:val="20"/>
          <w:color w:val="auto"/>
        </w:rPr>
      </w:pPr>
    </w:p>
    <w:p>
      <w:pPr>
        <w:ind w:left="420" w:right="100" w:hanging="431"/>
        <w:spacing w:after="0" w:line="261"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Any matter of which the discussion has been requested in writing by one or more Persons with Meeting Rights who, individually or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638" w:right="519" w:bottom="1440" w:gutter="0" w:footer="0" w:header="0"/>
        </w:sectPr>
      </w:pPr>
    </w:p>
    <w:bookmarkStart w:id="323" w:name="page324"/>
    <w:bookmarkEnd w:id="323"/>
    <w:p>
      <w:pPr>
        <w:ind w:left="420" w:hanging="431"/>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22.7 </w:t>
      </w:r>
      <w:r>
        <w:rPr>
          <w:rFonts w:ascii="Arial" w:cs="Arial" w:eastAsia="Arial" w:hAnsi="Arial"/>
          <w:sz w:val="18"/>
          <w:szCs w:val="18"/>
          <w:color w:val="auto"/>
        </w:rPr>
        <w:t>Persons with Meeting Rights who wish to exercise their rights as described in Articles 22.5 and 22.6 must first consult the Board. If the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such rights might result in a change to the Company’s strategy, including by dismissing one or more Directors, the Board must be given the opportunity to invoke a reasonable period to respond to such intention with due observance of the applicable provisions of Dutch law and the Dutch Corporate Governance Code. The Person(s) with Meeting Rights concerned must respect any such response period stipulated by the Board. This Article 22.7 does not prejudice any rights which the Company or the Board may have under Dutch law with regard to invoking a similar period or deliberation time.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A General Meeting must be convened with due observance of the relevant statutory minimum convening period.</w:t>
      </w:r>
    </w:p>
    <w:p>
      <w:pPr>
        <w:spacing w:after="0" w:line="131" w:lineRule="exact"/>
        <w:rPr>
          <w:sz w:val="20"/>
          <w:szCs w:val="20"/>
          <w:color w:val="auto"/>
        </w:rPr>
      </w:pPr>
    </w:p>
    <w:p>
      <w:pPr>
        <w:ind w:left="420" w:right="60" w:hanging="431"/>
        <w:spacing w:after="0" w:line="314" w:lineRule="auto"/>
        <w:rPr>
          <w:sz w:val="20"/>
          <w:szCs w:val="20"/>
          <w:color w:val="auto"/>
        </w:rPr>
      </w:pPr>
      <w:r>
        <w:rPr>
          <w:rFonts w:ascii="Arial" w:cs="Arial" w:eastAsia="Arial" w:hAnsi="Arial"/>
          <w:sz w:val="16"/>
          <w:szCs w:val="16"/>
          <w:b w:val="1"/>
          <w:bCs w:val="1"/>
          <w:color w:val="auto"/>
        </w:rPr>
        <w:t xml:space="preserve">22.9 </w:t>
      </w:r>
      <w:r>
        <w:rPr>
          <w:rFonts w:ascii="Arial" w:cs="Arial" w:eastAsia="Arial" w:hAnsi="Arial"/>
          <w:sz w:val="16"/>
          <w:szCs w:val="16"/>
          <w:color w:val="auto"/>
        </w:rPr>
        <w:t>All Persons with Meeting Rights must be convened for the General Meeting in accordance with applicable law. The shareholders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convened for the General Meeting by means of convening letters sent to the addresses of those shareholders in accordance with Article 5.5. The previous sentence does not prejudice the possibility of sending a convening notice by electronic means in accordance with Section 2:113(4) DCC.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PROCEDURAL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The General Meeting shall be chaired by one of the following individuals, taking into account the following order of priority:</w:t>
      </w:r>
    </w:p>
    <w:p>
      <w:pPr>
        <w:spacing w:after="0" w:line="135" w:lineRule="exact"/>
        <w:rPr>
          <w:sz w:val="20"/>
          <w:szCs w:val="20"/>
          <w:color w:val="auto"/>
        </w:rPr>
      </w:pPr>
    </w:p>
    <w:p>
      <w:pPr>
        <w:ind w:left="960" w:hanging="532"/>
        <w:spacing w:after="0"/>
        <w:tabs>
          <w:tab w:leader="none" w:pos="96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by the Chairman, if there is a Chairman and he is present at the General Meeting;</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by the vice-Chairman, if there is a vice-Chairman and he is present at the General Meeting;</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by the CEO, if there is a CEO and he is present at the General Meeting;</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by another Director who is chosen by the Directors present at the General Meeting from their midst; or</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by another person appointed by the General Meeting.</w:t>
      </w:r>
    </w:p>
    <w:p>
      <w:pPr>
        <w:spacing w:after="0" w:line="11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The person who should chair the General Meeting pursuant to paragraphs a. through d. may appoint another person to chair the General Meeting instead of him.</w:t>
      </w:r>
    </w:p>
    <w:p>
      <w:pPr>
        <w:spacing w:after="0" w:line="72" w:lineRule="exact"/>
        <w:rPr>
          <w:sz w:val="20"/>
          <w:szCs w:val="20"/>
          <w:color w:val="auto"/>
        </w:rPr>
      </w:pPr>
    </w:p>
    <w:p>
      <w:pPr>
        <w:ind w:left="420" w:right="20" w:hanging="431"/>
        <w:spacing w:after="0" w:line="261"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The chairman of the General Meeting shall appoint another person present at the General Meeting to act as secretary and to minute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at the General Meeting. The minutes of a General Meeting shall be adopted by the chairman of that General Meeting or by the Board. Where an official report of the proceedings is drawn up by a civil law notary, no minutes need to be prepared. Every Director may instruct a civil law notary to draw up such an official report at the Company’s expense.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634" w:right="47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23.3  </w:t>
      </w:r>
      <w:r>
        <w:rPr>
          <w:rFonts w:ascii="Arial" w:cs="Arial" w:eastAsia="Arial" w:hAnsi="Arial"/>
          <w:sz w:val="18"/>
          <w:szCs w:val="18"/>
          <w:color w:val="auto"/>
        </w:rPr>
        <w:t>The chairman of the General Meeting shall decide on the admittance to the General Meeting of persons other than:</w:t>
      </w:r>
    </w:p>
    <w:p>
      <w:pPr>
        <w:spacing w:after="0" w:line="135" w:lineRule="exact"/>
        <w:rPr>
          <w:sz w:val="20"/>
          <w:szCs w:val="20"/>
          <w:color w:val="auto"/>
        </w:rPr>
      </w:pPr>
    </w:p>
    <w:p>
      <w:pPr>
        <w:ind w:left="960" w:hanging="532"/>
        <w:spacing w:after="0"/>
        <w:tabs>
          <w:tab w:leader="none" w:pos="96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the persons who have Meeting Rights at that General Meeting, or their proxyholders; and</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those who have a statutory right to attend that General Meeting on other grounds.</w:t>
      </w:r>
    </w:p>
    <w:p>
      <w:pPr>
        <w:spacing w:after="0" w:line="127" w:lineRule="exact"/>
        <w:rPr>
          <w:sz w:val="20"/>
          <w:szCs w:val="20"/>
          <w:color w:val="auto"/>
        </w:rPr>
      </w:pPr>
    </w:p>
    <w:p>
      <w:pPr>
        <w:ind w:left="420" w:right="520" w:hanging="431"/>
        <w:spacing w:after="0" w:line="282"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The holder of a written proxy from a Person with Meeting Rights who is entitled to attend a General Meeting shall only be admitted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Meeting if the proxy is determined to be acceptable by the chairman of that General Meeting.</w:t>
      </w:r>
    </w:p>
    <w:p>
      <w:pPr>
        <w:spacing w:after="0" w:line="67" w:lineRule="exact"/>
        <w:rPr>
          <w:sz w:val="20"/>
          <w:szCs w:val="20"/>
          <w:color w:val="auto"/>
        </w:rPr>
      </w:pPr>
    </w:p>
    <w:p>
      <w:pPr>
        <w:ind w:left="420" w:right="80" w:hanging="431"/>
        <w:spacing w:after="0" w:line="289" w:lineRule="auto"/>
        <w:rPr>
          <w:sz w:val="20"/>
          <w:szCs w:val="20"/>
          <w:color w:val="auto"/>
        </w:rPr>
      </w:pPr>
      <w:r>
        <w:rPr>
          <w:rFonts w:ascii="Arial" w:cs="Arial" w:eastAsia="Arial" w:hAnsi="Arial"/>
          <w:sz w:val="17"/>
          <w:szCs w:val="17"/>
          <w:b w:val="1"/>
          <w:bCs w:val="1"/>
          <w:color w:val="auto"/>
        </w:rPr>
        <w:t xml:space="preserve">23.5 </w:t>
      </w:r>
      <w:r>
        <w:rPr>
          <w:rFonts w:ascii="Arial" w:cs="Arial" w:eastAsia="Arial" w:hAnsi="Arial"/>
          <w:sz w:val="17"/>
          <w:szCs w:val="17"/>
          <w:color w:val="auto"/>
        </w:rPr>
        <w:t>The Company may direct that any person, before being admitted to a General Meeting, identify himself by means of a valid passport or driver’s</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and/or should be submitted to such security arrangements as the Company may consider to be appropriate under the given circumstances. Persons who do not comply with these requirements may be refused entry to the General Meeting.</w:t>
      </w:r>
    </w:p>
    <w:p>
      <w:pPr>
        <w:spacing w:after="0" w:line="63" w:lineRule="exact"/>
        <w:rPr>
          <w:sz w:val="20"/>
          <w:szCs w:val="20"/>
          <w:color w:val="auto"/>
        </w:rPr>
      </w:pPr>
    </w:p>
    <w:p>
      <w:pPr>
        <w:ind w:left="420" w:right="60" w:hanging="431"/>
        <w:spacing w:after="0" w:line="282"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The chairman of the General Meeting has the right to eject any person from the General Meeting if he considers that person to disrupt the orderly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at the General Meeting.</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23.7  </w:t>
      </w:r>
      <w:r>
        <w:rPr>
          <w:rFonts w:ascii="Arial" w:cs="Arial" w:eastAsia="Arial" w:hAnsi="Arial"/>
          <w:sz w:val="16"/>
          <w:szCs w:val="16"/>
          <w:color w:val="auto"/>
        </w:rPr>
        <w:t>The General Meeting may be conducted in a language other than the Dutch language, if so determined by the chairman of the General Meeting.</w:t>
      </w:r>
    </w:p>
    <w:p>
      <w:pPr>
        <w:spacing w:after="0" w:line="154" w:lineRule="exact"/>
        <w:rPr>
          <w:sz w:val="20"/>
          <w:szCs w:val="20"/>
          <w:color w:val="auto"/>
        </w:rPr>
      </w:pPr>
    </w:p>
    <w:p>
      <w:pPr>
        <w:ind w:left="420" w:right="60" w:hanging="431"/>
        <w:spacing w:after="0" w:line="261" w:lineRule="auto"/>
        <w:rPr>
          <w:sz w:val="20"/>
          <w:szCs w:val="20"/>
          <w:color w:val="auto"/>
        </w:rPr>
      </w:pPr>
      <w:r>
        <w:rPr>
          <w:rFonts w:ascii="Arial" w:cs="Arial" w:eastAsia="Arial" w:hAnsi="Arial"/>
          <w:sz w:val="18"/>
          <w:szCs w:val="18"/>
          <w:b w:val="1"/>
          <w:bCs w:val="1"/>
          <w:color w:val="auto"/>
        </w:rPr>
        <w:t xml:space="preserve">23.8 </w:t>
      </w:r>
      <w:r>
        <w:rPr>
          <w:rFonts w:ascii="Arial" w:cs="Arial" w:eastAsia="Arial" w:hAnsi="Arial"/>
          <w:sz w:val="18"/>
          <w:szCs w:val="18"/>
          <w:color w:val="auto"/>
        </w:rPr>
        <w:t>The chairman of the General Meeting may limit the amount of time that persons present at the General Meeting are allowed to take in addressing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Meeting and the number of questions they are allowed to raise, with a view to safeguarding the orderly proceedings at the General Meeting. The chairman of the General Meeting may also adjourn the meeting if he considers that this shall safeguard the orderly proceedings at the General Meeting.</w:t>
      </w:r>
    </w:p>
    <w:p>
      <w:pPr>
        <w:spacing w:after="0" w:line="288" w:lineRule="exact"/>
        <w:rPr>
          <w:sz w:val="20"/>
          <w:szCs w:val="20"/>
          <w:color w:val="auto"/>
        </w:rPr>
      </w:pPr>
    </w:p>
    <w:p>
      <w:pPr>
        <w:ind w:right="4920"/>
        <w:spacing w:after="0" w:line="383" w:lineRule="auto"/>
        <w:rPr>
          <w:sz w:val="20"/>
          <w:szCs w:val="20"/>
          <w:color w:val="auto"/>
        </w:rPr>
      </w:pPr>
      <w:r>
        <w:rPr>
          <w:rFonts w:ascii="Arial" w:cs="Arial" w:eastAsia="Arial" w:hAnsi="Arial"/>
          <w:sz w:val="18"/>
          <w:szCs w:val="18"/>
          <w:b w:val="1"/>
          <w:bCs w:val="1"/>
          <w:color w:val="auto"/>
        </w:rPr>
        <w:t>GENERAL MEETING - EXERCISE OF MEETING AND VOTING RIGHTS Article 24</w:t>
      </w:r>
    </w:p>
    <w:p>
      <w:pPr>
        <w:spacing w:after="0" w:line="1" w:lineRule="exact"/>
        <w:rPr>
          <w:sz w:val="20"/>
          <w:szCs w:val="20"/>
          <w:color w:val="auto"/>
        </w:rPr>
      </w:pPr>
    </w:p>
    <w:p>
      <w:pPr>
        <w:ind w:left="420" w:hanging="431"/>
        <w:spacing w:after="0" w:line="266"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Each Person with Meeting Rights has the right to attend, address and, if applicable, vote at General Meetings, whether in person or represented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a written proxy. Holders of fractional shares together constituting the nominal value of a share of the relevant class shall exercise these rights collectively, whether through one of them or through the holder of a written proxy.</w:t>
      </w:r>
    </w:p>
    <w:p>
      <w:pPr>
        <w:spacing w:after="0" w:line="81" w:lineRule="exact"/>
        <w:rPr>
          <w:sz w:val="20"/>
          <w:szCs w:val="20"/>
          <w:color w:val="auto"/>
        </w:rPr>
      </w:pPr>
    </w:p>
    <w:p>
      <w:pPr>
        <w:ind w:left="420" w:right="60" w:hanging="431"/>
        <w:spacing w:after="0" w:line="294" w:lineRule="auto"/>
        <w:rPr>
          <w:sz w:val="20"/>
          <w:szCs w:val="20"/>
          <w:color w:val="auto"/>
        </w:rPr>
      </w:pPr>
      <w:r>
        <w:rPr>
          <w:rFonts w:ascii="Arial" w:cs="Arial" w:eastAsia="Arial" w:hAnsi="Arial"/>
          <w:sz w:val="16"/>
          <w:szCs w:val="16"/>
          <w:b w:val="1"/>
          <w:bCs w:val="1"/>
          <w:color w:val="auto"/>
        </w:rPr>
        <w:t xml:space="preserve">24.2 </w:t>
      </w:r>
      <w:r>
        <w:rPr>
          <w:rFonts w:ascii="Arial" w:cs="Arial" w:eastAsia="Arial" w:hAnsi="Arial"/>
          <w:sz w:val="16"/>
          <w:szCs w:val="16"/>
          <w:color w:val="auto"/>
        </w:rPr>
        <w:t>The Board may decide that each Person with Meeting Rights is entitled, whether in person or represented by the holder of a written proxy,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634" w:right="519" w:bottom="1440" w:gutter="0" w:footer="0" w:header="0"/>
        </w:sectPr>
      </w:pPr>
    </w:p>
    <w:bookmarkStart w:id="325" w:name="page326"/>
    <w:bookmarkEnd w:id="325"/>
    <w:p>
      <w:pPr>
        <w:ind w:left="420" w:right="300" w:hanging="431"/>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24.3 </w:t>
      </w:r>
      <w:r>
        <w:rPr>
          <w:rFonts w:ascii="Arial" w:cs="Arial" w:eastAsia="Arial" w:hAnsi="Arial"/>
          <w:sz w:val="17"/>
          <w:szCs w:val="17"/>
          <w:color w:val="auto"/>
        </w:rPr>
        <w:t>The Board can also decide that votes cast through electronic means of communication or by means of a letter prior to the General Meeting are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considered to be votes that are cast during the General Meeting. These votes shall not be cast prior to the Record Date.</w:t>
      </w:r>
    </w:p>
    <w:p>
      <w:pPr>
        <w:spacing w:after="0" w:line="45" w:lineRule="exact"/>
        <w:rPr>
          <w:sz w:val="20"/>
          <w:szCs w:val="20"/>
          <w:color w:val="auto"/>
        </w:rPr>
      </w:pPr>
    </w:p>
    <w:p>
      <w:pPr>
        <w:ind w:left="420" w:hanging="431"/>
        <w:spacing w:after="0" w:line="289" w:lineRule="auto"/>
        <w:rPr>
          <w:sz w:val="20"/>
          <w:szCs w:val="20"/>
          <w:color w:val="auto"/>
        </w:rPr>
      </w:pPr>
      <w:r>
        <w:rPr>
          <w:rFonts w:ascii="Arial" w:cs="Arial" w:eastAsia="Arial" w:hAnsi="Arial"/>
          <w:sz w:val="16"/>
          <w:szCs w:val="16"/>
          <w:b w:val="1"/>
          <w:bCs w:val="1"/>
          <w:color w:val="auto"/>
        </w:rPr>
        <w:t xml:space="preserve">24.4 </w:t>
      </w:r>
      <w:r>
        <w:rPr>
          <w:rFonts w:ascii="Arial" w:cs="Arial" w:eastAsia="Arial" w:hAnsi="Arial"/>
          <w:sz w:val="16"/>
          <w:szCs w:val="16"/>
          <w:color w:val="auto"/>
        </w:rPr>
        <w:t>For the purpose of Articles 24.1 through 24.3, those who have voting rights and/or Meeting Rights on the Record Date and are recorded as such in</w:t>
      </w:r>
      <w:r>
        <w:rPr>
          <w:rFonts w:ascii="Arial" w:cs="Arial" w:eastAsia="Arial" w:hAnsi="Arial"/>
          <w:sz w:val="16"/>
          <w:szCs w:val="16"/>
          <w:b w:val="1"/>
          <w:bCs w:val="1"/>
          <w:color w:val="auto"/>
        </w:rPr>
        <w:t xml:space="preserve"> </w:t>
      </w:r>
      <w:r>
        <w:rPr>
          <w:rFonts w:ascii="Arial" w:cs="Arial" w:eastAsia="Arial" w:hAnsi="Arial"/>
          <w:sz w:val="16"/>
          <w:szCs w:val="16"/>
          <w:color w:val="auto"/>
        </w:rPr>
        <w:t>a register designated by the Board shall be considered to have those rights, irrespective of whoever is entitled to the shares or depository receipts at the time of the General Meeting. Unless Dutch law requires otherwise, the Board is free to determine, when convening a General Meeting,</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whether the previous sentence applies and (ii) that the Record Date is applied with respect to shares of a specific class only.</w:t>
      </w:r>
    </w:p>
    <w:p>
      <w:pPr>
        <w:spacing w:after="0" w:line="112" w:lineRule="exact"/>
        <w:rPr>
          <w:sz w:val="20"/>
          <w:szCs w:val="20"/>
          <w:color w:val="auto"/>
        </w:rPr>
      </w:pPr>
    </w:p>
    <w:p>
      <w:pPr>
        <w:ind w:left="420" w:hanging="431"/>
        <w:spacing w:after="0" w:line="277" w:lineRule="auto"/>
        <w:rPr>
          <w:sz w:val="20"/>
          <w:szCs w:val="20"/>
          <w:color w:val="auto"/>
        </w:rPr>
      </w:pPr>
      <w:r>
        <w:rPr>
          <w:rFonts w:ascii="Arial" w:cs="Arial" w:eastAsia="Arial" w:hAnsi="Arial"/>
          <w:sz w:val="17"/>
          <w:szCs w:val="17"/>
          <w:b w:val="1"/>
          <w:bCs w:val="1"/>
          <w:color w:val="auto"/>
        </w:rPr>
        <w:t xml:space="preserve">24.5 </w:t>
      </w:r>
      <w:r>
        <w:rPr>
          <w:rFonts w:ascii="Arial" w:cs="Arial" w:eastAsia="Arial" w:hAnsi="Arial"/>
          <w:sz w:val="17"/>
          <w:szCs w:val="17"/>
          <w:color w:val="auto"/>
        </w:rPr>
        <w:t>Each Person with Meeting Rights must notify the Company in writing of his identity and his intention to attend the General Meeting. This notice</w:t>
      </w:r>
      <w:r>
        <w:rPr>
          <w:rFonts w:ascii="Arial" w:cs="Arial" w:eastAsia="Arial" w:hAnsi="Arial"/>
          <w:sz w:val="17"/>
          <w:szCs w:val="17"/>
          <w:b w:val="1"/>
          <w:bCs w:val="1"/>
          <w:color w:val="auto"/>
        </w:rPr>
        <w:t xml:space="preserve"> </w:t>
      </w:r>
      <w:r>
        <w:rPr>
          <w:rFonts w:ascii="Arial" w:cs="Arial" w:eastAsia="Arial" w:hAnsi="Arial"/>
          <w:sz w:val="17"/>
          <w:szCs w:val="17"/>
          <w:color w:val="auto"/>
        </w:rPr>
        <w:t>must be received by the Company ultimately on the seventh day prior to the General Meeting, unless indicated otherwise when such General Meeting is convened. Persons with Meeting Rights that have not complied with this requirement may be refused entry to the General Meeting. When a General Meeting is convened the Board may stipulate not to apply the previous provisions of this Article 24.5 in respect of the exercise of Meeting Rights and/or voting rights attached to preferred shares at such General Meeting.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MEETING—DECISION-MAKING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25</w:t>
      </w:r>
    </w:p>
    <w:p>
      <w:pPr>
        <w:spacing w:after="0" w:line="131" w:lineRule="exact"/>
        <w:rPr>
          <w:sz w:val="20"/>
          <w:szCs w:val="20"/>
          <w:color w:val="auto"/>
        </w:rPr>
      </w:pPr>
    </w:p>
    <w:p>
      <w:pPr>
        <w:ind w:left="420" w:hanging="431"/>
        <w:spacing w:after="0" w:line="312" w:lineRule="auto"/>
        <w:rPr>
          <w:sz w:val="20"/>
          <w:szCs w:val="20"/>
          <w:color w:val="auto"/>
        </w:rPr>
      </w:pPr>
      <w:r>
        <w:rPr>
          <w:rFonts w:ascii="Arial" w:cs="Arial" w:eastAsia="Arial" w:hAnsi="Arial"/>
          <w:sz w:val="17"/>
          <w:szCs w:val="17"/>
          <w:b w:val="1"/>
          <w:bCs w:val="1"/>
          <w:color w:val="auto"/>
        </w:rPr>
        <w:t xml:space="preserve">25.1 </w:t>
      </w:r>
      <w:r>
        <w:rPr>
          <w:rFonts w:ascii="Arial" w:cs="Arial" w:eastAsia="Arial" w:hAnsi="Arial"/>
          <w:sz w:val="17"/>
          <w:szCs w:val="17"/>
          <w:color w:val="auto"/>
        </w:rPr>
        <w:t>Each share, irrespective of which class it concerns, shall give the right to cast one vote at the General Meeting. Fractional shares of a certain class,</w:t>
      </w:r>
      <w:r>
        <w:rPr>
          <w:rFonts w:ascii="Arial" w:cs="Arial" w:eastAsia="Arial" w:hAnsi="Arial"/>
          <w:sz w:val="17"/>
          <w:szCs w:val="17"/>
          <w:b w:val="1"/>
          <w:bCs w:val="1"/>
          <w:color w:val="auto"/>
        </w:rPr>
        <w:t xml:space="preserve"> </w:t>
      </w:r>
      <w:r>
        <w:rPr>
          <w:rFonts w:ascii="Arial" w:cs="Arial" w:eastAsia="Arial" w:hAnsi="Arial"/>
          <w:sz w:val="17"/>
          <w:szCs w:val="17"/>
          <w:color w:val="auto"/>
        </w:rPr>
        <w:t>if any, collectively constituting the nominal value of a share of that class shall be considered to be equivalent to such share.</w:t>
      </w:r>
    </w:p>
    <w:p>
      <w:pPr>
        <w:spacing w:after="0" w:line="45" w:lineRule="exact"/>
        <w:rPr>
          <w:sz w:val="20"/>
          <w:szCs w:val="20"/>
          <w:color w:val="auto"/>
        </w:rPr>
      </w:pPr>
    </w:p>
    <w:p>
      <w:pPr>
        <w:ind w:left="420" w:right="60" w:hanging="431"/>
        <w:spacing w:after="0" w:line="281" w:lineRule="auto"/>
        <w:rPr>
          <w:sz w:val="20"/>
          <w:szCs w:val="20"/>
          <w:color w:val="auto"/>
        </w:rPr>
      </w:pPr>
      <w:r>
        <w:rPr>
          <w:rFonts w:ascii="Arial" w:cs="Arial" w:eastAsia="Arial" w:hAnsi="Arial"/>
          <w:sz w:val="17"/>
          <w:szCs w:val="17"/>
          <w:b w:val="1"/>
          <w:bCs w:val="1"/>
          <w:color w:val="auto"/>
        </w:rPr>
        <w:t xml:space="preserve">25.2 </w:t>
      </w:r>
      <w:r>
        <w:rPr>
          <w:rFonts w:ascii="Arial" w:cs="Arial" w:eastAsia="Arial" w:hAnsi="Arial"/>
          <w:sz w:val="17"/>
          <w:szCs w:val="17"/>
          <w:color w:val="auto"/>
        </w:rPr>
        <w:t>No vote can be cast at a General Meeting in respect of a share belonging to the Company or a Subsidiary or in respect of a share for which any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p>
      <w:pPr>
        <w:spacing w:after="0" w:line="70" w:lineRule="exact"/>
        <w:rPr>
          <w:sz w:val="20"/>
          <w:szCs w:val="20"/>
          <w:color w:val="auto"/>
        </w:rPr>
      </w:pPr>
    </w:p>
    <w:p>
      <w:pPr>
        <w:ind w:left="420" w:right="20" w:hanging="431"/>
        <w:spacing w:after="0" w:line="261" w:lineRule="auto"/>
        <w:rPr>
          <w:sz w:val="20"/>
          <w:szCs w:val="20"/>
          <w:color w:val="auto"/>
        </w:rPr>
      </w:pPr>
      <w:r>
        <w:rPr>
          <w:rFonts w:ascii="Arial" w:cs="Arial" w:eastAsia="Arial" w:hAnsi="Arial"/>
          <w:sz w:val="18"/>
          <w:szCs w:val="18"/>
          <w:b w:val="1"/>
          <w:bCs w:val="1"/>
          <w:color w:val="auto"/>
        </w:rPr>
        <w:t xml:space="preserve">25.3 </w:t>
      </w:r>
      <w:r>
        <w:rPr>
          <w:rFonts w:ascii="Arial" w:cs="Arial" w:eastAsia="Arial" w:hAnsi="Arial"/>
          <w:sz w:val="18"/>
          <w:szCs w:val="18"/>
          <w:color w:val="auto"/>
        </w:rPr>
        <w:t>Unless a greater majority is required by law or by these articles of association, all resolutions of the General Meeting shall be passed by Simple</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If applicable law requires a greater majority for resolutions of the General Meeting and allows the articles of association to provide for a lower majority, those resolutions shall be passed with the lowest possible majority, except if these articles of association explicitly provide otherwise.</w:t>
      </w:r>
    </w:p>
    <w:p>
      <w:pPr>
        <w:spacing w:after="0" w:line="85" w:lineRule="exact"/>
        <w:rPr>
          <w:sz w:val="20"/>
          <w:szCs w:val="20"/>
          <w:color w:val="auto"/>
        </w:rPr>
      </w:pPr>
    </w:p>
    <w:p>
      <w:pPr>
        <w:ind w:left="420" w:right="40" w:hanging="431"/>
        <w:spacing w:after="0" w:line="266" w:lineRule="auto"/>
        <w:rPr>
          <w:sz w:val="20"/>
          <w:szCs w:val="20"/>
          <w:color w:val="auto"/>
        </w:rPr>
      </w:pPr>
      <w:r>
        <w:rPr>
          <w:rFonts w:ascii="Arial" w:cs="Arial" w:eastAsia="Arial" w:hAnsi="Arial"/>
          <w:sz w:val="18"/>
          <w:szCs w:val="18"/>
          <w:b w:val="1"/>
          <w:bCs w:val="1"/>
          <w:color w:val="auto"/>
        </w:rPr>
        <w:t xml:space="preserve">25.4 </w:t>
      </w:r>
      <w:r>
        <w:rPr>
          <w:rFonts w:ascii="Arial" w:cs="Arial" w:eastAsia="Arial" w:hAnsi="Arial"/>
          <w:sz w:val="18"/>
          <w:szCs w:val="18"/>
          <w:color w:val="auto"/>
        </w:rPr>
        <w:t>Invalid votes, blank votes and abstentions shall not be counted as votes cast. Shares in respect of which an invalid or blank vote has been cast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respect of which an abstention has been made shall be taken into account when determining the part of the issued share capital that is represented at a General Meeting.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634" w:right="49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25.5  </w:t>
      </w:r>
      <w:r>
        <w:rPr>
          <w:rFonts w:ascii="Arial" w:cs="Arial" w:eastAsia="Arial" w:hAnsi="Arial"/>
          <w:sz w:val="18"/>
          <w:szCs w:val="18"/>
          <w:color w:val="auto"/>
        </w:rPr>
        <w:t>Where there is a tie in any vote of the General Meeting, the relevant resolution shall not have been passed.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25.6  </w:t>
      </w:r>
      <w:r>
        <w:rPr>
          <w:rFonts w:ascii="Arial" w:cs="Arial" w:eastAsia="Arial" w:hAnsi="Arial"/>
          <w:sz w:val="18"/>
          <w:szCs w:val="18"/>
          <w:color w:val="auto"/>
        </w:rPr>
        <w:t>The chairman of the General Meeting shall decide on the method of voting and the voting procedure at the General Meeting.</w:t>
      </w:r>
    </w:p>
    <w:p>
      <w:pPr>
        <w:spacing w:after="0" w:line="131" w:lineRule="exact"/>
        <w:rPr>
          <w:sz w:val="20"/>
          <w:szCs w:val="20"/>
          <w:color w:val="auto"/>
        </w:rPr>
      </w:pPr>
    </w:p>
    <w:p>
      <w:pPr>
        <w:ind w:left="420" w:hanging="431"/>
        <w:spacing w:after="0" w:line="281" w:lineRule="auto"/>
        <w:rPr>
          <w:sz w:val="20"/>
          <w:szCs w:val="20"/>
          <w:color w:val="auto"/>
        </w:rPr>
      </w:pPr>
      <w:r>
        <w:rPr>
          <w:rFonts w:ascii="Arial" w:cs="Arial" w:eastAsia="Arial" w:hAnsi="Arial"/>
          <w:sz w:val="17"/>
          <w:szCs w:val="17"/>
          <w:b w:val="1"/>
          <w:bCs w:val="1"/>
          <w:color w:val="auto"/>
        </w:rPr>
        <w:t xml:space="preserve">25.7 </w:t>
      </w:r>
      <w:r>
        <w:rPr>
          <w:rFonts w:ascii="Arial" w:cs="Arial" w:eastAsia="Arial" w:hAnsi="Arial"/>
          <w:sz w:val="17"/>
          <w:szCs w:val="17"/>
          <w:color w:val="auto"/>
        </w:rPr>
        <w:t>The determination during the General Meeting made by the chairman of that General Meeting with regard to the results of a vote shall be decisive.</w:t>
      </w:r>
      <w:r>
        <w:rPr>
          <w:rFonts w:ascii="Arial" w:cs="Arial" w:eastAsia="Arial" w:hAnsi="Arial"/>
          <w:sz w:val="17"/>
          <w:szCs w:val="17"/>
          <w:b w:val="1"/>
          <w:bCs w:val="1"/>
          <w:color w:val="auto"/>
        </w:rPr>
        <w:t xml:space="preserve"> </w:t>
      </w:r>
      <w:r>
        <w:rPr>
          <w:rFonts w:ascii="Arial" w:cs="Arial" w:eastAsia="Arial" w:hAnsi="Arial"/>
          <w:sz w:val="17"/>
          <w:szCs w:val="17"/>
          <w:color w:val="auto"/>
        </w:rPr>
        <w:t>If the accuracy of the chairman’s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p>
      <w:pPr>
        <w:spacing w:after="0" w:line="70" w:lineRule="exact"/>
        <w:rPr>
          <w:sz w:val="20"/>
          <w:szCs w:val="20"/>
          <w:color w:val="auto"/>
        </w:rPr>
      </w:pPr>
    </w:p>
    <w:p>
      <w:pPr>
        <w:jc w:val="center"/>
        <w:ind w:right="400"/>
        <w:spacing w:after="0" w:line="347" w:lineRule="auto"/>
        <w:rPr>
          <w:sz w:val="20"/>
          <w:szCs w:val="20"/>
          <w:color w:val="auto"/>
        </w:rPr>
      </w:pPr>
      <w:r>
        <w:rPr>
          <w:rFonts w:ascii="Arial" w:cs="Arial" w:eastAsia="Arial" w:hAnsi="Arial"/>
          <w:sz w:val="16"/>
          <w:szCs w:val="16"/>
          <w:b w:val="1"/>
          <w:bCs w:val="1"/>
          <w:color w:val="auto"/>
        </w:rPr>
        <w:t xml:space="preserve">25.8  </w:t>
      </w:r>
      <w:r>
        <w:rPr>
          <w:rFonts w:ascii="Arial" w:cs="Arial" w:eastAsia="Arial" w:hAnsi="Arial"/>
          <w:sz w:val="16"/>
          <w:szCs w:val="16"/>
          <w:color w:val="auto"/>
        </w:rPr>
        <w:t>The Board shall keep a record of the resolutions passed. The record shall be available at the Company’s office for inspection by Persons with</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Rights. Each of them shall, upon request, be provided with a copy of or extract from the record, at no more than the cost price.</w:t>
      </w:r>
    </w:p>
    <w:p>
      <w:pPr>
        <w:spacing w:after="0" w:line="21" w:lineRule="exact"/>
        <w:rPr>
          <w:sz w:val="20"/>
          <w:szCs w:val="20"/>
          <w:color w:val="auto"/>
        </w:rPr>
      </w:pPr>
    </w:p>
    <w:p>
      <w:pPr>
        <w:jc w:val="both"/>
        <w:ind w:left="420" w:right="20" w:hanging="431"/>
        <w:spacing w:after="0" w:line="266" w:lineRule="auto"/>
        <w:rPr>
          <w:sz w:val="20"/>
          <w:szCs w:val="20"/>
          <w:color w:val="auto"/>
        </w:rPr>
      </w:pPr>
      <w:r>
        <w:rPr>
          <w:rFonts w:ascii="Arial" w:cs="Arial" w:eastAsia="Arial" w:hAnsi="Arial"/>
          <w:sz w:val="18"/>
          <w:szCs w:val="18"/>
          <w:b w:val="1"/>
          <w:bCs w:val="1"/>
          <w:color w:val="auto"/>
        </w:rPr>
        <w:t xml:space="preserve">25.9 </w:t>
      </w:r>
      <w:r>
        <w:rPr>
          <w:rFonts w:ascii="Arial" w:cs="Arial" w:eastAsia="Arial" w:hAnsi="Arial"/>
          <w:sz w:val="18"/>
          <w:szCs w:val="18"/>
          <w:color w:val="auto"/>
        </w:rPr>
        <w:t>Shareholders may pass resolutions outside a meeting, unless the Company has cooperated with the issuance of depository receipts for shares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Such resolutions can only be passed by a unanimous vote of all shareholders with voting rights. The votes shall be cast in writing and may be cast through electronic means.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25.10 </w:t>
      </w:r>
      <w:r>
        <w:rPr>
          <w:rFonts w:ascii="Arial" w:cs="Arial" w:eastAsia="Arial" w:hAnsi="Arial"/>
          <w:sz w:val="18"/>
          <w:szCs w:val="18"/>
          <w:color w:val="auto"/>
        </w:rPr>
        <w:t>The Directors shall, in that capacity, have an advisory vote at the General Meetings.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SPECIAL RESOLUTIONS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26.1  </w:t>
      </w:r>
      <w:r>
        <w:rPr>
          <w:rFonts w:ascii="Arial" w:cs="Arial" w:eastAsia="Arial" w:hAnsi="Arial"/>
          <w:sz w:val="18"/>
          <w:szCs w:val="18"/>
          <w:color w:val="auto"/>
        </w:rPr>
        <w:t>The following resolutions can only be passed by the General Meeting at the proposal of the Board:</w:t>
      </w:r>
    </w:p>
    <w:p>
      <w:pPr>
        <w:spacing w:after="0" w:line="135" w:lineRule="exact"/>
        <w:rPr>
          <w:sz w:val="20"/>
          <w:szCs w:val="20"/>
          <w:color w:val="auto"/>
        </w:rPr>
      </w:pPr>
    </w:p>
    <w:p>
      <w:pPr>
        <w:ind w:left="960" w:hanging="532"/>
        <w:spacing w:after="0"/>
        <w:tabs>
          <w:tab w:leader="none" w:pos="9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issue of shares or the granting of rights to subscribe for shares;</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limitation or exclusion of pre-emption rights;</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designation or granting of an authorisation as referred to in Articles 6.1, 7.5 and 10.2, respectively;</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reduction of the Company’s issued share capital;</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making of a distribution on the ordinary shares from the Company’s profits or reserves;</w:t>
      </w:r>
    </w:p>
    <w:p>
      <w:pPr>
        <w:spacing w:after="0" w:line="130" w:lineRule="exact"/>
        <w:rPr>
          <w:rFonts w:ascii="Arial" w:cs="Arial" w:eastAsia="Arial" w:hAnsi="Arial"/>
          <w:sz w:val="18"/>
          <w:szCs w:val="18"/>
          <w:b w:val="1"/>
          <w:bCs w:val="1"/>
          <w:color w:val="auto"/>
        </w:rPr>
      </w:pPr>
    </w:p>
    <w:p>
      <w:pPr>
        <w:ind w:left="5420" w:right="1540" w:hanging="4992"/>
        <w:spacing w:after="0" w:line="449" w:lineRule="auto"/>
        <w:tabs>
          <w:tab w:leader="none" w:pos="974"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making of a distribution in the form of shares in the Company’s capital or in the form of assets, instead of in cash; 21</w:t>
      </w:r>
    </w:p>
    <w:p>
      <w:pPr>
        <w:sectPr>
          <w:pgSz w:w="11900" w:h="16838" w:orient="portrait"/>
          <w:cols w:equalWidth="0" w:num="1">
            <w:col w:w="10980"/>
          </w:cols>
          <w:pgMar w:left="440" w:top="634" w:right="479" w:bottom="1440" w:gutter="0" w:footer="0" w:header="0"/>
        </w:sectPr>
      </w:pPr>
    </w:p>
    <w:bookmarkStart w:id="327" w:name="page328"/>
    <w:bookmarkEnd w:id="327"/>
    <w:p>
      <w:pPr>
        <w:ind w:left="960" w:hanging="532"/>
        <w:spacing w:after="0"/>
        <w:tabs>
          <w:tab w:leader="none" w:pos="96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the amendment of these articles of association;</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the entering into of a merger or demerger;</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the instruction of the Board to apply for the Company’s bankruptcy; and</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the Company’s dissolution.</w:t>
      </w:r>
    </w:p>
    <w:p>
      <w:pPr>
        <w:spacing w:after="0" w:line="127" w:lineRule="exact"/>
        <w:rPr>
          <w:sz w:val="20"/>
          <w:szCs w:val="20"/>
          <w:color w:val="auto"/>
        </w:rPr>
      </w:pPr>
    </w:p>
    <w:p>
      <w:pPr>
        <w:ind w:left="420" w:right="80" w:hanging="431"/>
        <w:spacing w:after="0" w:line="261" w:lineRule="auto"/>
        <w:rPr>
          <w:sz w:val="20"/>
          <w:szCs w:val="20"/>
          <w:color w:val="auto"/>
        </w:rPr>
      </w:pPr>
      <w:r>
        <w:rPr>
          <w:rFonts w:ascii="Arial" w:cs="Arial" w:eastAsia="Arial" w:hAnsi="Arial"/>
          <w:sz w:val="18"/>
          <w:szCs w:val="18"/>
          <w:b w:val="1"/>
          <w:bCs w:val="1"/>
          <w:color w:val="auto"/>
        </w:rPr>
        <w:t xml:space="preserve">26.2 </w:t>
      </w:r>
      <w:r>
        <w:rPr>
          <w:rFonts w:ascii="Arial" w:cs="Arial" w:eastAsia="Arial" w:hAnsi="Arial"/>
          <w:sz w:val="18"/>
          <w:szCs w:val="18"/>
          <w:color w:val="auto"/>
        </w:rPr>
        <w:t>A matter which has been included in the convening notice or announced in the same manner by or at the request of one or more Persons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Rights pursuant to Articles 22.5 and/or 22.6 shall not be considered to have been proposed by the Board for purposes of Article 26.1, unless the Board has expressly indicated that it supports the discussion of such matter in the agenda of the General Meeting concerned or in the explanatory notes thereto.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MEETINGS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27</w:t>
      </w:r>
    </w:p>
    <w:p>
      <w:pPr>
        <w:spacing w:after="0" w:line="131" w:lineRule="exact"/>
        <w:rPr>
          <w:sz w:val="20"/>
          <w:szCs w:val="20"/>
          <w:color w:val="auto"/>
        </w:rPr>
      </w:pPr>
    </w:p>
    <w:p>
      <w:pPr>
        <w:ind w:left="420" w:right="200" w:hanging="431"/>
        <w:spacing w:after="0" w:line="282" w:lineRule="auto"/>
        <w:rPr>
          <w:sz w:val="20"/>
          <w:szCs w:val="20"/>
          <w:color w:val="auto"/>
        </w:rPr>
      </w:pPr>
      <w:r>
        <w:rPr>
          <w:rFonts w:ascii="Arial" w:cs="Arial" w:eastAsia="Arial" w:hAnsi="Arial"/>
          <w:sz w:val="18"/>
          <w:szCs w:val="18"/>
          <w:b w:val="1"/>
          <w:bCs w:val="1"/>
          <w:color w:val="auto"/>
        </w:rPr>
        <w:t xml:space="preserve">27.1 </w:t>
      </w:r>
      <w:r>
        <w:rPr>
          <w:rFonts w:ascii="Arial" w:cs="Arial" w:eastAsia="Arial" w:hAnsi="Arial"/>
          <w:sz w:val="18"/>
          <w:szCs w:val="18"/>
          <w:color w:val="auto"/>
        </w:rPr>
        <w:t>A Class Meeting shall be held whenever a resolution of that Class Meeting is required by Dutch law or under these articles of association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whenever the Board so decides.</w:t>
      </w:r>
    </w:p>
    <w:p>
      <w:pPr>
        <w:spacing w:after="0" w:line="67" w:lineRule="exact"/>
        <w:rPr>
          <w:sz w:val="20"/>
          <w:szCs w:val="20"/>
          <w:color w:val="auto"/>
        </w:rPr>
      </w:pPr>
    </w:p>
    <w:p>
      <w:pPr>
        <w:ind w:left="420" w:right="100" w:hanging="431"/>
        <w:spacing w:after="0" w:line="282" w:lineRule="auto"/>
        <w:rPr>
          <w:sz w:val="20"/>
          <w:szCs w:val="20"/>
          <w:color w:val="auto"/>
        </w:rPr>
      </w:pPr>
      <w:r>
        <w:rPr>
          <w:rFonts w:ascii="Arial" w:cs="Arial" w:eastAsia="Arial" w:hAnsi="Arial"/>
          <w:sz w:val="18"/>
          <w:szCs w:val="18"/>
          <w:b w:val="1"/>
          <w:bCs w:val="1"/>
          <w:color w:val="auto"/>
        </w:rPr>
        <w:t xml:space="preserve">27.2 </w:t>
      </w:r>
      <w:r>
        <w:rPr>
          <w:rFonts w:ascii="Arial" w:cs="Arial" w:eastAsia="Arial" w:hAnsi="Arial"/>
          <w:sz w:val="18"/>
          <w:szCs w:val="18"/>
          <w:color w:val="auto"/>
        </w:rPr>
        <w:t>Without prejudice to Article 27.1, for Class Meetings of ordinary shares, the provisions concerning the convening of, drawing up of the agenda</w:t>
      </w:r>
      <w:r>
        <w:rPr>
          <w:rFonts w:ascii="Arial" w:cs="Arial" w:eastAsia="Arial" w:hAnsi="Arial"/>
          <w:sz w:val="18"/>
          <w:szCs w:val="18"/>
          <w:b w:val="1"/>
          <w:bCs w:val="1"/>
          <w:color w:val="auto"/>
        </w:rPr>
        <w:t xml:space="preserve"> </w:t>
      </w:r>
      <w:r>
        <w:rPr>
          <w:rFonts w:ascii="Arial" w:cs="Arial" w:eastAsia="Arial" w:hAnsi="Arial"/>
          <w:sz w:val="18"/>
          <w:szCs w:val="18"/>
          <w:color w:val="auto"/>
        </w:rPr>
        <w:t>for, holding of and decision-making by the General Meeting apply mutatis mutandis.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27.3  </w:t>
      </w:r>
      <w:r>
        <w:rPr>
          <w:rFonts w:ascii="Arial" w:cs="Arial" w:eastAsia="Arial" w:hAnsi="Arial"/>
          <w:sz w:val="18"/>
          <w:szCs w:val="18"/>
          <w:color w:val="auto"/>
        </w:rPr>
        <w:t>For Class Meetings of preferred shares, the following shall apply:</w:t>
      </w:r>
    </w:p>
    <w:p>
      <w:pPr>
        <w:spacing w:after="0" w:line="135" w:lineRule="exact"/>
        <w:rPr>
          <w:sz w:val="20"/>
          <w:szCs w:val="20"/>
          <w:color w:val="auto"/>
        </w:rPr>
      </w:pPr>
    </w:p>
    <w:p>
      <w:pPr>
        <w:ind w:left="960" w:hanging="532"/>
        <w:spacing w:after="0"/>
        <w:tabs>
          <w:tab w:leader="none" w:pos="96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Articles 22.3, 22.9, 23.3, 25.1, 25.2 through 25.10 apply mutatis mutandis;</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a Class Meeting must be convened no later than on the eighth day prior to that of the meeting;</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a Class Meeting shall appoint its own chairman; and</w:t>
      </w:r>
    </w:p>
    <w:p>
      <w:pPr>
        <w:spacing w:after="0" w:line="130" w:lineRule="exact"/>
        <w:rPr>
          <w:rFonts w:ascii="Arial" w:cs="Arial" w:eastAsia="Arial" w:hAnsi="Arial"/>
          <w:sz w:val="18"/>
          <w:szCs w:val="18"/>
          <w:b w:val="1"/>
          <w:bCs w:val="1"/>
          <w:color w:val="auto"/>
        </w:rPr>
      </w:pPr>
    </w:p>
    <w:p>
      <w:pPr>
        <w:ind w:left="960" w:hanging="532"/>
        <w:spacing w:after="0" w:line="263" w:lineRule="auto"/>
        <w:tabs>
          <w:tab w:leader="none" w:pos="96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 which all shares of the relevant class are represented.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 FINANCIAL YEAR, ANNUAL ACCOUNTS AND MANAGEMENT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28.1  </w:t>
      </w:r>
      <w:r>
        <w:rPr>
          <w:rFonts w:ascii="Arial" w:cs="Arial" w:eastAsia="Arial" w:hAnsi="Arial"/>
          <w:sz w:val="18"/>
          <w:szCs w:val="18"/>
          <w:color w:val="auto"/>
        </w:rPr>
        <w:t>The Company’s financial year shall coincide with the calendar year.</w:t>
      </w:r>
    </w:p>
    <w:p>
      <w:pPr>
        <w:spacing w:after="0" w:line="131" w:lineRule="exact"/>
        <w:rPr>
          <w:sz w:val="20"/>
          <w:szCs w:val="20"/>
          <w:color w:val="auto"/>
        </w:rPr>
      </w:pPr>
    </w:p>
    <w:p>
      <w:pPr>
        <w:ind w:left="420" w:right="160" w:hanging="431"/>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Annually, within the relevant statutory period, the Board shall prepare the annual accounts and the management report and deposit them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office for inspection by the shareholders.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20"/>
          </w:cols>
          <w:pgMar w:left="440" w:top="638" w:right="639" w:bottom="1440" w:gutter="0" w:footer="0" w:header="0"/>
        </w:sectPr>
      </w:pPr>
    </w:p>
    <w:bookmarkStart w:id="328" w:name="page329"/>
    <w:bookmarkEnd w:id="3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28.3  </w:t>
      </w:r>
      <w:r>
        <w:rPr>
          <w:rFonts w:ascii="Arial" w:cs="Arial" w:eastAsia="Arial" w:hAnsi="Arial"/>
          <w:sz w:val="17"/>
          <w:szCs w:val="17"/>
          <w:color w:val="auto"/>
        </w:rPr>
        <w:t>The annual accounts shall be signed by the Directors. If any of their signatures is missing, this shall be mentioned, stating the reasons.</w:t>
      </w:r>
    </w:p>
    <w:p>
      <w:pPr>
        <w:spacing w:after="0" w:line="142" w:lineRule="exact"/>
        <w:rPr>
          <w:sz w:val="20"/>
          <w:szCs w:val="20"/>
          <w:color w:val="auto"/>
        </w:rPr>
      </w:pPr>
    </w:p>
    <w:p>
      <w:pPr>
        <w:ind w:left="420" w:right="140" w:hanging="431"/>
        <w:spacing w:after="0" w:line="266" w:lineRule="auto"/>
        <w:rPr>
          <w:sz w:val="20"/>
          <w:szCs w:val="20"/>
          <w:color w:val="auto"/>
        </w:rPr>
      </w:pPr>
      <w:r>
        <w:rPr>
          <w:rFonts w:ascii="Arial" w:cs="Arial" w:eastAsia="Arial" w:hAnsi="Arial"/>
          <w:sz w:val="18"/>
          <w:szCs w:val="18"/>
          <w:b w:val="1"/>
          <w:bCs w:val="1"/>
          <w:color w:val="auto"/>
        </w:rPr>
        <w:t xml:space="preserve">28.4 </w:t>
      </w:r>
      <w:r>
        <w:rPr>
          <w:rFonts w:ascii="Arial" w:cs="Arial" w:eastAsia="Arial" w:hAnsi="Arial"/>
          <w:sz w:val="18"/>
          <w:szCs w:val="18"/>
          <w:color w:val="auto"/>
        </w:rPr>
        <w:t>The Company shall ensure that the annual accounts, the management report and the particulars to be added pursuant to Section 2:392(1) DCC</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available at its offices as from the convening of the General Meeting at which they are to be discussed. The Persons with Meeting Rights are entitled to inspect such documents at that location and to obtain a copy at no cost.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28.5  </w:t>
      </w:r>
      <w:r>
        <w:rPr>
          <w:rFonts w:ascii="Arial" w:cs="Arial" w:eastAsia="Arial" w:hAnsi="Arial"/>
          <w:sz w:val="18"/>
          <w:szCs w:val="18"/>
          <w:color w:val="auto"/>
        </w:rPr>
        <w:t>The annual accounts shall be adopted by the General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29</w:t>
      </w:r>
    </w:p>
    <w:p>
      <w:pPr>
        <w:spacing w:after="0" w:line="131" w:lineRule="exact"/>
        <w:rPr>
          <w:sz w:val="20"/>
          <w:szCs w:val="20"/>
          <w:color w:val="auto"/>
        </w:rPr>
      </w:pPr>
    </w:p>
    <w:p>
      <w:pPr>
        <w:ind w:left="420" w:right="560" w:hanging="431"/>
        <w:spacing w:after="0" w:line="282" w:lineRule="auto"/>
        <w:rPr>
          <w:sz w:val="20"/>
          <w:szCs w:val="20"/>
          <w:color w:val="auto"/>
        </w:rPr>
      </w:pPr>
      <w:r>
        <w:rPr>
          <w:rFonts w:ascii="Arial" w:cs="Arial" w:eastAsia="Arial" w:hAnsi="Arial"/>
          <w:sz w:val="18"/>
          <w:szCs w:val="18"/>
          <w:b w:val="1"/>
          <w:bCs w:val="1"/>
          <w:color w:val="auto"/>
        </w:rPr>
        <w:t xml:space="preserve">29.1 </w:t>
      </w:r>
      <w:r>
        <w:rPr>
          <w:rFonts w:ascii="Arial" w:cs="Arial" w:eastAsia="Arial" w:hAnsi="Arial"/>
          <w:sz w:val="18"/>
          <w:szCs w:val="18"/>
          <w:color w:val="auto"/>
        </w:rPr>
        <w:t>The General Meeting shall instruct an external auditor as referred to in Section 2:393 DCC to audit the annual accounts. Where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fails to do so, the Board shall be authorised to do so.</w:t>
      </w:r>
    </w:p>
    <w:p>
      <w:pPr>
        <w:spacing w:after="0" w:line="67" w:lineRule="exact"/>
        <w:rPr>
          <w:sz w:val="20"/>
          <w:szCs w:val="20"/>
          <w:color w:val="auto"/>
        </w:rPr>
      </w:pPr>
    </w:p>
    <w:p>
      <w:pPr>
        <w:ind w:left="420" w:right="160" w:hanging="431"/>
        <w:spacing w:after="0" w:line="312" w:lineRule="auto"/>
        <w:rPr>
          <w:sz w:val="20"/>
          <w:szCs w:val="20"/>
          <w:color w:val="auto"/>
        </w:rPr>
      </w:pPr>
      <w:r>
        <w:rPr>
          <w:rFonts w:ascii="Arial" w:cs="Arial" w:eastAsia="Arial" w:hAnsi="Arial"/>
          <w:sz w:val="17"/>
          <w:szCs w:val="17"/>
          <w:b w:val="1"/>
          <w:bCs w:val="1"/>
          <w:color w:val="auto"/>
        </w:rPr>
        <w:t xml:space="preserve">29.2 </w:t>
      </w:r>
      <w:r>
        <w:rPr>
          <w:rFonts w:ascii="Arial" w:cs="Arial" w:eastAsia="Arial" w:hAnsi="Arial"/>
          <w:sz w:val="17"/>
          <w:szCs w:val="17"/>
          <w:color w:val="auto"/>
        </w:rPr>
        <w:t>The instruction may be revoked by the General Meeting and by the body that has granted the instruction. The instruction can only be revoked for</w:t>
      </w:r>
      <w:r>
        <w:rPr>
          <w:rFonts w:ascii="Arial" w:cs="Arial" w:eastAsia="Arial" w:hAnsi="Arial"/>
          <w:sz w:val="17"/>
          <w:szCs w:val="17"/>
          <w:b w:val="1"/>
          <w:bCs w:val="1"/>
          <w:color w:val="auto"/>
        </w:rPr>
        <w:t xml:space="preserve"> </w:t>
      </w:r>
      <w:r>
        <w:rPr>
          <w:rFonts w:ascii="Arial" w:cs="Arial" w:eastAsia="Arial" w:hAnsi="Arial"/>
          <w:sz w:val="17"/>
          <w:szCs w:val="17"/>
          <w:color w:val="auto"/>
        </w:rPr>
        <w:t>well-founded reasons; a difference of opinion regarding the reporting or auditing methods shall not constitute such a reason.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30</w:t>
      </w:r>
    </w:p>
    <w:p>
      <w:pPr>
        <w:spacing w:after="0" w:line="131" w:lineRule="exact"/>
        <w:rPr>
          <w:sz w:val="20"/>
          <w:szCs w:val="20"/>
          <w:color w:val="auto"/>
        </w:rPr>
      </w:pPr>
    </w:p>
    <w:p>
      <w:pPr>
        <w:ind w:left="420" w:right="20" w:hanging="431"/>
        <w:spacing w:after="0" w:line="282" w:lineRule="auto"/>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color w:val="auto"/>
        </w:rPr>
        <w:t>A distribution can only be made to the extent that the Company’s equity exceeds the amount of the paid up and called up part of its capital plus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which must be maintained by law.</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30.2  </w:t>
      </w:r>
      <w:r>
        <w:rPr>
          <w:rFonts w:ascii="Arial" w:cs="Arial" w:eastAsia="Arial" w:hAnsi="Arial"/>
          <w:sz w:val="17"/>
          <w:szCs w:val="17"/>
          <w:color w:val="auto"/>
        </w:rPr>
        <w:t>The Board may resolve to make interim distributions, provided that it appears from interim accounts to be prepared in accordance with</w:t>
      </w:r>
    </w:p>
    <w:p>
      <w:pPr>
        <w:spacing w:after="0" w:line="39" w:lineRule="exact"/>
        <w:rPr>
          <w:sz w:val="20"/>
          <w:szCs w:val="20"/>
          <w:color w:val="auto"/>
        </w:rPr>
      </w:pPr>
    </w:p>
    <w:p>
      <w:pPr>
        <w:ind w:left="420" w:right="40"/>
        <w:spacing w:after="0" w:line="260" w:lineRule="auto"/>
        <w:rPr>
          <w:sz w:val="20"/>
          <w:szCs w:val="20"/>
          <w:color w:val="auto"/>
        </w:rPr>
      </w:pPr>
      <w:r>
        <w:rPr>
          <w:rFonts w:ascii="Arial" w:cs="Arial" w:eastAsia="Arial" w:hAnsi="Arial"/>
          <w:sz w:val="18"/>
          <w:szCs w:val="18"/>
          <w:color w:val="auto"/>
        </w:rPr>
        <w:t>Section 2:105(4) DCC that the requirement referred to in Article 30.1 has been met and, if it concerns an interim distribution of profits, taking into account the order of priority described in Article 32.1.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30.3  </w:t>
      </w:r>
      <w:r>
        <w:rPr>
          <w:rFonts w:ascii="Arial" w:cs="Arial" w:eastAsia="Arial" w:hAnsi="Arial"/>
          <w:sz w:val="18"/>
          <w:szCs w:val="18"/>
          <w:color w:val="auto"/>
        </w:rPr>
        <w:t>No entitlement to distributions is attached to preferred shares, other than as described in Articles 11.2, 32.1 and 33.3.</w:t>
      </w:r>
    </w:p>
    <w:p>
      <w:pPr>
        <w:spacing w:after="0" w:line="131" w:lineRule="exact"/>
        <w:rPr>
          <w:sz w:val="20"/>
          <w:szCs w:val="20"/>
          <w:color w:val="auto"/>
        </w:rPr>
      </w:pPr>
    </w:p>
    <w:p>
      <w:pPr>
        <w:ind w:left="420" w:hanging="431"/>
        <w:spacing w:after="0" w:line="266" w:lineRule="auto"/>
        <w:rPr>
          <w:sz w:val="20"/>
          <w:szCs w:val="20"/>
          <w:color w:val="auto"/>
        </w:rPr>
      </w:pPr>
      <w:r>
        <w:rPr>
          <w:rFonts w:ascii="Arial" w:cs="Arial" w:eastAsia="Arial" w:hAnsi="Arial"/>
          <w:sz w:val="18"/>
          <w:szCs w:val="18"/>
          <w:b w:val="1"/>
          <w:bCs w:val="1"/>
          <w:color w:val="auto"/>
        </w:rPr>
        <w:t xml:space="preserve">30.4 </w:t>
      </w:r>
      <w:r>
        <w:rPr>
          <w:rFonts w:ascii="Arial" w:cs="Arial" w:eastAsia="Arial" w:hAnsi="Arial"/>
          <w:sz w:val="18"/>
          <w:szCs w:val="18"/>
          <w:color w:val="auto"/>
        </w:rPr>
        <w:t>Distributions shall be made in proportion to the aggregate nominal value of the shares of the relevant class. In deviation of the previous sentence,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on preferred shares (or to the former holders of preferred shares) shall be made in proportion to the amounts paid up (or formerly paid up) on those preferred shares.</w:t>
      </w:r>
    </w:p>
    <w:p>
      <w:pPr>
        <w:spacing w:after="0" w:line="81" w:lineRule="exact"/>
        <w:rPr>
          <w:sz w:val="20"/>
          <w:szCs w:val="20"/>
          <w:color w:val="auto"/>
        </w:rPr>
      </w:pPr>
    </w:p>
    <w:p>
      <w:pPr>
        <w:ind w:left="420" w:right="120" w:hanging="431"/>
        <w:spacing w:after="0" w:line="312" w:lineRule="auto"/>
        <w:rPr>
          <w:sz w:val="20"/>
          <w:szCs w:val="20"/>
          <w:color w:val="auto"/>
        </w:rPr>
      </w:pPr>
      <w:r>
        <w:rPr>
          <w:rFonts w:ascii="Arial" w:cs="Arial" w:eastAsia="Arial" w:hAnsi="Arial"/>
          <w:sz w:val="17"/>
          <w:szCs w:val="17"/>
          <w:b w:val="1"/>
          <w:bCs w:val="1"/>
          <w:color w:val="auto"/>
        </w:rPr>
        <w:t xml:space="preserve">30.5 </w:t>
      </w:r>
      <w:r>
        <w:rPr>
          <w:rFonts w:ascii="Arial" w:cs="Arial" w:eastAsia="Arial" w:hAnsi="Arial"/>
          <w:sz w:val="17"/>
          <w:szCs w:val="17"/>
          <w:color w:val="auto"/>
        </w:rPr>
        <w:t>The parties entitled to a distribution shall be the relevant shareholders, usufructuaries and pledgees, as the case may be, at a date to be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Board for that purpose. This date shall not be earlier than the date on which the distribution was announced.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634" w:right="439" w:bottom="1440" w:gutter="0" w:footer="0" w:header="0"/>
        </w:sectPr>
      </w:pPr>
    </w:p>
    <w:bookmarkStart w:id="329" w:name="page330"/>
    <w:bookmarkEnd w:id="329"/>
    <w:p>
      <w:pPr>
        <w:ind w:left="420" w:right="80" w:hanging="43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 xml:space="preserve">30.6 </w:t>
      </w:r>
      <w:r>
        <w:rPr>
          <w:rFonts w:ascii="Arial" w:cs="Arial" w:eastAsia="Arial" w:hAnsi="Arial"/>
          <w:sz w:val="18"/>
          <w:szCs w:val="18"/>
          <w:color w:val="auto"/>
        </w:rPr>
        <w:t>The General Meeting may resolve, subject to Article 26, that all or part of a distribution, instead of being made in cash, shall be made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in the Company’s capital or in the form of the Company’s assets.</w:t>
      </w:r>
    </w:p>
    <w:p>
      <w:pPr>
        <w:spacing w:after="0" w:line="67" w:lineRule="exact"/>
        <w:rPr>
          <w:sz w:val="20"/>
          <w:szCs w:val="20"/>
          <w:color w:val="auto"/>
        </w:rPr>
      </w:pPr>
    </w:p>
    <w:p>
      <w:pPr>
        <w:ind w:left="420" w:hanging="431"/>
        <w:spacing w:after="0" w:line="314" w:lineRule="auto"/>
        <w:rPr>
          <w:sz w:val="20"/>
          <w:szCs w:val="20"/>
          <w:color w:val="auto"/>
        </w:rPr>
      </w:pPr>
      <w:r>
        <w:rPr>
          <w:rFonts w:ascii="Arial" w:cs="Arial" w:eastAsia="Arial" w:hAnsi="Arial"/>
          <w:sz w:val="16"/>
          <w:szCs w:val="16"/>
          <w:b w:val="1"/>
          <w:bCs w:val="1"/>
          <w:color w:val="auto"/>
        </w:rPr>
        <w:t xml:space="preserve">30.7 </w:t>
      </w:r>
      <w:r>
        <w:rPr>
          <w:rFonts w:ascii="Arial" w:cs="Arial" w:eastAsia="Arial" w:hAnsi="Arial"/>
          <w:sz w:val="16"/>
          <w:szCs w:val="16"/>
          <w:color w:val="auto"/>
        </w:rPr>
        <w:t>A distribution shall be payable on such date and, if it concerns a distribution in cash, in such currency or currencies as determined by the Board. If</w:t>
      </w:r>
      <w:r>
        <w:rPr>
          <w:rFonts w:ascii="Arial" w:cs="Arial" w:eastAsia="Arial" w:hAnsi="Arial"/>
          <w:sz w:val="16"/>
          <w:szCs w:val="16"/>
          <w:b w:val="1"/>
          <w:bCs w:val="1"/>
          <w:color w:val="auto"/>
        </w:rPr>
        <w:t xml:space="preserve"> </w:t>
      </w:r>
      <w:r>
        <w:rPr>
          <w:rFonts w:ascii="Arial" w:cs="Arial" w:eastAsia="Arial" w:hAnsi="Arial"/>
          <w:sz w:val="16"/>
          <w:szCs w:val="16"/>
          <w:color w:val="auto"/>
        </w:rPr>
        <w:t>it concerns a distribution in the form of the Company’s assets, the Board shall determine the value attributed to such distribution for purposes of recording the distribution in the Company’s accounts with due observance of applicable law (including the applicable accounting principles).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30.8  </w:t>
      </w:r>
      <w:r>
        <w:rPr>
          <w:rFonts w:ascii="Arial" w:cs="Arial" w:eastAsia="Arial" w:hAnsi="Arial"/>
          <w:sz w:val="18"/>
          <w:szCs w:val="18"/>
          <w:color w:val="auto"/>
        </w:rPr>
        <w:t>A claim for payment of a distribution shall lapse after five years have expired after the distribution became payable.</w:t>
      </w:r>
    </w:p>
    <w:p>
      <w:pPr>
        <w:spacing w:after="0" w:line="131" w:lineRule="exact"/>
        <w:rPr>
          <w:sz w:val="20"/>
          <w:szCs w:val="20"/>
          <w:color w:val="auto"/>
        </w:rPr>
      </w:pPr>
    </w:p>
    <w:p>
      <w:pPr>
        <w:ind w:left="420" w:right="160" w:hanging="431"/>
        <w:spacing w:after="0" w:line="282" w:lineRule="auto"/>
        <w:rPr>
          <w:sz w:val="20"/>
          <w:szCs w:val="20"/>
          <w:color w:val="auto"/>
        </w:rPr>
      </w:pPr>
      <w:r>
        <w:rPr>
          <w:rFonts w:ascii="Arial" w:cs="Arial" w:eastAsia="Arial" w:hAnsi="Arial"/>
          <w:sz w:val="18"/>
          <w:szCs w:val="18"/>
          <w:b w:val="1"/>
          <w:bCs w:val="1"/>
          <w:color w:val="auto"/>
        </w:rPr>
        <w:t xml:space="preserve">30.9 </w:t>
      </w:r>
      <w:r>
        <w:rPr>
          <w:rFonts w:ascii="Arial" w:cs="Arial" w:eastAsia="Arial" w:hAnsi="Arial"/>
          <w:sz w:val="18"/>
          <w:szCs w:val="18"/>
          <w:color w:val="auto"/>
        </w:rPr>
        <w:t>For the purpose of calculating the amount or allocation of any distribution, shares held by the Company in its own capital shall not be taken into</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No distribution shall be made to the Company in respect of shares held by it in its own capital.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RESERVES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All reserves maintained by the Company shall be attached exclusively to the ordinary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Subject to Article 26, the General Meeting is authorised to resolve to make a distribution from the Company’s reserves.</w:t>
      </w:r>
    </w:p>
    <w:p>
      <w:pPr>
        <w:spacing w:after="0" w:line="131" w:lineRule="exact"/>
        <w:rPr>
          <w:sz w:val="20"/>
          <w:szCs w:val="20"/>
          <w:color w:val="auto"/>
        </w:rPr>
      </w:pPr>
    </w:p>
    <w:p>
      <w:pPr>
        <w:ind w:left="420" w:right="100" w:hanging="431"/>
        <w:spacing w:after="0" w:line="266" w:lineRule="auto"/>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color w:val="auto"/>
        </w:rPr>
        <w:t>Without prejudice to Articles 31.4 and 32.2, distributions from a reserve shall be made exclusively on the class of shares to which such reserve is</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provided that distributions to holders or former holders of preferred shares as contemplated by Articles 11.2 and 32.2 may be charged against reserves attached to the ordinary shares.</w:t>
      </w:r>
    </w:p>
    <w:p>
      <w:pPr>
        <w:spacing w:after="0" w:line="81" w:lineRule="exact"/>
        <w:rPr>
          <w:sz w:val="20"/>
          <w:szCs w:val="20"/>
          <w:color w:val="auto"/>
        </w:rPr>
      </w:pPr>
    </w:p>
    <w:p>
      <w:pPr>
        <w:ind w:left="420" w:right="40" w:hanging="431"/>
        <w:spacing w:after="0" w:line="282" w:lineRule="auto"/>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color w:val="auto"/>
        </w:rPr>
        <w:t>The Board may resolve to charge amounts to be paid up on shares against the Company’s reserves, irrespective of whether those shares are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to existing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PROFITS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32</w:t>
      </w:r>
    </w:p>
    <w:p>
      <w:pPr>
        <w:spacing w:after="0" w:line="131" w:lineRule="exact"/>
        <w:rPr>
          <w:sz w:val="20"/>
          <w:szCs w:val="20"/>
          <w:color w:val="auto"/>
        </w:rPr>
      </w:pPr>
    </w:p>
    <w:p>
      <w:pPr>
        <w:ind w:left="420" w:right="100" w:hanging="431"/>
        <w:spacing w:after="0" w:line="282" w:lineRule="auto"/>
        <w:rPr>
          <w:sz w:val="20"/>
          <w:szCs w:val="20"/>
          <w:color w:val="auto"/>
        </w:rPr>
      </w:pPr>
      <w:r>
        <w:rPr>
          <w:rFonts w:ascii="Arial" w:cs="Arial" w:eastAsia="Arial" w:hAnsi="Arial"/>
          <w:sz w:val="18"/>
          <w:szCs w:val="18"/>
          <w:b w:val="1"/>
          <w:bCs w:val="1"/>
          <w:color w:val="auto"/>
        </w:rPr>
        <w:t xml:space="preserve">32.1 </w:t>
      </w:r>
      <w:r>
        <w:rPr>
          <w:rFonts w:ascii="Arial" w:cs="Arial" w:eastAsia="Arial" w:hAnsi="Arial"/>
          <w:sz w:val="18"/>
          <w:szCs w:val="18"/>
          <w:color w:val="auto"/>
        </w:rPr>
        <w:t>Subject to Article 30.1, the profits shown in the Company’s annual accounts in respect of a financial year shall be appropriated as follows,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order of priority:</w:t>
      </w:r>
    </w:p>
    <w:p>
      <w:pPr>
        <w:spacing w:after="0" w:line="71" w:lineRule="exact"/>
        <w:rPr>
          <w:sz w:val="20"/>
          <w:szCs w:val="20"/>
          <w:color w:val="auto"/>
        </w:rPr>
      </w:pPr>
    </w:p>
    <w:p>
      <w:pPr>
        <w:ind w:left="960" w:right="40" w:hanging="532"/>
        <w:spacing w:after="0" w:line="259" w:lineRule="auto"/>
        <w:tabs>
          <w:tab w:leader="none" w:pos="960"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to the extent that any preferred shares have been cancelled without the distribution described in Article 11.2 paragraph b. having been paid in full and without any such deficit subsequently having been paid in full as described in this Article 32.1 or Article 32.2, an amount equal to any such (remaining) deficit shall be distributed to those who held those preferred shares at the moment of such cancellation becoming effective;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634" w:right="499" w:bottom="1440" w:gutter="0" w:footer="0" w:header="0"/>
        </w:sectPr>
      </w:pPr>
    </w:p>
    <w:bookmarkStart w:id="330" w:name="page331"/>
    <w:bookmarkEnd w:id="330"/>
    <w:p>
      <w:pPr>
        <w:ind w:left="960" w:hanging="532"/>
        <w:spacing w:after="0" w:line="342" w:lineRule="auto"/>
        <w:tabs>
          <w:tab w:leader="none" w:pos="960" w:val="left"/>
        </w:tabs>
        <w:numPr>
          <w:ilvl w:val="0"/>
          <w:numId w:val="23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to the extent that any Preferred Distribution (or part thereof) in relation to previous financial years has not yet been paid in full as described in this Article 32.1 or Article 32.2, an amount equal to any such (remaining) deficit shall be distributed on the preferred shares;</w:t>
      </w:r>
    </w:p>
    <w:p>
      <w:pPr>
        <w:spacing w:after="0" w:line="29" w:lineRule="exact"/>
        <w:rPr>
          <w:rFonts w:ascii="Arial" w:cs="Arial" w:eastAsia="Arial" w:hAnsi="Arial"/>
          <w:sz w:val="16"/>
          <w:szCs w:val="16"/>
          <w:b w:val="1"/>
          <w:bCs w:val="1"/>
          <w:color w:val="auto"/>
        </w:rPr>
      </w:pPr>
    </w:p>
    <w:p>
      <w:pPr>
        <w:ind w:left="960" w:hanging="532"/>
        <w:spacing w:after="0"/>
        <w:tabs>
          <w:tab w:leader="none" w:pos="960" w:val="left"/>
        </w:tabs>
        <w:numPr>
          <w:ilvl w:val="0"/>
          <w:numId w:val="238"/>
        </w:numPr>
        <w:rPr>
          <w:rFonts w:ascii="Arial" w:cs="Arial" w:eastAsia="Arial" w:hAnsi="Arial"/>
          <w:sz w:val="16"/>
          <w:szCs w:val="16"/>
          <w:b w:val="1"/>
          <w:bCs w:val="1"/>
          <w:color w:val="auto"/>
        </w:rPr>
      </w:pPr>
      <w:r>
        <w:rPr>
          <w:rFonts w:ascii="Arial" w:cs="Arial" w:eastAsia="Arial" w:hAnsi="Arial"/>
          <w:sz w:val="16"/>
          <w:szCs w:val="16"/>
          <w:color w:val="auto"/>
        </w:rPr>
        <w:t>the Preferred Distribution shall be distributed on the preferred shares in respect of the financial year to which the annual accounts pertain;</w:t>
      </w:r>
    </w:p>
    <w:p>
      <w:pPr>
        <w:spacing w:after="0" w:line="153" w:lineRule="exact"/>
        <w:rPr>
          <w:rFonts w:ascii="Arial" w:cs="Arial" w:eastAsia="Arial" w:hAnsi="Arial"/>
          <w:sz w:val="16"/>
          <w:szCs w:val="16"/>
          <w:b w:val="1"/>
          <w:bCs w:val="1"/>
          <w:color w:val="auto"/>
        </w:rPr>
      </w:pPr>
    </w:p>
    <w:p>
      <w:pPr>
        <w:ind w:left="960" w:hanging="532"/>
        <w:spacing w:after="0"/>
        <w:tabs>
          <w:tab w:leader="none" w:pos="960"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the Board shall determine which part of the remaining profits shall be added to the Company’s reserves; and</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subject Article 26, the remaining profits shall be at the disposal of the General Meeting for distribution on the ordinary shares.</w:t>
      </w:r>
    </w:p>
    <w:p>
      <w:pPr>
        <w:spacing w:after="0" w:line="127" w:lineRule="exact"/>
        <w:rPr>
          <w:sz w:val="20"/>
          <w:szCs w:val="20"/>
          <w:color w:val="auto"/>
        </w:rPr>
      </w:pPr>
    </w:p>
    <w:p>
      <w:pPr>
        <w:ind w:left="420" w:right="160" w:hanging="431"/>
        <w:spacing w:after="0" w:line="312" w:lineRule="auto"/>
        <w:rPr>
          <w:sz w:val="20"/>
          <w:szCs w:val="20"/>
          <w:color w:val="auto"/>
        </w:rPr>
      </w:pPr>
      <w:r>
        <w:rPr>
          <w:rFonts w:ascii="Arial" w:cs="Arial" w:eastAsia="Arial" w:hAnsi="Arial"/>
          <w:sz w:val="17"/>
          <w:szCs w:val="17"/>
          <w:b w:val="1"/>
          <w:bCs w:val="1"/>
          <w:color w:val="auto"/>
        </w:rPr>
        <w:t xml:space="preserve">32.2 </w:t>
      </w:r>
      <w:r>
        <w:rPr>
          <w:rFonts w:ascii="Arial" w:cs="Arial" w:eastAsia="Arial" w:hAnsi="Arial"/>
          <w:sz w:val="17"/>
          <w:szCs w:val="17"/>
          <w:color w:val="auto"/>
        </w:rPr>
        <w:t>To the extent that the distributions described in Article 32.1 paragraphs a. through c. (or any part thereof) cannot be paid out of the profits shown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annual accounts, any such deficit shall be distributed from the Company’s reserves, subject to Articles 30.1 and 30.2.</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32.3  </w:t>
      </w:r>
      <w:r>
        <w:rPr>
          <w:rFonts w:ascii="Arial" w:cs="Arial" w:eastAsia="Arial" w:hAnsi="Arial"/>
          <w:sz w:val="16"/>
          <w:szCs w:val="16"/>
          <w:color w:val="auto"/>
        </w:rPr>
        <w:t>Subject to Article 30.1, a distribution of profits shall be made after the adoption of the annual accounts that show that such distribution is allowed.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AND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33</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33.1  </w:t>
      </w:r>
      <w:r>
        <w:rPr>
          <w:rFonts w:ascii="Arial" w:cs="Arial" w:eastAsia="Arial" w:hAnsi="Arial"/>
          <w:sz w:val="17"/>
          <w:szCs w:val="17"/>
          <w:color w:val="auto"/>
        </w:rPr>
        <w:t>In the event of the Company being dissolved, the liquidation shall be effected by the Board, unless the General Meeting decides otherwise.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  </w:t>
      </w:r>
      <w:r>
        <w:rPr>
          <w:rFonts w:ascii="Arial" w:cs="Arial" w:eastAsia="Arial" w:hAnsi="Arial"/>
          <w:sz w:val="18"/>
          <w:szCs w:val="18"/>
          <w:color w:val="auto"/>
        </w:rPr>
        <w:t>To the extent possible, these articles of association shall remain in effect during the liquidation.</w:t>
      </w:r>
    </w:p>
    <w:p>
      <w:pPr>
        <w:spacing w:after="0" w:line="131" w:lineRule="exact"/>
        <w:rPr>
          <w:sz w:val="20"/>
          <w:szCs w:val="20"/>
          <w:color w:val="auto"/>
        </w:rPr>
      </w:pPr>
    </w:p>
    <w:p>
      <w:pPr>
        <w:ind w:left="420" w:right="120" w:hanging="431"/>
        <w:spacing w:after="0" w:line="282" w:lineRule="auto"/>
        <w:rPr>
          <w:sz w:val="20"/>
          <w:szCs w:val="20"/>
          <w:color w:val="auto"/>
        </w:rPr>
      </w:pPr>
      <w:r>
        <w:rPr>
          <w:rFonts w:ascii="Arial" w:cs="Arial" w:eastAsia="Arial" w:hAnsi="Arial"/>
          <w:sz w:val="18"/>
          <w:szCs w:val="18"/>
          <w:b w:val="1"/>
          <w:bCs w:val="1"/>
          <w:color w:val="auto"/>
        </w:rPr>
        <w:t xml:space="preserve">33.3 </w:t>
      </w:r>
      <w:r>
        <w:rPr>
          <w:rFonts w:ascii="Arial" w:cs="Arial" w:eastAsia="Arial" w:hAnsi="Arial"/>
          <w:sz w:val="18"/>
          <w:szCs w:val="18"/>
          <w:color w:val="auto"/>
        </w:rPr>
        <w:t>To the extent that any assets remain after payment of all of the Company’s debts, those assets shall be distributed as follows, and in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order of priority:</w:t>
      </w:r>
    </w:p>
    <w:p>
      <w:pPr>
        <w:spacing w:after="0" w:line="71" w:lineRule="exact"/>
        <w:rPr>
          <w:sz w:val="20"/>
          <w:szCs w:val="20"/>
          <w:color w:val="auto"/>
        </w:rPr>
      </w:pPr>
    </w:p>
    <w:p>
      <w:pPr>
        <w:ind w:left="960" w:hanging="532"/>
        <w:spacing w:after="0"/>
        <w:tabs>
          <w:tab w:leader="none" w:pos="96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the amounts paid up on the preferred shares shall be repaid on such preferred shares;</w:t>
      </w:r>
    </w:p>
    <w:p>
      <w:pPr>
        <w:spacing w:after="0" w:line="130" w:lineRule="exact"/>
        <w:rPr>
          <w:rFonts w:ascii="Arial" w:cs="Arial" w:eastAsia="Arial" w:hAnsi="Arial"/>
          <w:sz w:val="18"/>
          <w:szCs w:val="18"/>
          <w:b w:val="1"/>
          <w:bCs w:val="1"/>
          <w:color w:val="auto"/>
        </w:rPr>
      </w:pPr>
    </w:p>
    <w:p>
      <w:pPr>
        <w:ind w:left="960" w:right="80" w:hanging="532"/>
        <w:spacing w:after="0" w:line="259" w:lineRule="auto"/>
        <w:tabs>
          <w:tab w:leader="none" w:pos="96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to the extent that any preferred shares have been cancelled without the distribution described in Article 11.2 paragraph b. having been paid in full and without any such deficit subsequently having been paid in full as described in Articles 32.1 and 32.2, an amount equal to any such (remaining) deficit shall be distributed to those who held those preferred shares at the moment of such cancellation becoming effective;</w:t>
      </w:r>
    </w:p>
    <w:p>
      <w:pPr>
        <w:spacing w:after="0" w:line="92" w:lineRule="exact"/>
        <w:rPr>
          <w:rFonts w:ascii="Arial" w:cs="Arial" w:eastAsia="Arial" w:hAnsi="Arial"/>
          <w:sz w:val="18"/>
          <w:szCs w:val="18"/>
          <w:b w:val="1"/>
          <w:bCs w:val="1"/>
          <w:color w:val="auto"/>
        </w:rPr>
      </w:pPr>
    </w:p>
    <w:p>
      <w:pPr>
        <w:ind w:left="960" w:right="200" w:hanging="532"/>
        <w:spacing w:after="0" w:line="263" w:lineRule="auto"/>
        <w:tabs>
          <w:tab w:leader="none" w:pos="96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to the extent that any Preferred Distribution (or part thereof) in relation to financial years prior to the financial year in which the distribution referred to in paragraph a. occurs has not yet been paid in full as described in Articles 32.1 and 32.2, an amount equal to any such (remaining) deficit shall be distributed on the preferred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638" w:right="459" w:bottom="1440" w:gutter="0" w:footer="0" w:header="0"/>
        </w:sectPr>
      </w:pPr>
    </w:p>
    <w:bookmarkStart w:id="331" w:name="page332"/>
    <w:bookmarkEnd w:id="331"/>
    <w:p>
      <w:pPr>
        <w:ind w:left="960" w:hanging="532"/>
        <w:spacing w:after="0" w:line="342" w:lineRule="auto"/>
        <w:tabs>
          <w:tab w:leader="none" w:pos="960" w:val="left"/>
        </w:tabs>
        <w:numPr>
          <w:ilvl w:val="0"/>
          <w:numId w:val="24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the Preferred Distribution shall be paid on the preferred shares calculated in respect of the part of the financial year in which the distribution referred to in paragraph a. is made, for the number of days that have already elapsed during such part of the financial year; and</w:t>
      </w:r>
    </w:p>
    <w:p>
      <w:pPr>
        <w:spacing w:after="0" w:line="29" w:lineRule="exact"/>
        <w:rPr>
          <w:rFonts w:ascii="Arial" w:cs="Arial" w:eastAsia="Arial" w:hAnsi="Arial"/>
          <w:sz w:val="16"/>
          <w:szCs w:val="16"/>
          <w:b w:val="1"/>
          <w:bCs w:val="1"/>
          <w:color w:val="auto"/>
        </w:rPr>
      </w:pPr>
    </w:p>
    <w:p>
      <w:pPr>
        <w:ind w:left="960" w:hanging="532"/>
        <w:spacing w:after="0"/>
        <w:tabs>
          <w:tab w:leader="none" w:pos="960"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any remaining assets shall be distributed to the holders of ordinary shares.</w:t>
      </w:r>
    </w:p>
    <w:p>
      <w:pPr>
        <w:spacing w:after="0" w:line="127" w:lineRule="exact"/>
        <w:rPr>
          <w:sz w:val="20"/>
          <w:szCs w:val="20"/>
          <w:color w:val="auto"/>
        </w:rPr>
      </w:pPr>
    </w:p>
    <w:p>
      <w:pPr>
        <w:ind w:left="420" w:right="420" w:hanging="431"/>
        <w:spacing w:after="0" w:line="266" w:lineRule="auto"/>
        <w:rPr>
          <w:sz w:val="20"/>
          <w:szCs w:val="20"/>
          <w:color w:val="auto"/>
        </w:rPr>
      </w:pPr>
      <w:r>
        <w:rPr>
          <w:rFonts w:ascii="Arial" w:cs="Arial" w:eastAsia="Arial" w:hAnsi="Arial"/>
          <w:sz w:val="18"/>
          <w:szCs w:val="18"/>
          <w:b w:val="1"/>
          <w:bCs w:val="1"/>
          <w:color w:val="auto"/>
        </w:rPr>
        <w:t xml:space="preserve">33.4 </w:t>
      </w:r>
      <w:r>
        <w:rPr>
          <w:rFonts w:ascii="Arial" w:cs="Arial" w:eastAsia="Arial" w:hAnsi="Arial"/>
          <w:sz w:val="18"/>
          <w:szCs w:val="18"/>
          <w:color w:val="auto"/>
        </w:rPr>
        <w:t>After the Company has ceased to exist, its books, records and other information carriers shall be kept for the period prescribed by law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designated for that purpose in the resolution of the General Meeting to dissolve the Company. Where the General Meeting has not designated such a person, the liquidators shall do so.</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FORUM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34</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sole and exclusive forum for any complaint asserting a cause of action arising under the United States Securities Act of 1933, as amended, to the fullest extent permitted by applicable law, shall be the federal district courts of the United States of America.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638" w:right="49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3208655</wp:posOffset>
            </wp:positionH>
            <wp:positionV relativeFrom="page">
              <wp:posOffset>88900</wp:posOffset>
            </wp:positionV>
            <wp:extent cx="1139825"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Exhibit 5.1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ATTORNEYS • CIVIL LAW NOTARIES • TAX ADVISERS</w:t>
      </w:r>
    </w:p>
    <w:p>
      <w:pPr>
        <w:sectPr>
          <w:pgSz w:w="11900" w:h="16838" w:orient="portrait"/>
          <w:cols w:equalWidth="0" w:num="1">
            <w:col w:w="11020"/>
          </w:cols>
          <w:pgMar w:left="440" w:top="486"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 Box 7113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1007 JC Amsterdam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Beethovenstraat 400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1082 PR Amsterdam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 +31 20 71 71 000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 +31 20 71 71 111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Amsterdam, 1 February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 Company</w:t>
      </w:r>
    </w:p>
    <w:p>
      <w:pPr>
        <w:spacing w:after="0" w:line="1052" w:lineRule="exact"/>
        <w:rPr>
          <w:sz w:val="20"/>
          <w:szCs w:val="20"/>
          <w:color w:val="auto"/>
        </w:rPr>
      </w:pPr>
    </w:p>
    <w:p>
      <w:pPr>
        <w:sectPr>
          <w:pgSz w:w="11900" w:h="16838" w:orient="portrait"/>
          <w:cols w:equalWidth="0" w:num="2">
            <w:col w:w="4560" w:space="720"/>
            <w:col w:w="5740"/>
          </w:cols>
          <w:pgMar w:left="440" w:top="486" w:right="439" w:bottom="1440" w:gutter="0" w:footer="0" w:header="0"/>
          <w:type w:val="continuous"/>
        </w:sectPr>
      </w:pPr>
    </w:p>
    <w:p>
      <w:pPr>
        <w:spacing w:after="0" w:line="6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ind w:left="2220" w:right="320"/>
        <w:spacing w:after="0" w:line="308" w:lineRule="auto"/>
        <w:rPr>
          <w:sz w:val="20"/>
          <w:szCs w:val="20"/>
          <w:color w:val="auto"/>
        </w:rPr>
      </w:pPr>
      <w:r>
        <w:rPr>
          <w:rFonts w:ascii="Arial" w:cs="Arial" w:eastAsia="Arial" w:hAnsi="Arial"/>
          <w:sz w:val="17"/>
          <w:szCs w:val="17"/>
          <w:color w:val="auto"/>
        </w:rPr>
        <w:t>We have acted as legal counsel as to Dutch law to the Company in connection with the Offering. This opinion letter is rendered to you in order to be filed with the SEC as an exhibit to the Registration Statement.</w:t>
      </w:r>
    </w:p>
    <w:p>
      <w:pPr>
        <w:spacing w:after="0" w:line="173" w:lineRule="exact"/>
        <w:rPr>
          <w:sz w:val="20"/>
          <w:szCs w:val="20"/>
          <w:color w:val="auto"/>
        </w:rPr>
      </w:pPr>
    </w:p>
    <w:p>
      <w:pPr>
        <w:jc w:val="both"/>
        <w:ind w:left="2220" w:right="300"/>
        <w:spacing w:after="0" w:line="263" w:lineRule="auto"/>
        <w:rPr>
          <w:sz w:val="20"/>
          <w:szCs w:val="20"/>
          <w:color w:val="auto"/>
        </w:rPr>
      </w:pPr>
      <w:r>
        <w:rPr>
          <w:rFonts w:ascii="Arial" w:cs="Arial" w:eastAsia="Arial" w:hAnsi="Arial"/>
          <w:sz w:val="18"/>
          <w:szCs w:val="18"/>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211" w:lineRule="exact"/>
        <w:rPr>
          <w:sz w:val="20"/>
          <w:szCs w:val="20"/>
          <w:color w:val="auto"/>
        </w:rPr>
      </w:pPr>
    </w:p>
    <w:p>
      <w:pPr>
        <w:ind w:left="2220" w:right="100"/>
        <w:spacing w:after="0" w:line="286" w:lineRule="auto"/>
        <w:rPr>
          <w:sz w:val="20"/>
          <w:szCs w:val="20"/>
          <w:color w:val="auto"/>
        </w:rPr>
      </w:pPr>
      <w:r>
        <w:rPr>
          <w:rFonts w:ascii="Arial" w:cs="Arial" w:eastAsia="Arial" w:hAnsi="Arial"/>
          <w:sz w:val="17"/>
          <w:szCs w:val="17"/>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the Reviewed Documents.</w:t>
      </w:r>
    </w:p>
    <w:p>
      <w:pPr>
        <w:spacing w:after="0" w:line="192" w:lineRule="exact"/>
        <w:rPr>
          <w:sz w:val="20"/>
          <w:szCs w:val="20"/>
          <w:color w:val="auto"/>
        </w:rPr>
      </w:pPr>
    </w:p>
    <w:p>
      <w:pPr>
        <w:ind w:left="2220" w:right="280"/>
        <w:spacing w:after="0" w:line="259" w:lineRule="auto"/>
        <w:rPr>
          <w:sz w:val="20"/>
          <w:szCs w:val="20"/>
          <w:color w:val="auto"/>
        </w:rPr>
      </w:pPr>
      <w:r>
        <w:rPr>
          <w:rFonts w:ascii="Arial" w:cs="Arial" w:eastAsia="Arial" w:hAnsi="Arial"/>
          <w:sz w:val="18"/>
          <w:szCs w:val="18"/>
          <w:color w:val="auto"/>
        </w:rPr>
        <w:t>In rendering the opinions expressed in this opinion letter, we have reviewed and relied upon drafts of the Reviewed Documents and pdf copies or drafts, as the case may be, of the Corporate Documents and we have assumed that the Reviewed Documents shall be entered into for bona fide commercial reasons. We have not investigated or verified any factual matter disclosed to us in the course of our review.</w:t>
      </w:r>
    </w:p>
    <w:p>
      <w:pPr>
        <w:spacing w:after="0" w:line="214" w:lineRule="exact"/>
        <w:rPr>
          <w:sz w:val="20"/>
          <w:szCs w:val="20"/>
          <w:color w:val="auto"/>
        </w:rPr>
      </w:pPr>
    </w:p>
    <w:p>
      <w:pPr>
        <w:ind w:left="2220" w:right="60"/>
        <w:spacing w:after="0" w:line="271" w:lineRule="auto"/>
        <w:rPr>
          <w:sz w:val="20"/>
          <w:szCs w:val="20"/>
          <w:color w:val="auto"/>
        </w:rPr>
      </w:pPr>
      <w:r>
        <w:rPr>
          <w:rFonts w:ascii="Arial" w:cs="Arial" w:eastAsia="Arial" w:hAnsi="Arial"/>
          <w:sz w:val="17"/>
          <w:szCs w:val="17"/>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Reviewed Documents or the Corporate Documents subsequent to the date of this opinion letter.</w:t>
      </w:r>
    </w:p>
    <w:p>
      <w:pPr>
        <w:spacing w:after="0" w:line="205" w:lineRule="exact"/>
        <w:rPr>
          <w:sz w:val="20"/>
          <w:szCs w:val="20"/>
          <w:color w:val="auto"/>
        </w:rPr>
      </w:pPr>
    </w:p>
    <w:p>
      <w:pPr>
        <w:ind w:left="2220" w:right="80"/>
        <w:spacing w:after="0" w:line="259" w:lineRule="auto"/>
        <w:rPr>
          <w:sz w:val="20"/>
          <w:szCs w:val="20"/>
          <w:color w:val="auto"/>
        </w:rPr>
      </w:pPr>
      <w:r>
        <w:rPr>
          <w:rFonts w:ascii="Arial" w:cs="Arial" w:eastAsia="Arial" w:hAnsi="Arial"/>
          <w:sz w:val="18"/>
          <w:szCs w:val="18"/>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w:t>
      </w:r>
    </w:p>
    <w:p>
      <w:pPr>
        <w:sectPr>
          <w:pgSz w:w="11900" w:h="16838" w:orient="portrait"/>
          <w:cols w:equalWidth="0" w:num="1">
            <w:col w:w="11020"/>
          </w:cols>
          <w:pgMar w:left="440" w:top="486" w:right="439" w:bottom="1440" w:gutter="0" w:footer="0" w:header="0"/>
          <w:type w:val="continuous"/>
        </w:sectPr>
      </w:pPr>
    </w:p>
    <w:bookmarkStart w:id="333" w:name="page334"/>
    <w:bookmarkEnd w:id="333"/>
    <w:p>
      <w:pPr>
        <w:ind w:left="122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214" w:lineRule="exact"/>
        <w:rPr>
          <w:sz w:val="20"/>
          <w:szCs w:val="20"/>
          <w:color w:val="auto"/>
        </w:rPr>
      </w:pPr>
    </w:p>
    <w:p>
      <w:pPr>
        <w:ind w:left="1220" w:right="120"/>
        <w:spacing w:after="0" w:line="259" w:lineRule="auto"/>
        <w:rPr>
          <w:sz w:val="20"/>
          <w:szCs w:val="20"/>
          <w:color w:val="auto"/>
        </w:rPr>
      </w:pPr>
      <w:r>
        <w:rPr>
          <w:rFonts w:ascii="Arial" w:cs="Arial" w:eastAsia="Arial" w:hAnsi="Arial"/>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131" w:lineRule="exact"/>
        <w:rPr>
          <w:sz w:val="20"/>
          <w:szCs w:val="20"/>
          <w:color w:val="auto"/>
        </w:rPr>
      </w:pPr>
    </w:p>
    <w:p>
      <w:pPr>
        <w:ind w:left="1560" w:right="100" w:hanging="350"/>
        <w:spacing w:after="0" w:line="263" w:lineRule="auto"/>
        <w:tabs>
          <w:tab w:leader="none" w:pos="15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89" w:lineRule="exact"/>
        <w:rPr>
          <w:rFonts w:ascii="Arial" w:cs="Arial" w:eastAsia="Arial" w:hAnsi="Arial"/>
          <w:sz w:val="18"/>
          <w:szCs w:val="18"/>
          <w:color w:val="auto"/>
        </w:rPr>
      </w:pPr>
    </w:p>
    <w:p>
      <w:pPr>
        <w:ind w:left="1560" w:hanging="350"/>
        <w:spacing w:after="0"/>
        <w:tabs>
          <w:tab w:leader="none" w:pos="15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Registration Statement has been declared effective by the SEC in the form reviewed by us;</w:t>
      </w:r>
    </w:p>
    <w:p>
      <w:pPr>
        <w:spacing w:after="0" w:line="130" w:lineRule="exact"/>
        <w:rPr>
          <w:rFonts w:ascii="Arial" w:cs="Arial" w:eastAsia="Arial" w:hAnsi="Arial"/>
          <w:sz w:val="18"/>
          <w:szCs w:val="18"/>
          <w:color w:val="auto"/>
        </w:rPr>
      </w:pPr>
    </w:p>
    <w:p>
      <w:pPr>
        <w:ind w:left="1560" w:hanging="350"/>
        <w:spacing w:after="0" w:line="259" w:lineRule="auto"/>
        <w:tabs>
          <w:tab w:leader="none" w:pos="15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no internal regulations (</w:t>
      </w:r>
      <w:r>
        <w:rPr>
          <w:rFonts w:ascii="Arial" w:cs="Arial" w:eastAsia="Arial" w:hAnsi="Arial"/>
          <w:sz w:val="18"/>
          <w:szCs w:val="18"/>
          <w:i w:val="1"/>
          <w:iCs w:val="1"/>
          <w:color w:val="auto"/>
        </w:rPr>
        <w:t>reglementen</w:t>
      </w:r>
      <w:r>
        <w:rPr>
          <w:rFonts w:ascii="Arial" w:cs="Arial" w:eastAsia="Arial" w:hAnsi="Arial"/>
          <w:sz w:val="18"/>
          <w:szCs w:val="18"/>
          <w:color w:val="auto"/>
        </w:rPr>
        <w:t>) have been adopted by any corporate body of the Company which would affect the validity of the resolutions recorded in the Resolutions and (ii) the Current Articles are the Articles of Association currently in force and the Revised Articles are the Articles of Association as they will be in force at each Relevant Moment;</w:t>
      </w:r>
    </w:p>
    <w:p>
      <w:pPr>
        <w:spacing w:after="0" w:line="92" w:lineRule="exact"/>
        <w:rPr>
          <w:rFonts w:ascii="Arial" w:cs="Arial" w:eastAsia="Arial" w:hAnsi="Arial"/>
          <w:sz w:val="18"/>
          <w:szCs w:val="18"/>
          <w:color w:val="auto"/>
        </w:rPr>
      </w:pPr>
    </w:p>
    <w:p>
      <w:pPr>
        <w:ind w:left="1560" w:right="220" w:hanging="350"/>
        <w:spacing w:after="0" w:line="263" w:lineRule="auto"/>
        <w:tabs>
          <w:tab w:leader="none" w:pos="155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resolutions recorded in the Resolutions are in full force and effect, the factual statements made and the confirmations given in the Resolutions and each Deed of Issue are complete and correct at each Relevant Moment and the Resolutions correctly reflect the resolutions recorded therein;</w:t>
      </w:r>
    </w:p>
    <w:p>
      <w:pPr>
        <w:spacing w:after="0" w:line="89" w:lineRule="exact"/>
        <w:rPr>
          <w:rFonts w:ascii="Arial" w:cs="Arial" w:eastAsia="Arial" w:hAnsi="Arial"/>
          <w:sz w:val="18"/>
          <w:szCs w:val="18"/>
          <w:color w:val="auto"/>
        </w:rPr>
      </w:pPr>
    </w:p>
    <w:p>
      <w:pPr>
        <w:ind w:left="1560" w:hanging="350"/>
        <w:spacing w:after="0"/>
        <w:tabs>
          <w:tab w:leader="none" w:pos="15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Deed of Issue has been validly signed and executed on behalf of the Company;</w:t>
      </w:r>
    </w:p>
    <w:p>
      <w:pPr>
        <w:spacing w:after="0" w:line="130" w:lineRule="exact"/>
        <w:rPr>
          <w:rFonts w:ascii="Arial" w:cs="Arial" w:eastAsia="Arial" w:hAnsi="Arial"/>
          <w:sz w:val="18"/>
          <w:szCs w:val="18"/>
          <w:color w:val="auto"/>
        </w:rPr>
      </w:pPr>
    </w:p>
    <w:p>
      <w:pPr>
        <w:ind w:left="1560" w:right="80" w:hanging="350"/>
        <w:spacing w:after="0" w:line="277" w:lineRule="auto"/>
        <w:tabs>
          <w:tab w:leader="none" w:pos="155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Offering, to the extent made in the Netherlands, has been, is and will be made in conformity with the Prospectus Regulation, the DFSA and the rules promulgated thereunder;</w:t>
      </w:r>
    </w:p>
    <w:p>
      <w:pPr>
        <w:spacing w:after="0" w:line="75" w:lineRule="exact"/>
        <w:rPr>
          <w:rFonts w:ascii="Arial" w:cs="Arial" w:eastAsia="Arial" w:hAnsi="Arial"/>
          <w:sz w:val="18"/>
          <w:szCs w:val="18"/>
          <w:color w:val="auto"/>
        </w:rPr>
      </w:pPr>
    </w:p>
    <w:p>
      <w:pPr>
        <w:ind w:left="1560" w:right="340" w:hanging="350"/>
        <w:spacing w:after="0" w:line="263" w:lineRule="auto"/>
        <w:tabs>
          <w:tab w:leader="none" w:pos="155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Option (i) has been validly granted as a right to subscribe for Ordinary Shares (</w:t>
      </w:r>
      <w:r>
        <w:rPr>
          <w:rFonts w:ascii="Arial" w:cs="Arial" w:eastAsia="Arial" w:hAnsi="Arial"/>
          <w:sz w:val="18"/>
          <w:szCs w:val="18"/>
          <w:i w:val="1"/>
          <w:iCs w:val="1"/>
          <w:color w:val="auto"/>
        </w:rPr>
        <w:t>recht tot het nemen van</w:t>
      </w:r>
      <w:r>
        <w:rPr>
          <w:rFonts w:ascii="Arial" w:cs="Arial" w:eastAsia="Arial" w:hAnsi="Arial"/>
          <w:sz w:val="18"/>
          <w:szCs w:val="18"/>
          <w:color w:val="auto"/>
        </w:rPr>
        <w:t xml:space="preserve"> </w:t>
      </w:r>
      <w:r>
        <w:rPr>
          <w:rFonts w:ascii="Arial" w:cs="Arial" w:eastAsia="Arial" w:hAnsi="Arial"/>
          <w:sz w:val="18"/>
          <w:szCs w:val="18"/>
          <w:i w:val="1"/>
          <w:iCs w:val="1"/>
          <w:color w:val="auto"/>
        </w:rPr>
        <w:t>aandelen</w:t>
      </w:r>
      <w:r>
        <w:rPr>
          <w:rFonts w:ascii="Arial" w:cs="Arial" w:eastAsia="Arial" w:hAnsi="Arial"/>
          <w:sz w:val="18"/>
          <w:szCs w:val="18"/>
          <w:color w:val="auto"/>
        </w:rPr>
        <w:t>), (ii) shall be in full force and effect upon being exercised and (iii) shall have been validly exercised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the Underwriting Agreement; and</w:t>
      </w:r>
    </w:p>
    <w:p>
      <w:pPr>
        <w:spacing w:after="0" w:line="1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00"/>
          </w:cols>
          <w:pgMar w:left="1440" w:top="638" w:right="459" w:bottom="1440" w:gutter="0" w:footer="0" w:header="0"/>
        </w:sectPr>
      </w:pPr>
    </w:p>
    <w:bookmarkStart w:id="334" w:name="page335"/>
    <w:bookmarkEnd w:id="334"/>
    <w:p>
      <w:pPr>
        <w:ind w:left="1560" w:right="560" w:hanging="350"/>
        <w:spacing w:after="0" w:line="277" w:lineRule="auto"/>
        <w:tabs>
          <w:tab w:leader="none" w:pos="1551"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at each Relevant Moment, each of the assumptions made in this opinion letter will be correct in all aspects by reference to the facts and circumstances then existing.</w:t>
      </w:r>
    </w:p>
    <w:p>
      <w:pPr>
        <w:spacing w:after="0" w:line="197" w:lineRule="exact"/>
        <w:rPr>
          <w:sz w:val="20"/>
          <w:szCs w:val="20"/>
          <w:color w:val="auto"/>
        </w:rPr>
      </w:pPr>
    </w:p>
    <w:p>
      <w:pPr>
        <w:ind w:left="1220"/>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31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Corporate Status</w:t>
      </w:r>
    </w:p>
    <w:p>
      <w:pPr>
        <w:spacing w:after="0" w:line="135" w:lineRule="exact"/>
        <w:rPr>
          <w:sz w:val="20"/>
          <w:szCs w:val="20"/>
          <w:color w:val="auto"/>
        </w:rPr>
      </w:pPr>
    </w:p>
    <w:p>
      <w:pPr>
        <w:ind w:left="1560" w:right="480" w:hanging="350"/>
        <w:spacing w:after="0" w:line="308" w:lineRule="auto"/>
        <w:tabs>
          <w:tab w:leader="none" w:pos="154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The Company has been incorporated as a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xml:space="preserve"> and, upon the execution of the Deed of Conversion, shall be validly existing as a </w:t>
      </w:r>
      <w:r>
        <w:rPr>
          <w:rFonts w:ascii="Arial" w:cs="Arial" w:eastAsia="Arial" w:hAnsi="Arial"/>
          <w:sz w:val="17"/>
          <w:szCs w:val="17"/>
          <w:i w:val="1"/>
          <w:iCs w:val="1"/>
          <w:color w:val="auto"/>
        </w:rPr>
        <w:t>naamloze vennootschap</w:t>
      </w:r>
      <w:r>
        <w:rPr>
          <w:rFonts w:ascii="Arial" w:cs="Arial" w:eastAsia="Arial" w:hAnsi="Arial"/>
          <w:sz w:val="17"/>
          <w:szCs w:val="17"/>
          <w:color w:val="auto"/>
        </w:rPr>
        <w:t>.</w:t>
      </w:r>
    </w:p>
    <w:p>
      <w:pPr>
        <w:spacing w:after="0" w:line="290" w:lineRule="exact"/>
        <w:rPr>
          <w:rFonts w:ascii="Arial" w:cs="Arial" w:eastAsia="Arial" w:hAnsi="Arial"/>
          <w:sz w:val="17"/>
          <w:szCs w:val="17"/>
          <w:color w:val="auto"/>
        </w:rPr>
      </w:pPr>
    </w:p>
    <w:p>
      <w:pPr>
        <w:ind w:left="1560"/>
        <w:spacing w:after="0"/>
        <w:rPr>
          <w:rFonts w:ascii="Arial" w:cs="Arial" w:eastAsia="Arial" w:hAnsi="Arial"/>
          <w:sz w:val="17"/>
          <w:szCs w:val="17"/>
          <w:color w:val="auto"/>
        </w:rPr>
      </w:pPr>
      <w:r>
        <w:rPr>
          <w:rFonts w:ascii="Arial" w:cs="Arial" w:eastAsia="Arial" w:hAnsi="Arial"/>
          <w:sz w:val="18"/>
          <w:szCs w:val="18"/>
          <w:b w:val="1"/>
          <w:bCs w:val="1"/>
          <w:color w:val="auto"/>
        </w:rPr>
        <w:t>Offer Shares and Option Shares</w:t>
      </w:r>
    </w:p>
    <w:p>
      <w:pPr>
        <w:spacing w:after="0" w:line="134" w:lineRule="exact"/>
        <w:rPr>
          <w:rFonts w:ascii="Arial" w:cs="Arial" w:eastAsia="Arial" w:hAnsi="Arial"/>
          <w:sz w:val="17"/>
          <w:szCs w:val="17"/>
          <w:color w:val="auto"/>
        </w:rPr>
      </w:pPr>
    </w:p>
    <w:p>
      <w:pPr>
        <w:ind w:left="1560" w:right="40" w:hanging="350"/>
        <w:spacing w:after="0" w:line="259" w:lineRule="auto"/>
        <w:tabs>
          <w:tab w:leader="none" w:pos="155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Subject to receipt by the Company of payment in full for the Offer Shares and the Option Shares (if any) as provided for in the Reviewed Documents, and when issued and accepted in accordance with the Resolutions and the Reviewed Documents, the Offer Shares and the Option Shares (if any) shall be validly issued, fully paid and non-assessable.</w:t>
      </w: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131" w:lineRule="exact"/>
        <w:rPr>
          <w:sz w:val="20"/>
          <w:szCs w:val="20"/>
          <w:color w:val="auto"/>
        </w:rPr>
      </w:pPr>
    </w:p>
    <w:p>
      <w:pPr>
        <w:ind w:left="1560" w:right="60" w:hanging="350"/>
        <w:spacing w:after="0" w:line="301" w:lineRule="auto"/>
        <w:tabs>
          <w:tab w:leader="none" w:pos="155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Opinion 1 must not be read to imply that the Company cannot be dissolved (</w:t>
      </w:r>
      <w:r>
        <w:rPr>
          <w:rFonts w:ascii="Arial" w:cs="Arial" w:eastAsia="Arial" w:hAnsi="Arial"/>
          <w:sz w:val="16"/>
          <w:szCs w:val="16"/>
          <w:i w:val="1"/>
          <w:iCs w:val="1"/>
          <w:color w:val="auto"/>
        </w:rPr>
        <w:t>ontbonden</w:t>
      </w:r>
      <w:r>
        <w:rPr>
          <w:rFonts w:ascii="Arial" w:cs="Arial" w:eastAsia="Arial" w:hAnsi="Arial"/>
          <w:sz w:val="16"/>
          <w:szCs w:val="16"/>
          <w:color w:val="auto"/>
        </w:rPr>
        <w:t>). A company such as the Company may be dissolved, inter alia by the competent court at the request of the company’s board of directors, any interested party (</w:t>
      </w:r>
      <w:r>
        <w:rPr>
          <w:rFonts w:ascii="Arial" w:cs="Arial" w:eastAsia="Arial" w:hAnsi="Arial"/>
          <w:sz w:val="16"/>
          <w:szCs w:val="16"/>
          <w:i w:val="1"/>
          <w:iCs w:val="1"/>
          <w:color w:val="auto"/>
        </w:rPr>
        <w:t>belanghebbende</w:t>
      </w:r>
      <w:r>
        <w:rPr>
          <w:rFonts w:ascii="Arial" w:cs="Arial" w:eastAsia="Arial" w:hAnsi="Arial"/>
          <w:sz w:val="16"/>
          <w:szCs w:val="16"/>
          <w:color w:val="auto"/>
        </w:rPr>
        <w:t>) or the public prosecution office in certain circumstances, such as when there are certain defects in the incorporation of the company. Any such dissolution will not have retro-active effect.</w:t>
      </w:r>
    </w:p>
    <w:p>
      <w:pPr>
        <w:spacing w:after="0" w:line="62" w:lineRule="exact"/>
        <w:rPr>
          <w:rFonts w:ascii="Arial" w:cs="Arial" w:eastAsia="Arial" w:hAnsi="Arial"/>
          <w:sz w:val="16"/>
          <w:szCs w:val="16"/>
          <w:color w:val="auto"/>
        </w:rPr>
      </w:pPr>
    </w:p>
    <w:p>
      <w:pPr>
        <w:ind w:left="1560" w:right="40" w:hanging="350"/>
        <w:spacing w:after="0" w:line="272" w:lineRule="auto"/>
        <w:tabs>
          <w:tab w:leader="none" w:pos="154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Pursuant to Section 2:7 DCC, any transaction entered into by a legal entity may be nullified by the legal entity itself or its liquidator in bankruptcy proceedings (</w:t>
      </w:r>
      <w:r>
        <w:rPr>
          <w:rFonts w:ascii="Arial" w:cs="Arial" w:eastAsia="Arial" w:hAnsi="Arial"/>
          <w:sz w:val="17"/>
          <w:szCs w:val="17"/>
          <w:i w:val="1"/>
          <w:iCs w:val="1"/>
          <w:color w:val="auto"/>
        </w:rPr>
        <w:t>curator</w:t>
      </w:r>
      <w:r>
        <w:rPr>
          <w:rFonts w:ascii="Arial" w:cs="Arial" w:eastAsia="Arial" w:hAnsi="Arial"/>
          <w:sz w:val="17"/>
          <w:szCs w:val="17"/>
          <w:color w:val="auto"/>
        </w:rPr>
        <w:t>) if the objects of that entity were transgressed by the transaction and the other party to the transaction knew or should have known this without independent investigation (</w:t>
      </w:r>
      <w:r>
        <w:rPr>
          <w:rFonts w:ascii="Arial" w:cs="Arial" w:eastAsia="Arial" w:hAnsi="Arial"/>
          <w:sz w:val="17"/>
          <w:szCs w:val="17"/>
          <w:i w:val="1"/>
          <w:iCs w:val="1"/>
          <w:color w:val="auto"/>
        </w:rPr>
        <w:t>wist of</w:t>
      </w:r>
      <w:r>
        <w:rPr>
          <w:rFonts w:ascii="Arial" w:cs="Arial" w:eastAsia="Arial" w:hAnsi="Arial"/>
          <w:sz w:val="17"/>
          <w:szCs w:val="17"/>
          <w:color w:val="auto"/>
        </w:rPr>
        <w:t xml:space="preserve"> </w:t>
      </w:r>
      <w:r>
        <w:rPr>
          <w:rFonts w:ascii="Arial" w:cs="Arial" w:eastAsia="Arial" w:hAnsi="Arial"/>
          <w:sz w:val="17"/>
          <w:szCs w:val="17"/>
          <w:i w:val="1"/>
          <w:iCs w:val="1"/>
          <w:color w:val="auto"/>
        </w:rPr>
        <w:t>zonder eigen onderzoek moest weten</w:t>
      </w:r>
      <w:r>
        <w:rPr>
          <w:rFonts w:ascii="Arial" w:cs="Arial" w:eastAsia="Arial" w:hAnsi="Arial"/>
          <w:sz w:val="17"/>
          <w:szCs w:val="17"/>
          <w:color w:val="auto"/>
        </w:rPr>
        <w:t>). The Dutch Supreme Court (</w:t>
      </w:r>
      <w:r>
        <w:rPr>
          <w:rFonts w:ascii="Arial" w:cs="Arial" w:eastAsia="Arial" w:hAnsi="Arial"/>
          <w:sz w:val="17"/>
          <w:szCs w:val="17"/>
          <w:i w:val="1"/>
          <w:iCs w:val="1"/>
          <w:color w:val="auto"/>
        </w:rPr>
        <w:t>Hoge Raad der Nederlanden</w:t>
      </w:r>
      <w:r>
        <w:rPr>
          <w:rFonts w:ascii="Arial" w:cs="Arial" w:eastAsia="Arial" w:hAnsi="Arial"/>
          <w:sz w:val="17"/>
          <w:szCs w:val="17"/>
          <w:color w:val="auto"/>
        </w:rPr>
        <w:t>) has ruled that in</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whether the objects of a legal entity are transgressed, not only the description of the objects in that legal entity’s articles of association (</w:t>
      </w:r>
      <w:r>
        <w:rPr>
          <w:rFonts w:ascii="Arial" w:cs="Arial" w:eastAsia="Arial" w:hAnsi="Arial"/>
          <w:sz w:val="17"/>
          <w:szCs w:val="17"/>
          <w:i w:val="1"/>
          <w:iCs w:val="1"/>
          <w:color w:val="auto"/>
        </w:rPr>
        <w:t>statuten</w:t>
      </w:r>
      <w:r>
        <w:rPr>
          <w:rFonts w:ascii="Arial" w:cs="Arial" w:eastAsia="Arial" w:hAnsi="Arial"/>
          <w:sz w:val="17"/>
          <w:szCs w:val="17"/>
          <w:color w:val="auto"/>
        </w:rPr>
        <w:t>) is decisive, but all (relevant) circumstances must be taken into account, in particular whether the</w:t>
      </w:r>
    </w:p>
    <w:p>
      <w:pPr>
        <w:spacing w:after="0" w:line="1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638" w:right="459" w:bottom="1440" w:gutter="0" w:footer="0" w:header="0"/>
        </w:sectPr>
      </w:pPr>
    </w:p>
    <w:bookmarkStart w:id="335" w:name="page336"/>
    <w:bookmarkEnd w:id="335"/>
    <w:p>
      <w:pPr>
        <w:ind w:left="1560" w:right="2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interests of the legal entity were served by the transaction. Based on the objects clause contained in the Current Articles and in the Revised Articles, we have no reason to believe that, by entering into the Reviewed Documents,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the Reviewed Documents since this is a matter of fact.</w:t>
      </w:r>
    </w:p>
    <w:p>
      <w:pPr>
        <w:spacing w:after="0" w:line="67" w:lineRule="exact"/>
        <w:rPr>
          <w:sz w:val="20"/>
          <w:szCs w:val="20"/>
          <w:color w:val="auto"/>
        </w:rPr>
      </w:pPr>
    </w:p>
    <w:p>
      <w:pPr>
        <w:ind w:left="1560" w:hanging="350"/>
        <w:spacing w:after="0" w:line="287" w:lineRule="auto"/>
        <w:tabs>
          <w:tab w:leader="none" w:pos="154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Pursuant to Section 2:98c DCC, a </w:t>
      </w:r>
      <w:r>
        <w:rPr>
          <w:rFonts w:ascii="Arial" w:cs="Arial" w:eastAsia="Arial" w:hAnsi="Arial"/>
          <w:sz w:val="16"/>
          <w:szCs w:val="16"/>
          <w:i w:val="1"/>
          <w:iCs w:val="1"/>
          <w:color w:val="auto"/>
        </w:rPr>
        <w:t>naamloze vennootschap</w:t>
      </w:r>
      <w:r>
        <w:rPr>
          <w:rFonts w:ascii="Arial" w:cs="Arial" w:eastAsia="Arial" w:hAnsi="Arial"/>
          <w:sz w:val="16"/>
          <w:szCs w:val="16"/>
          <w:color w:val="auto"/>
        </w:rPr>
        <w:t xml:space="preserve"> may grant loans (</w:t>
      </w:r>
      <w:r>
        <w:rPr>
          <w:rFonts w:ascii="Arial" w:cs="Arial" w:eastAsia="Arial" w:hAnsi="Arial"/>
          <w:sz w:val="16"/>
          <w:szCs w:val="16"/>
          <w:i w:val="1"/>
          <w:iCs w:val="1"/>
          <w:color w:val="auto"/>
        </w:rPr>
        <w:t>leningen verstrekken</w:t>
      </w:r>
      <w:r>
        <w:rPr>
          <w:rFonts w:ascii="Arial" w:cs="Arial" w:eastAsia="Arial" w:hAnsi="Arial"/>
          <w:sz w:val="16"/>
          <w:szCs w:val="16"/>
          <w:color w:val="auto"/>
        </w:rPr>
        <w:t>) only in accordance with the restrictions set out in Section 2:98c DCC, and may not provide security (</w:t>
      </w:r>
      <w:r>
        <w:rPr>
          <w:rFonts w:ascii="Arial" w:cs="Arial" w:eastAsia="Arial" w:hAnsi="Arial"/>
          <w:sz w:val="16"/>
          <w:szCs w:val="16"/>
          <w:i w:val="1"/>
          <w:iCs w:val="1"/>
          <w:color w:val="auto"/>
        </w:rPr>
        <w:t>zekerheid stellen</w:t>
      </w:r>
      <w:r>
        <w:rPr>
          <w:rFonts w:ascii="Arial" w:cs="Arial" w:eastAsia="Arial" w:hAnsi="Arial"/>
          <w:sz w:val="16"/>
          <w:szCs w:val="16"/>
          <w:color w:val="auto"/>
        </w:rPr>
        <w:t>), give a price guarantee (</w:t>
      </w:r>
      <w:r>
        <w:rPr>
          <w:rFonts w:ascii="Arial" w:cs="Arial" w:eastAsia="Arial" w:hAnsi="Arial"/>
          <w:sz w:val="16"/>
          <w:szCs w:val="16"/>
          <w:i w:val="1"/>
          <w:iCs w:val="1"/>
          <w:color w:val="auto"/>
        </w:rPr>
        <w:t>koersgarantie geven</w:t>
      </w:r>
      <w:r>
        <w:rPr>
          <w:rFonts w:ascii="Arial" w:cs="Arial" w:eastAsia="Arial" w:hAnsi="Arial"/>
          <w:sz w:val="16"/>
          <w:szCs w:val="16"/>
          <w:color w:val="auto"/>
        </w:rPr>
        <w:t>) or otherwise bind itself, whether jointly and severally or otherwise with or for third parties (</w:t>
      </w:r>
      <w:r>
        <w:rPr>
          <w:rFonts w:ascii="Arial" w:cs="Arial" w:eastAsia="Arial" w:hAnsi="Arial"/>
          <w:sz w:val="16"/>
          <w:szCs w:val="16"/>
          <w:i w:val="1"/>
          <w:iCs w:val="1"/>
          <w:color w:val="auto"/>
        </w:rPr>
        <w:t>zich op andere wijze sterk maken of zich hoofdelijk of anderszins naast of voor anderen verbinden</w:t>
      </w:r>
      <w:r>
        <w:rPr>
          <w:rFonts w:ascii="Arial" w:cs="Arial" w:eastAsia="Arial" w:hAnsi="Arial"/>
          <w:sz w:val="16"/>
          <w:szCs w:val="16"/>
          <w:color w:val="auto"/>
        </w:rPr>
        <w:t>) with a view to (</w:t>
      </w:r>
      <w:r>
        <w:rPr>
          <w:rFonts w:ascii="Arial" w:cs="Arial" w:eastAsia="Arial" w:hAnsi="Arial"/>
          <w:sz w:val="16"/>
          <w:szCs w:val="16"/>
          <w:i w:val="1"/>
          <w:iCs w:val="1"/>
          <w:color w:val="auto"/>
        </w:rPr>
        <w:t>met het oog op</w:t>
      </w:r>
      <w:r>
        <w:rPr>
          <w:rFonts w:ascii="Arial" w:cs="Arial" w:eastAsia="Arial" w:hAnsi="Arial"/>
          <w:sz w:val="16"/>
          <w:szCs w:val="16"/>
          <w:color w:val="auto"/>
        </w:rPr>
        <w:t>) the subscription or acquisition by third parties of shares in its share capital or depository receipts. This prohibition also applies to its subsidiaries (</w:t>
      </w:r>
      <w:r>
        <w:rPr>
          <w:rFonts w:ascii="Arial" w:cs="Arial" w:eastAsia="Arial" w:hAnsi="Arial"/>
          <w:sz w:val="16"/>
          <w:szCs w:val="16"/>
          <w:i w:val="1"/>
          <w:iCs w:val="1"/>
          <w:color w:val="auto"/>
        </w:rPr>
        <w:t>dochtervennootschappen</w:t>
      </w:r>
      <w:r>
        <w:rPr>
          <w:rFonts w:ascii="Arial" w:cs="Arial" w:eastAsia="Arial" w:hAnsi="Arial"/>
          <w:sz w:val="16"/>
          <w:szCs w:val="16"/>
          <w:color w:val="auto"/>
        </w:rPr>
        <w:t>). It is generally assumed that a transaction entered into in violation of Section 2:98c DCC is null and void (</w:t>
      </w:r>
      <w:r>
        <w:rPr>
          <w:rFonts w:ascii="Arial" w:cs="Arial" w:eastAsia="Arial" w:hAnsi="Arial"/>
          <w:sz w:val="16"/>
          <w:szCs w:val="16"/>
          <w:i w:val="1"/>
          <w:iCs w:val="1"/>
          <w:color w:val="auto"/>
        </w:rPr>
        <w:t>nietig</w:t>
      </w:r>
      <w:r>
        <w:rPr>
          <w:rFonts w:ascii="Arial" w:cs="Arial" w:eastAsia="Arial" w:hAnsi="Arial"/>
          <w:sz w:val="16"/>
          <w:szCs w:val="16"/>
          <w:color w:val="auto"/>
        </w:rPr>
        <w:t>). Based on the content of the Reviewed Documents, we have no reason to believe that the Company or its subsidiaries will violate Section 2:98c DCC in connection with the issue of the Offer Shares or the Option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73" w:lineRule="exact"/>
        <w:rPr>
          <w:rFonts w:ascii="Arial" w:cs="Arial" w:eastAsia="Arial" w:hAnsi="Arial"/>
          <w:sz w:val="16"/>
          <w:szCs w:val="16"/>
          <w:color w:val="auto"/>
        </w:rPr>
      </w:pPr>
    </w:p>
    <w:p>
      <w:pPr>
        <w:ind w:left="1560" w:hanging="350"/>
        <w:spacing w:after="0"/>
        <w:tabs>
          <w:tab w:leader="none" w:pos="15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opinions expressed in this opinion letter may be limited or affected by:</w:t>
      </w:r>
    </w:p>
    <w:p>
      <w:pPr>
        <w:spacing w:after="0" w:line="130" w:lineRule="exact"/>
        <w:rPr>
          <w:rFonts w:ascii="Arial" w:cs="Arial" w:eastAsia="Arial" w:hAnsi="Arial"/>
          <w:sz w:val="18"/>
          <w:szCs w:val="18"/>
          <w:color w:val="auto"/>
        </w:rPr>
      </w:pPr>
    </w:p>
    <w:p>
      <w:pPr>
        <w:ind w:left="1940" w:right="160" w:hanging="370"/>
        <w:spacing w:after="0" w:line="342" w:lineRule="auto"/>
        <w:tabs>
          <w:tab w:leader="none" w:pos="1932"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any applicable bankruptcy, insolvency, reorganisation, moratorium or other similar laws or procedures now or hereafter in effect, relating to or affecting the enforcement or protection of creditors’ rights generally;</w:t>
      </w:r>
    </w:p>
    <w:p>
      <w:pPr>
        <w:spacing w:after="0" w:line="29" w:lineRule="exact"/>
        <w:rPr>
          <w:rFonts w:ascii="Arial" w:cs="Arial" w:eastAsia="Arial" w:hAnsi="Arial"/>
          <w:sz w:val="16"/>
          <w:szCs w:val="16"/>
          <w:color w:val="auto"/>
        </w:rPr>
      </w:pPr>
    </w:p>
    <w:p>
      <w:pPr>
        <w:ind w:left="1940" w:right="60" w:hanging="370"/>
        <w:spacing w:after="0" w:line="263" w:lineRule="auto"/>
        <w:tabs>
          <w:tab w:leader="none" w:pos="193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provisions of fraudulent preference and fraudulent conveyance (</w:t>
      </w:r>
      <w:r>
        <w:rPr>
          <w:rFonts w:ascii="Arial" w:cs="Arial" w:eastAsia="Arial" w:hAnsi="Arial"/>
          <w:sz w:val="18"/>
          <w:szCs w:val="18"/>
          <w:i w:val="1"/>
          <w:iCs w:val="1"/>
          <w:color w:val="auto"/>
        </w:rPr>
        <w:t>Actio Pauliana</w:t>
      </w:r>
      <w:r>
        <w:rPr>
          <w:rFonts w:ascii="Arial" w:cs="Arial" w:eastAsia="Arial" w:hAnsi="Arial"/>
          <w:sz w:val="18"/>
          <w:szCs w:val="18"/>
          <w:color w:val="auto"/>
        </w:rPr>
        <w:t>) and similar rights available in other jurisdictions to insolvency practitioners and insolvency office holders in bankruptcy proceedings or creditors;</w:t>
      </w:r>
    </w:p>
    <w:p>
      <w:pPr>
        <w:spacing w:after="0" w:line="89" w:lineRule="exact"/>
        <w:rPr>
          <w:rFonts w:ascii="Arial" w:cs="Arial" w:eastAsia="Arial" w:hAnsi="Arial"/>
          <w:sz w:val="18"/>
          <w:szCs w:val="18"/>
          <w:color w:val="auto"/>
        </w:rPr>
      </w:pPr>
    </w:p>
    <w:p>
      <w:pPr>
        <w:ind w:left="1920" w:hanging="350"/>
        <w:spacing w:after="0"/>
        <w:tabs>
          <w:tab w:leader="none" w:pos="19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claims based on tort (</w:t>
      </w:r>
      <w:r>
        <w:rPr>
          <w:rFonts w:ascii="Arial" w:cs="Arial" w:eastAsia="Arial" w:hAnsi="Arial"/>
          <w:sz w:val="18"/>
          <w:szCs w:val="18"/>
          <w:i w:val="1"/>
          <w:iCs w:val="1"/>
          <w:color w:val="auto"/>
        </w:rPr>
        <w:t>onrechtmatige daad</w:t>
      </w:r>
      <w:r>
        <w:rPr>
          <w:rFonts w:ascii="Arial" w:cs="Arial" w:eastAsia="Arial" w:hAnsi="Arial"/>
          <w:sz w:val="18"/>
          <w:szCs w:val="18"/>
          <w:color w:val="auto"/>
        </w:rPr>
        <w:t>);</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1440" w:top="638" w:right="459" w:bottom="1440" w:gutter="0" w:footer="0" w:header="0"/>
        </w:sectPr>
      </w:pPr>
    </w:p>
    <w:bookmarkStart w:id="336" w:name="page337"/>
    <w:bookmarkEnd w:id="336"/>
    <w:p>
      <w:pPr>
        <w:ind w:left="1940" w:right="360" w:hanging="370"/>
        <w:spacing w:after="0" w:line="308" w:lineRule="auto"/>
        <w:tabs>
          <w:tab w:leader="none" w:pos="1931" w:val="left"/>
        </w:tabs>
        <w:numPr>
          <w:ilvl w:val="1"/>
          <w:numId w:val="2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sanctions and measures, including but not limited to those concerning export control, pursuant to European Union regulations, under the Sanctions Act 1977 (</w:t>
      </w:r>
      <w:r>
        <w:rPr>
          <w:rFonts w:ascii="Arial" w:cs="Arial" w:eastAsia="Arial" w:hAnsi="Arial"/>
          <w:sz w:val="17"/>
          <w:szCs w:val="17"/>
          <w:i w:val="1"/>
          <w:iCs w:val="1"/>
          <w:color w:val="auto"/>
        </w:rPr>
        <w:t>Sanctiewet 1977</w:t>
      </w:r>
      <w:r>
        <w:rPr>
          <w:rFonts w:ascii="Arial" w:cs="Arial" w:eastAsia="Arial" w:hAnsi="Arial"/>
          <w:sz w:val="17"/>
          <w:szCs w:val="17"/>
          <w:color w:val="auto"/>
        </w:rPr>
        <w:t>) or other legislation;</w:t>
      </w:r>
    </w:p>
    <w:p>
      <w:pPr>
        <w:spacing w:after="0" w:line="51" w:lineRule="exact"/>
        <w:rPr>
          <w:rFonts w:ascii="Arial" w:cs="Arial" w:eastAsia="Arial" w:hAnsi="Arial"/>
          <w:sz w:val="17"/>
          <w:szCs w:val="17"/>
          <w:color w:val="auto"/>
        </w:rPr>
      </w:pPr>
    </w:p>
    <w:p>
      <w:pPr>
        <w:ind w:left="1920" w:hanging="350"/>
        <w:spacing w:after="0"/>
        <w:tabs>
          <w:tab w:leader="none" w:pos="19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Anti-Boycott Regulation, Anti Money Laundering Laws and related legislation; and</w:t>
      </w:r>
    </w:p>
    <w:p>
      <w:pPr>
        <w:spacing w:after="0" w:line="130" w:lineRule="exact"/>
        <w:rPr>
          <w:rFonts w:ascii="Arial" w:cs="Arial" w:eastAsia="Arial" w:hAnsi="Arial"/>
          <w:sz w:val="18"/>
          <w:szCs w:val="18"/>
          <w:color w:val="auto"/>
        </w:rPr>
      </w:pPr>
    </w:p>
    <w:p>
      <w:pPr>
        <w:ind w:left="1940" w:right="540" w:hanging="370"/>
        <w:spacing w:after="0" w:line="257" w:lineRule="auto"/>
        <w:tabs>
          <w:tab w:leader="none" w:pos="193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rules of force majeure (</w:t>
      </w:r>
      <w:r>
        <w:rPr>
          <w:rFonts w:ascii="Arial" w:cs="Arial" w:eastAsia="Arial" w:hAnsi="Arial"/>
          <w:sz w:val="18"/>
          <w:szCs w:val="18"/>
          <w:i w:val="1"/>
          <w:iCs w:val="1"/>
          <w:color w:val="auto"/>
        </w:rPr>
        <w:t>niet toerekenbare tekortkoming</w:t>
      </w:r>
      <w:r>
        <w:rPr>
          <w:rFonts w:ascii="Arial" w:cs="Arial" w:eastAsia="Arial" w:hAnsi="Arial"/>
          <w:sz w:val="18"/>
          <w:szCs w:val="18"/>
          <w:color w:val="auto"/>
        </w:rPr>
        <w:t>), reasonableness and fairness (</w:t>
      </w:r>
      <w:r>
        <w:rPr>
          <w:rFonts w:ascii="Arial" w:cs="Arial" w:eastAsia="Arial" w:hAnsi="Arial"/>
          <w:sz w:val="18"/>
          <w:szCs w:val="18"/>
          <w:i w:val="1"/>
          <w:iCs w:val="1"/>
          <w:color w:val="auto"/>
        </w:rPr>
        <w:t>redelijkheid en</w:t>
      </w:r>
      <w:r>
        <w:rPr>
          <w:rFonts w:ascii="Arial" w:cs="Arial" w:eastAsia="Arial" w:hAnsi="Arial"/>
          <w:sz w:val="18"/>
          <w:szCs w:val="18"/>
          <w:color w:val="auto"/>
        </w:rPr>
        <w:t xml:space="preserve"> </w:t>
      </w:r>
      <w:r>
        <w:rPr>
          <w:rFonts w:ascii="Arial" w:cs="Arial" w:eastAsia="Arial" w:hAnsi="Arial"/>
          <w:sz w:val="18"/>
          <w:szCs w:val="18"/>
          <w:i w:val="1"/>
          <w:iCs w:val="1"/>
          <w:color w:val="auto"/>
        </w:rPr>
        <w:t>billijkheid</w:t>
      </w:r>
      <w:r>
        <w:rPr>
          <w:rFonts w:ascii="Arial" w:cs="Arial" w:eastAsia="Arial" w:hAnsi="Arial"/>
          <w:sz w:val="18"/>
          <w:szCs w:val="18"/>
          <w:color w:val="auto"/>
        </w:rPr>
        <w:t>), suspension (</w:t>
      </w:r>
      <w:r>
        <w:rPr>
          <w:rFonts w:ascii="Arial" w:cs="Arial" w:eastAsia="Arial" w:hAnsi="Arial"/>
          <w:sz w:val="18"/>
          <w:szCs w:val="18"/>
          <w:i w:val="1"/>
          <w:iCs w:val="1"/>
          <w:color w:val="auto"/>
        </w:rPr>
        <w:t>opschorting</w:t>
      </w:r>
      <w:r>
        <w:rPr>
          <w:rFonts w:ascii="Arial" w:cs="Arial" w:eastAsia="Arial" w:hAnsi="Arial"/>
          <w:sz w:val="18"/>
          <w:szCs w:val="18"/>
          <w:color w:val="auto"/>
        </w:rPr>
        <w:t>), dissolution (</w:t>
      </w:r>
      <w:r>
        <w:rPr>
          <w:rFonts w:ascii="Arial" w:cs="Arial" w:eastAsia="Arial" w:hAnsi="Arial"/>
          <w:sz w:val="18"/>
          <w:szCs w:val="18"/>
          <w:i w:val="1"/>
          <w:iCs w:val="1"/>
          <w:color w:val="auto"/>
        </w:rPr>
        <w:t>ontbinding</w:t>
      </w:r>
      <w:r>
        <w:rPr>
          <w:rFonts w:ascii="Arial" w:cs="Arial" w:eastAsia="Arial" w:hAnsi="Arial"/>
          <w:sz w:val="18"/>
          <w:szCs w:val="18"/>
          <w:color w:val="auto"/>
        </w:rPr>
        <w:t>), unforeseen circumstances (</w:t>
      </w:r>
      <w:r>
        <w:rPr>
          <w:rFonts w:ascii="Arial" w:cs="Arial" w:eastAsia="Arial" w:hAnsi="Arial"/>
          <w:sz w:val="18"/>
          <w:szCs w:val="18"/>
          <w:i w:val="1"/>
          <w:iCs w:val="1"/>
          <w:color w:val="auto"/>
        </w:rPr>
        <w:t>onvoorziene omstandigheden</w:t>
      </w:r>
      <w:r>
        <w:rPr>
          <w:rFonts w:ascii="Arial" w:cs="Arial" w:eastAsia="Arial" w:hAnsi="Arial"/>
          <w:sz w:val="18"/>
          <w:szCs w:val="18"/>
          <w:color w:val="auto"/>
        </w:rPr>
        <w:t>) and vitiated consent (i.e., duress (</w:t>
      </w:r>
      <w:r>
        <w:rPr>
          <w:rFonts w:ascii="Arial" w:cs="Arial" w:eastAsia="Arial" w:hAnsi="Arial"/>
          <w:sz w:val="18"/>
          <w:szCs w:val="18"/>
          <w:i w:val="1"/>
          <w:iCs w:val="1"/>
          <w:color w:val="auto"/>
        </w:rPr>
        <w:t>bedreiging</w:t>
      </w:r>
      <w:r>
        <w:rPr>
          <w:rFonts w:ascii="Arial" w:cs="Arial" w:eastAsia="Arial" w:hAnsi="Arial"/>
          <w:sz w:val="18"/>
          <w:szCs w:val="18"/>
          <w:color w:val="auto"/>
        </w:rPr>
        <w:t>), fraud (</w:t>
      </w:r>
      <w:r>
        <w:rPr>
          <w:rFonts w:ascii="Arial" w:cs="Arial" w:eastAsia="Arial" w:hAnsi="Arial"/>
          <w:sz w:val="18"/>
          <w:szCs w:val="18"/>
          <w:i w:val="1"/>
          <w:iCs w:val="1"/>
          <w:color w:val="auto"/>
        </w:rPr>
        <w:t>bedrog</w:t>
      </w:r>
      <w:r>
        <w:rPr>
          <w:rFonts w:ascii="Arial" w:cs="Arial" w:eastAsia="Arial" w:hAnsi="Arial"/>
          <w:sz w:val="18"/>
          <w:szCs w:val="18"/>
          <w:color w:val="auto"/>
        </w:rPr>
        <w:t>), abuse of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misbruik van omstandigheden</w:t>
      </w:r>
      <w:r>
        <w:rPr>
          <w:rFonts w:ascii="Arial" w:cs="Arial" w:eastAsia="Arial" w:hAnsi="Arial"/>
          <w:sz w:val="18"/>
          <w:szCs w:val="18"/>
          <w:color w:val="auto"/>
        </w:rPr>
        <w:t>) and error (</w:t>
      </w:r>
      <w:r>
        <w:rPr>
          <w:rFonts w:ascii="Arial" w:cs="Arial" w:eastAsia="Arial" w:hAnsi="Arial"/>
          <w:sz w:val="18"/>
          <w:szCs w:val="18"/>
          <w:i w:val="1"/>
          <w:iCs w:val="1"/>
          <w:color w:val="auto"/>
        </w:rPr>
        <w:t>dwaling</w:t>
      </w:r>
      <w:r>
        <w:rPr>
          <w:rFonts w:ascii="Arial" w:cs="Arial" w:eastAsia="Arial" w:hAnsi="Arial"/>
          <w:sz w:val="18"/>
          <w:szCs w:val="18"/>
          <w:color w:val="auto"/>
        </w:rPr>
        <w:t>)) or a difference of intention (</w:t>
      </w:r>
      <w:r>
        <w:rPr>
          <w:rFonts w:ascii="Arial" w:cs="Arial" w:eastAsia="Arial" w:hAnsi="Arial"/>
          <w:sz w:val="18"/>
          <w:szCs w:val="18"/>
          <w:i w:val="1"/>
          <w:iCs w:val="1"/>
          <w:color w:val="auto"/>
        </w:rPr>
        <w:t>wil</w:t>
      </w:r>
      <w:r>
        <w:rPr>
          <w:rFonts w:ascii="Arial" w:cs="Arial" w:eastAsia="Arial" w:hAnsi="Arial"/>
          <w:sz w:val="18"/>
          <w:szCs w:val="18"/>
          <w:color w:val="auto"/>
        </w:rPr>
        <w:t>) and declaration (</w:t>
      </w:r>
      <w:r>
        <w:rPr>
          <w:rFonts w:ascii="Arial" w:cs="Arial" w:eastAsia="Arial" w:hAnsi="Arial"/>
          <w:sz w:val="18"/>
          <w:szCs w:val="18"/>
          <w:i w:val="1"/>
          <w:iCs w:val="1"/>
          <w:color w:val="auto"/>
        </w:rPr>
        <w:t>verklaring</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560" w:right="60" w:hanging="350"/>
        <w:spacing w:after="0" w:line="311" w:lineRule="auto"/>
        <w:tabs>
          <w:tab w:leader="none" w:pos="1543"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54" w:lineRule="exact"/>
        <w:rPr>
          <w:rFonts w:ascii="Arial" w:cs="Arial" w:eastAsia="Arial" w:hAnsi="Arial"/>
          <w:sz w:val="16"/>
          <w:szCs w:val="16"/>
          <w:color w:val="auto"/>
        </w:rPr>
      </w:pPr>
    </w:p>
    <w:p>
      <w:pPr>
        <w:ind w:left="1560" w:right="260" w:hanging="350"/>
        <w:spacing w:after="0" w:line="277" w:lineRule="auto"/>
        <w:tabs>
          <w:tab w:leader="none" w:pos="151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This opinion letter does not purport to express any opinion or view on the operational rules and procedures of any clearing or settlement system or agency.</w:t>
      </w:r>
    </w:p>
    <w:p>
      <w:pPr>
        <w:spacing w:after="0" w:line="197" w:lineRule="exact"/>
        <w:rPr>
          <w:sz w:val="20"/>
          <w:szCs w:val="20"/>
          <w:color w:val="auto"/>
        </w:rPr>
      </w:pPr>
    </w:p>
    <w:p>
      <w:pPr>
        <w:ind w:left="1220"/>
        <w:spacing w:after="0" w:line="259" w:lineRule="auto"/>
        <w:rPr>
          <w:sz w:val="20"/>
          <w:szCs w:val="20"/>
          <w:color w:val="auto"/>
        </w:rPr>
      </w:pPr>
      <w:r>
        <w:rPr>
          <w:rFonts w:ascii="Arial" w:cs="Arial" w:eastAsia="Arial" w:hAnsi="Arial"/>
          <w:sz w:val="18"/>
          <w:szCs w:val="18"/>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NautaDutilh N.V.</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NautaDutilh N.V.</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80"/>
          </w:cols>
          <w:pgMar w:left="1440" w:top="760" w:right="479" w:bottom="1440" w:gutter="0" w:footer="0" w:header="0"/>
        </w:sectPr>
      </w:pPr>
    </w:p>
    <w:bookmarkStart w:id="337" w:name="page338"/>
    <w:bookmarkEnd w:id="337"/>
    <w:p>
      <w:pPr>
        <w:ind w:lef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EXHIBIT A</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LIST OF DEFINITIONS</w:t>
      </w:r>
    </w:p>
    <w:p>
      <w:pPr>
        <w:sectPr>
          <w:pgSz w:w="11900" w:h="16838" w:orient="portrait"/>
          <w:cols w:equalWidth="0" w:num="1">
            <w:col w:w="9019"/>
          </w:cols>
          <w:pgMar w:left="1440" w:top="634" w:right="1440" w:bottom="1440" w:gutter="0" w:footer="0" w:header="0"/>
        </w:sectPr>
      </w:pP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 Money Laundering</w:t>
      </w:r>
    </w:p>
    <w:p>
      <w:pPr>
        <w:spacing w:after="0" w:line="3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Laws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1319"/>
        <w:spacing w:after="0" w:line="296" w:lineRule="auto"/>
        <w:rPr>
          <w:sz w:val="20"/>
          <w:szCs w:val="20"/>
          <w:color w:val="auto"/>
        </w:rPr>
      </w:pPr>
      <w:r>
        <w:rPr>
          <w:rFonts w:ascii="Arial" w:cs="Arial" w:eastAsia="Arial" w:hAnsi="Arial"/>
          <w:sz w:val="16"/>
          <w:szCs w:val="16"/>
          <w:color w:val="auto"/>
        </w:rPr>
        <w:t>The European Anti-Money Laundering Directives, as implemented in the Netherlands in the Money Laundering and Terrorist Financing Prevention Act (</w:t>
      </w:r>
      <w:r>
        <w:rPr>
          <w:rFonts w:ascii="Arial" w:cs="Arial" w:eastAsia="Arial" w:hAnsi="Arial"/>
          <w:sz w:val="16"/>
          <w:szCs w:val="16"/>
          <w:i w:val="1"/>
          <w:iCs w:val="1"/>
          <w:color w:val="auto"/>
        </w:rPr>
        <w:t>Wet ter</w:t>
      </w:r>
      <w:r>
        <w:rPr>
          <w:rFonts w:ascii="Arial" w:cs="Arial" w:eastAsia="Arial" w:hAnsi="Arial"/>
          <w:sz w:val="16"/>
          <w:szCs w:val="16"/>
          <w:color w:val="auto"/>
        </w:rPr>
        <w:t xml:space="preserve"> </w:t>
      </w:r>
      <w:r>
        <w:rPr>
          <w:rFonts w:ascii="Arial" w:cs="Arial" w:eastAsia="Arial" w:hAnsi="Arial"/>
          <w:sz w:val="16"/>
          <w:szCs w:val="16"/>
          <w:i w:val="1"/>
          <w:iCs w:val="1"/>
          <w:color w:val="auto"/>
        </w:rPr>
        <w:t>voorkoming van witwassen en financieren van terrorisme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Dutch Criminal Code (</w:t>
      </w:r>
      <w:r>
        <w:rPr>
          <w:rFonts w:ascii="Arial" w:cs="Arial" w:eastAsia="Arial" w:hAnsi="Arial"/>
          <w:sz w:val="16"/>
          <w:szCs w:val="16"/>
          <w:i w:val="1"/>
          <w:iCs w:val="1"/>
          <w:color w:val="auto"/>
        </w:rPr>
        <w:t>Wetboek van Strafrecht</w:t>
      </w:r>
      <w:r>
        <w:rPr>
          <w:rFonts w:ascii="Arial" w:cs="Arial" w:eastAsia="Arial" w:hAnsi="Arial"/>
          <w:sz w:val="16"/>
          <w:szCs w:val="16"/>
          <w:color w:val="auto"/>
        </w:rPr>
        <w:t>).</w:t>
      </w:r>
    </w:p>
    <w:p>
      <w:pPr>
        <w:spacing w:after="0" w:line="49" w:lineRule="exact"/>
        <w:rPr>
          <w:sz w:val="20"/>
          <w:szCs w:val="20"/>
          <w:color w:val="auto"/>
        </w:rPr>
      </w:pPr>
    </w:p>
    <w:p>
      <w:pPr>
        <w:sectPr>
          <w:pgSz w:w="11900" w:h="16838" w:orient="portrait"/>
          <w:cols w:equalWidth="0" w:num="2">
            <w:col w:w="3160" w:space="36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Anti-Boycott Regulation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39"/>
        <w:spacing w:after="0" w:line="301" w:lineRule="auto"/>
        <w:rPr>
          <w:sz w:val="20"/>
          <w:szCs w:val="20"/>
          <w:color w:val="auto"/>
        </w:rPr>
      </w:pPr>
      <w:r>
        <w:rPr>
          <w:rFonts w:ascii="Arial" w:cs="Arial" w:eastAsia="Arial" w:hAnsi="Arial"/>
          <w:sz w:val="16"/>
          <w:szCs w:val="16"/>
          <w:color w:val="auto"/>
        </w:rPr>
        <w:t>The Council Regulation (EC) No 2271/96 of 22 November 1996 on protecting against the effects of the extra-territorial application of legislation adopted by a third country, and actions based thereon or resulting therefrom.</w:t>
      </w:r>
    </w:p>
    <w:p>
      <w:pPr>
        <w:spacing w:after="0" w:line="45" w:lineRule="exact"/>
        <w:rPr>
          <w:sz w:val="20"/>
          <w:szCs w:val="20"/>
          <w:color w:val="auto"/>
        </w:rPr>
      </w:pPr>
    </w:p>
    <w:p>
      <w:pPr>
        <w:sectPr>
          <w:pgSz w:w="11900" w:h="16838" w:orient="portrait"/>
          <w:cols w:equalWidth="0" w:num="2">
            <w:col w:w="3240" w:space="28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of Association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59"/>
        <w:spacing w:after="0" w:line="277" w:lineRule="auto"/>
        <w:rPr>
          <w:sz w:val="20"/>
          <w:szCs w:val="20"/>
          <w:color w:val="auto"/>
        </w:rPr>
      </w:pPr>
      <w:r>
        <w:rPr>
          <w:rFonts w:ascii="Arial" w:cs="Arial" w:eastAsia="Arial" w:hAnsi="Arial"/>
          <w:sz w:val="18"/>
          <w:szCs w:val="18"/>
          <w:color w:val="auto"/>
        </w:rPr>
        <w:t>The Company’s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as they read from time to time.</w:t>
      </w:r>
    </w:p>
    <w:p>
      <w:pPr>
        <w:spacing w:after="0" w:line="58" w:lineRule="exact"/>
        <w:rPr>
          <w:sz w:val="20"/>
          <w:szCs w:val="20"/>
          <w:color w:val="auto"/>
        </w:rPr>
      </w:pPr>
    </w:p>
    <w:p>
      <w:pPr>
        <w:sectPr>
          <w:pgSz w:w="11900" w:h="16838" w:orient="portrait"/>
          <w:cols w:equalWidth="0" w:num="2">
            <w:col w:w="3080" w:space="44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board of directors (</w:t>
      </w:r>
      <w:r>
        <w:rPr>
          <w:rFonts w:ascii="Arial" w:cs="Arial" w:eastAsia="Arial" w:hAnsi="Arial"/>
          <w:sz w:val="16"/>
          <w:szCs w:val="16"/>
          <w:i w:val="1"/>
          <w:iCs w:val="1"/>
          <w:color w:val="auto"/>
        </w:rPr>
        <w:t>bestuur</w:t>
      </w:r>
      <w:r>
        <w:rPr>
          <w:rFonts w:ascii="Arial" w:cs="Arial" w:eastAsia="Arial" w:hAnsi="Arial"/>
          <w:sz w:val="16"/>
          <w:szCs w:val="16"/>
          <w:color w:val="auto"/>
        </w:rPr>
        <w:t>).</w:t>
      </w:r>
    </w:p>
    <w:p>
      <w:pPr>
        <w:spacing w:after="0" w:line="135"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 Register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3000" w:space="5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399"/>
        <w:spacing w:after="0" w:line="257" w:lineRule="auto"/>
        <w:rPr>
          <w:sz w:val="20"/>
          <w:szCs w:val="20"/>
          <w:color w:val="auto"/>
        </w:rPr>
      </w:pPr>
      <w:r>
        <w:rPr>
          <w:rFonts w:ascii="Arial" w:cs="Arial" w:eastAsia="Arial" w:hAnsi="Arial"/>
          <w:sz w:val="18"/>
          <w:szCs w:val="18"/>
          <w:color w:val="auto"/>
        </w:rPr>
        <w:t>Pharvaris B.V.,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registered with the Commercial Register under number 64239411, to be renamed Pharvaris N.V. in connection with the Offering.</w:t>
      </w:r>
    </w:p>
    <w:p>
      <w:pPr>
        <w:spacing w:after="0" w:line="76"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Documents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79"/>
        <w:spacing w:after="0" w:line="263" w:lineRule="auto"/>
        <w:rPr>
          <w:sz w:val="20"/>
          <w:szCs w:val="20"/>
          <w:color w:val="auto"/>
        </w:rPr>
      </w:pPr>
      <w:r>
        <w:rPr>
          <w:rFonts w:ascii="Arial" w:cs="Arial" w:eastAsia="Arial" w:hAnsi="Arial"/>
          <w:sz w:val="18"/>
          <w:szCs w:val="18"/>
          <w:color w:val="auto"/>
        </w:rPr>
        <w:t>The Deed of Incorporation, the Deed of Conversion, the Current Articles, the Revised Articles, the Resolutions and the Registration Statement.</w:t>
      </w:r>
    </w:p>
    <w:p>
      <w:pPr>
        <w:spacing w:after="0" w:line="72" w:lineRule="exact"/>
        <w:rPr>
          <w:sz w:val="20"/>
          <w:szCs w:val="20"/>
          <w:color w:val="auto"/>
        </w:rPr>
      </w:pPr>
    </w:p>
    <w:p>
      <w:pPr>
        <w:sectPr>
          <w:pgSz w:w="11900" w:h="16838" w:orient="portrait"/>
          <w:cols w:equalWidth="0" w:num="2">
            <w:col w:w="3060" w:space="46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Articles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219"/>
        <w:spacing w:after="0" w:line="342" w:lineRule="auto"/>
        <w:rPr>
          <w:sz w:val="20"/>
          <w:szCs w:val="20"/>
          <w:color w:val="auto"/>
        </w:rPr>
      </w:pPr>
      <w:r>
        <w:rPr>
          <w:rFonts w:ascii="Arial" w:cs="Arial" w:eastAsia="Arial" w:hAnsi="Arial"/>
          <w:sz w:val="16"/>
          <w:szCs w:val="16"/>
          <w:color w:val="auto"/>
        </w:rPr>
        <w:t>The Articles of Association as they read after the execution of a deed of amendment dated 5 November 2020.</w:t>
      </w:r>
    </w:p>
    <w:p>
      <w:pPr>
        <w:spacing w:after="0" w:line="12"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Civil Code (</w:t>
      </w:r>
      <w:r>
        <w:rPr>
          <w:rFonts w:ascii="Arial" w:cs="Arial" w:eastAsia="Arial" w:hAnsi="Arial"/>
          <w:sz w:val="16"/>
          <w:szCs w:val="16"/>
          <w:i w:val="1"/>
          <w:iCs w:val="1"/>
          <w:color w:val="auto"/>
        </w:rPr>
        <w:t>Burgerlijk Wetboek</w:t>
      </w:r>
      <w:r>
        <w:rPr>
          <w:rFonts w:ascii="Arial" w:cs="Arial" w:eastAsia="Arial" w:hAnsi="Arial"/>
          <w:sz w:val="16"/>
          <w:szCs w:val="16"/>
          <w:color w:val="auto"/>
        </w:rPr>
        <w:t>).</w:t>
      </w:r>
    </w:p>
    <w:p>
      <w:pPr>
        <w:spacing w:after="0" w:line="180"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634" w:right="1440" w:bottom="1440" w:gutter="0" w:footer="0" w:header="0"/>
          <w:type w:val="continuous"/>
        </w:sectPr>
      </w:pPr>
    </w:p>
    <w:bookmarkStart w:id="338" w:name="page339"/>
    <w:bookmarkEnd w:id="338"/>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Conversion</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Incorporation</w:t>
      </w:r>
      <w:r>
        <w:rPr>
          <w:rFonts w:ascii="Arial" w:cs="Arial" w:eastAsia="Arial" w:hAnsi="Arial"/>
          <w:sz w:val="16"/>
          <w:szCs w:val="16"/>
          <w:color w:val="auto"/>
        </w:rPr>
        <w:t>”</w:t>
      </w:r>
    </w:p>
    <w:p>
      <w:pPr>
        <w:spacing w:after="0" w:line="35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Issue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DFSA</w:t>
      </w:r>
      <w:r>
        <w:rPr>
          <w:rFonts w:ascii="Arial" w:cs="Arial" w:eastAsia="Arial" w:hAnsi="Arial"/>
          <w:sz w:val="18"/>
          <w:szCs w:val="18"/>
          <w:color w:val="auto"/>
        </w:rPr>
        <w:t>”</w:t>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NautaDutilh</w:t>
      </w:r>
      <w:r>
        <w:rPr>
          <w:rFonts w:ascii="Arial" w:cs="Arial" w:eastAsia="Arial" w:hAnsi="Arial"/>
          <w:sz w:val="18"/>
          <w:szCs w:val="18"/>
          <w:color w:val="auto"/>
        </w:rPr>
        <w: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Netherlands</w:t>
      </w:r>
      <w:r>
        <w:rPr>
          <w:rFonts w:ascii="Arial" w:cs="Arial" w:eastAsia="Arial" w:hAnsi="Arial"/>
          <w:sz w:val="18"/>
          <w:szCs w:val="18"/>
          <w:color w:val="auto"/>
        </w:rPr>
        <w: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Shares</w:t>
      </w:r>
      <w:r>
        <w:rPr>
          <w:rFonts w:ascii="Arial" w:cs="Arial" w:eastAsia="Arial" w:hAnsi="Arial"/>
          <w:sz w:val="18"/>
          <w:szCs w:val="18"/>
          <w:color w:val="auto"/>
        </w:rPr>
        <w: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Shares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659"/>
        <w:spacing w:after="0" w:line="263" w:lineRule="auto"/>
        <w:rPr>
          <w:sz w:val="20"/>
          <w:szCs w:val="20"/>
          <w:color w:val="auto"/>
        </w:rPr>
      </w:pPr>
      <w:r>
        <w:rPr>
          <w:rFonts w:ascii="Arial" w:cs="Arial" w:eastAsia="Arial" w:hAnsi="Arial"/>
          <w:sz w:val="18"/>
          <w:szCs w:val="18"/>
          <w:color w:val="auto"/>
        </w:rPr>
        <w:t>The draft deed of conversion and amendment to the Articles of Association prepared by us with reference number 82044177 M 30256910.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-816610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-722630</wp:posOffset>
            </wp:positionV>
            <wp:extent cx="1139825"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56" w:lineRule="exact"/>
        <w:rPr>
          <w:sz w:val="20"/>
          <w:szCs w:val="20"/>
          <w:color w:val="auto"/>
        </w:rPr>
      </w:pPr>
    </w:p>
    <w:p>
      <w:pPr>
        <w:ind w:right="2039"/>
        <w:spacing w:after="0" w:line="277" w:lineRule="auto"/>
        <w:rPr>
          <w:sz w:val="20"/>
          <w:szCs w:val="20"/>
          <w:color w:val="auto"/>
        </w:rPr>
      </w:pPr>
      <w:r>
        <w:rPr>
          <w:rFonts w:ascii="Arial" w:cs="Arial" w:eastAsia="Arial" w:hAnsi="Arial"/>
          <w:sz w:val="18"/>
          <w:szCs w:val="18"/>
          <w:color w:val="auto"/>
        </w:rPr>
        <w:t>The Company’s deed of incorporation (</w:t>
      </w:r>
      <w:r>
        <w:rPr>
          <w:rFonts w:ascii="Arial" w:cs="Arial" w:eastAsia="Arial" w:hAnsi="Arial"/>
          <w:sz w:val="18"/>
          <w:szCs w:val="18"/>
          <w:i w:val="1"/>
          <w:iCs w:val="1"/>
          <w:color w:val="auto"/>
        </w:rPr>
        <w:t>akte van</w:t>
      </w:r>
      <w:r>
        <w:rPr>
          <w:rFonts w:ascii="Arial" w:cs="Arial" w:eastAsia="Arial" w:hAnsi="Arial"/>
          <w:sz w:val="18"/>
          <w:szCs w:val="18"/>
          <w:color w:val="auto"/>
        </w:rPr>
        <w:t xml:space="preserve"> </w:t>
      </w:r>
      <w:r>
        <w:rPr>
          <w:rFonts w:ascii="Arial" w:cs="Arial" w:eastAsia="Arial" w:hAnsi="Arial"/>
          <w:sz w:val="18"/>
          <w:szCs w:val="18"/>
          <w:i w:val="1"/>
          <w:iCs w:val="1"/>
          <w:color w:val="auto"/>
        </w:rPr>
        <w:t>oprichting</w:t>
      </w:r>
      <w:r>
        <w:rPr>
          <w:rFonts w:ascii="Arial" w:cs="Arial" w:eastAsia="Arial" w:hAnsi="Arial"/>
          <w:sz w:val="18"/>
          <w:szCs w:val="18"/>
          <w:color w:val="auto"/>
        </w:rPr>
        <w:t>) dated 30 September 2015</w:t>
      </w:r>
    </w:p>
    <w:p>
      <w:pPr>
        <w:spacing w:after="0" w:line="62" w:lineRule="exact"/>
        <w:rPr>
          <w:sz w:val="20"/>
          <w:szCs w:val="20"/>
          <w:color w:val="auto"/>
        </w:rPr>
      </w:pPr>
    </w:p>
    <w:p>
      <w:pPr>
        <w:ind w:right="1279"/>
        <w:spacing w:after="0" w:line="259" w:lineRule="auto"/>
        <w:rPr>
          <w:sz w:val="20"/>
          <w:szCs w:val="20"/>
          <w:color w:val="auto"/>
        </w:rPr>
      </w:pPr>
      <w:r>
        <w:rPr>
          <w:rFonts w:ascii="Arial" w:cs="Arial" w:eastAsia="Arial" w:hAnsi="Arial"/>
          <w:sz w:val="18"/>
          <w:szCs w:val="18"/>
          <w:color w:val="auto"/>
        </w:rPr>
        <w:t>The draft deed of issue of the Offer Shares or Option Shares, as the case may be, prepared by us with references 82044177 M 30256945 and 82041678 M 21475950 respectively.</w:t>
      </w:r>
    </w:p>
    <w:p>
      <w:pPr>
        <w:spacing w:after="0" w:line="79" w:lineRule="exact"/>
        <w:rPr>
          <w:sz w:val="20"/>
          <w:szCs w:val="20"/>
          <w:color w:val="auto"/>
        </w:rPr>
      </w:pPr>
    </w:p>
    <w:p>
      <w:pPr>
        <w:ind w:right="1939"/>
        <w:spacing w:after="0" w:line="277" w:lineRule="auto"/>
        <w:rPr>
          <w:sz w:val="20"/>
          <w:szCs w:val="20"/>
          <w:color w:val="auto"/>
        </w:rPr>
      </w:pPr>
      <w:r>
        <w:rPr>
          <w:rFonts w:ascii="Arial" w:cs="Arial" w:eastAsia="Arial" w:hAnsi="Arial"/>
          <w:sz w:val="18"/>
          <w:szCs w:val="18"/>
          <w:color w:val="auto"/>
        </w:rPr>
        <w:t>The Dutch Financial Supervision Act (</w:t>
      </w:r>
      <w:r>
        <w:rPr>
          <w:rFonts w:ascii="Arial" w:cs="Arial" w:eastAsia="Arial" w:hAnsi="Arial"/>
          <w:sz w:val="18"/>
          <w:szCs w:val="18"/>
          <w:i w:val="1"/>
          <w:iCs w:val="1"/>
          <w:color w:val="auto"/>
        </w:rPr>
        <w:t>Wet op het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financieel toezicht</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Company’s general meeting (</w:t>
      </w:r>
      <w:r>
        <w:rPr>
          <w:rFonts w:ascii="Arial" w:cs="Arial" w:eastAsia="Arial" w:hAnsi="Arial"/>
          <w:sz w:val="16"/>
          <w:szCs w:val="16"/>
          <w:i w:val="1"/>
          <w:iCs w:val="1"/>
          <w:color w:val="auto"/>
        </w:rPr>
        <w:t>algemene vergadering</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NautaDutilh N.V.</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European territory of the Kingdom of the Netherlands.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6,950,000 Ordinary Shares.</w:t>
      </w:r>
    </w:p>
    <w:p>
      <w:pPr>
        <w:spacing w:after="0" w:line="117" w:lineRule="exact"/>
        <w:rPr>
          <w:sz w:val="20"/>
          <w:szCs w:val="20"/>
          <w:color w:val="auto"/>
        </w:rPr>
      </w:pPr>
    </w:p>
    <w:p>
      <w:pPr>
        <w:ind w:right="1519"/>
        <w:spacing w:after="0" w:line="301" w:lineRule="auto"/>
        <w:rPr>
          <w:sz w:val="20"/>
          <w:szCs w:val="20"/>
          <w:color w:val="auto"/>
        </w:rPr>
      </w:pPr>
      <w:r>
        <w:rPr>
          <w:rFonts w:ascii="Arial" w:cs="Arial" w:eastAsia="Arial" w:hAnsi="Arial"/>
          <w:sz w:val="16"/>
          <w:szCs w:val="16"/>
          <w:color w:val="auto"/>
        </w:rPr>
        <w:t>The offering of the Offer Shares and, if any, the Option Shares and the admission to listing and trading of those Common Shares on the NASDAQ Stock Market as contemplated by the Registration Statement.</w:t>
      </w:r>
    </w:p>
    <w:p>
      <w:pPr>
        <w:spacing w:after="0" w:line="49" w:lineRule="exact"/>
        <w:rPr>
          <w:sz w:val="20"/>
          <w:szCs w:val="20"/>
          <w:color w:val="auto"/>
        </w:rPr>
      </w:pPr>
    </w:p>
    <w:p>
      <w:pPr>
        <w:ind w:right="1259"/>
        <w:spacing w:after="0" w:line="263" w:lineRule="auto"/>
        <w:rPr>
          <w:sz w:val="20"/>
          <w:szCs w:val="20"/>
          <w:color w:val="auto"/>
        </w:rPr>
      </w:pPr>
      <w:r>
        <w:rPr>
          <w:rFonts w:ascii="Arial" w:cs="Arial" w:eastAsia="Arial" w:hAnsi="Arial"/>
          <w:sz w:val="18"/>
          <w:szCs w:val="18"/>
          <w:color w:val="auto"/>
        </w:rPr>
        <w:t>The option to acquire Option Shares to be granted to the Underwriters pursuant to the Underwriting Agreement and the Resolutions.</w:t>
      </w:r>
    </w:p>
    <w:p>
      <w:pPr>
        <w:spacing w:after="0" w:line="76" w:lineRule="exact"/>
        <w:rPr>
          <w:sz w:val="20"/>
          <w:szCs w:val="20"/>
          <w:color w:val="auto"/>
        </w:rPr>
      </w:pPr>
    </w:p>
    <w:p>
      <w:pPr>
        <w:ind w:right="1299"/>
        <w:spacing w:after="0" w:line="263" w:lineRule="auto"/>
        <w:rPr>
          <w:sz w:val="20"/>
          <w:szCs w:val="20"/>
          <w:color w:val="auto"/>
        </w:rPr>
      </w:pPr>
      <w:r>
        <w:rPr>
          <w:rFonts w:ascii="Arial" w:cs="Arial" w:eastAsia="Arial" w:hAnsi="Arial"/>
          <w:sz w:val="18"/>
          <w:szCs w:val="18"/>
          <w:color w:val="auto"/>
        </w:rPr>
        <w:t>Up to 1,042,500 Ordinary Shares or such lesser number of Ordinary Shares in respect of which the Option is exercised.</w:t>
      </w:r>
    </w:p>
    <w:p>
      <w:pPr>
        <w:spacing w:after="0" w:line="76" w:lineRule="exact"/>
        <w:rPr>
          <w:sz w:val="20"/>
          <w:szCs w:val="20"/>
          <w:color w:val="auto"/>
        </w:rPr>
      </w:pPr>
    </w:p>
    <w:p>
      <w:pPr>
        <w:ind w:right="1339"/>
        <w:spacing w:after="0" w:line="277" w:lineRule="auto"/>
        <w:rPr>
          <w:sz w:val="20"/>
          <w:szCs w:val="20"/>
          <w:color w:val="auto"/>
        </w:rPr>
      </w:pPr>
      <w:r>
        <w:rPr>
          <w:rFonts w:ascii="Arial" w:cs="Arial" w:eastAsia="Arial" w:hAnsi="Arial"/>
          <w:sz w:val="18"/>
          <w:szCs w:val="18"/>
          <w:color w:val="auto"/>
        </w:rPr>
        <w:t>Ordinary shares in the Company’s capital, with a nominal value of EUR 0.12 each.</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080" w:space="440"/>
            <w:col w:w="5499"/>
          </w:cols>
          <w:pgMar w:left="1440" w:top="742" w:right="1440" w:bottom="1440" w:gutter="0" w:footer="0" w:header="0"/>
        </w:sectPr>
      </w:pPr>
    </w:p>
    <w:bookmarkStart w:id="339" w:name="page340"/>
    <w:bookmarkEnd w:id="339"/>
    <w:tbl>
      <w:tblPr>
        <w:tblLayout w:type="fixed"/>
        <w:tblInd w:w="120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 Regulation</w:t>
            </w:r>
            <w:r>
              <w:rPr>
                <w:rFonts w:ascii="Arial" w:cs="Arial" w:eastAsia="Arial" w:hAnsi="Arial"/>
                <w:sz w:val="18"/>
                <w:szCs w:val="18"/>
                <w:color w:val="auto"/>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6"/>
              </w:rPr>
              <w:t>Regulation (EU) 2017/1129 of the European Parliament</w:t>
            </w:r>
          </w:p>
        </w:tc>
      </w:tr>
      <w:tr>
        <w:trPr>
          <w:trHeight w:val="216"/>
        </w:trPr>
        <w:tc>
          <w:tcPr>
            <w:tcW w:w="22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0"/>
              </w:rPr>
              <w:t>and of the Council of 14 June 2017 on the prospectus to be</w:t>
            </w:r>
          </w:p>
        </w:tc>
      </w:tr>
      <w:tr>
        <w:trPr>
          <w:trHeight w:val="216"/>
        </w:trPr>
        <w:tc>
          <w:tcPr>
            <w:tcW w:w="22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published when securities are offered to the public or</w:t>
            </w:r>
          </w:p>
        </w:tc>
      </w:tr>
      <w:tr>
        <w:trPr>
          <w:trHeight w:val="216"/>
        </w:trPr>
        <w:tc>
          <w:tcPr>
            <w:tcW w:w="22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5"/>
              </w:rPr>
              <w:t>admitted to trading on a regulated market, and repealing</w:t>
            </w:r>
          </w:p>
        </w:tc>
      </w:tr>
      <w:tr>
        <w:trPr>
          <w:trHeight w:val="230"/>
        </w:trPr>
        <w:tc>
          <w:tcPr>
            <w:tcW w:w="222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Directive 2003/71/EC.</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1"/>
              </w:rPr>
              <w:t>The Company’s registration statement on Form F-1 filed or</w:t>
            </w:r>
          </w:p>
        </w:tc>
      </w:tr>
      <w:tr>
        <w:trPr>
          <w:trHeight w:val="216"/>
        </w:trPr>
        <w:tc>
          <w:tcPr>
            <w:tcW w:w="22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3"/>
              </w:rPr>
              <w:t>to be filed with the SEC in connection with the Offering in</w:t>
            </w:r>
          </w:p>
        </w:tc>
      </w:tr>
      <w:tr>
        <w:trPr>
          <w:trHeight w:val="230"/>
        </w:trPr>
        <w:tc>
          <w:tcPr>
            <w:tcW w:w="222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the form reviewed by us.</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Moment</w:t>
            </w:r>
            <w:r>
              <w:rPr>
                <w:rFonts w:ascii="Arial" w:cs="Arial" w:eastAsia="Arial" w:hAnsi="Arial"/>
                <w:sz w:val="18"/>
                <w:szCs w:val="18"/>
                <w:color w:val="auto"/>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4"/>
              </w:rPr>
              <w:t>Each time that Offer Shares or Option Shares are issued</w:t>
            </w:r>
          </w:p>
        </w:tc>
      </w:tr>
      <w:tr>
        <w:trPr>
          <w:trHeight w:val="230"/>
        </w:trPr>
        <w:tc>
          <w:tcPr>
            <w:tcW w:w="222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pursuant to the execution of a Deed of Issue.</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Resolutions</w:t>
            </w:r>
            <w:r>
              <w:rPr>
                <w:rFonts w:ascii="Arial" w:cs="Arial" w:eastAsia="Arial" w:hAnsi="Arial"/>
                <w:sz w:val="18"/>
                <w:szCs w:val="18"/>
                <w:color w:val="auto"/>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Each of the following:</w:t>
            </w:r>
          </w:p>
        </w:tc>
      </w:tr>
      <w:tr>
        <w:trPr>
          <w:trHeight w:val="323"/>
        </w:trPr>
        <w:tc>
          <w:tcPr>
            <w:tcW w:w="222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the written resolutions of the Board, dated</w:t>
            </w:r>
          </w:p>
        </w:tc>
      </w:tr>
      <w:tr>
        <w:trPr>
          <w:trHeight w:val="216"/>
        </w:trPr>
        <w:tc>
          <w:tcPr>
            <w:tcW w:w="2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10 November 2020, 22 January 2021 and</w:t>
            </w:r>
          </w:p>
        </w:tc>
      </w:tr>
      <w:tr>
        <w:trPr>
          <w:trHeight w:val="230"/>
        </w:trPr>
        <w:tc>
          <w:tcPr>
            <w:tcW w:w="2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1 February 2021;</w:t>
            </w:r>
          </w:p>
        </w:tc>
      </w:tr>
      <w:tr>
        <w:trPr>
          <w:trHeight w:val="323"/>
        </w:trPr>
        <w:tc>
          <w:tcPr>
            <w:tcW w:w="222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w w:val="96"/>
              </w:rPr>
              <w:t>the written resolutions of the General Meeting,</w:t>
            </w:r>
          </w:p>
        </w:tc>
      </w:tr>
      <w:tr>
        <w:trPr>
          <w:trHeight w:val="230"/>
        </w:trPr>
        <w:tc>
          <w:tcPr>
            <w:tcW w:w="2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dated 1 February 2021; and</w:t>
            </w:r>
          </w:p>
        </w:tc>
      </w:tr>
      <w:tr>
        <w:trPr>
          <w:trHeight w:val="323"/>
        </w:trPr>
        <w:tc>
          <w:tcPr>
            <w:tcW w:w="222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w w:val="90"/>
              </w:rPr>
              <w:t>pricing committee resolutions prepared by us and</w:t>
            </w:r>
          </w:p>
        </w:tc>
      </w:tr>
      <w:tr>
        <w:trPr>
          <w:trHeight w:val="230"/>
        </w:trPr>
        <w:tc>
          <w:tcPr>
            <w:tcW w:w="2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w w:val="96"/>
              </w:rPr>
              <w:t>bearing the reference 82044177 M 31112124.</w:t>
            </w:r>
          </w:p>
        </w:tc>
      </w:t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Reviewed Documents</w:t>
            </w:r>
            <w:r>
              <w:rPr>
                <w:rFonts w:ascii="Arial" w:cs="Arial" w:eastAsia="Arial" w:hAnsi="Arial"/>
                <w:sz w:val="18"/>
                <w:szCs w:val="18"/>
                <w:color w:val="auto"/>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9"/>
              </w:rPr>
              <w:t>Each Deed of Issue and the Underwriting Agreement.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Revised Articles</w:t>
            </w:r>
            <w:r>
              <w:rPr>
                <w:rFonts w:ascii="Arial" w:cs="Arial" w:eastAsia="Arial" w:hAnsi="Arial"/>
                <w:sz w:val="18"/>
                <w:szCs w:val="18"/>
                <w:color w:val="auto"/>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5"/>
              </w:rPr>
              <w:t>The Articles of Association as they will read immediately</w:t>
            </w:r>
          </w:p>
        </w:tc>
      </w:tr>
      <w:tr>
        <w:trPr>
          <w:trHeight w:val="216"/>
        </w:trPr>
        <w:tc>
          <w:tcPr>
            <w:tcW w:w="22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after the execution of the duly completed Deed of</w:t>
            </w:r>
          </w:p>
        </w:tc>
      </w:tr>
      <w:tr>
        <w:trPr>
          <w:trHeight w:val="230"/>
        </w:trPr>
        <w:tc>
          <w:tcPr>
            <w:tcW w:w="222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Conversion.</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3"/>
              </w:rPr>
              <w:t>The United States Securities and Exchange Commission.</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The Underwriters, as listed in Schedule I to the</w:t>
            </w:r>
          </w:p>
        </w:tc>
      </w:tr>
      <w:tr>
        <w:trPr>
          <w:trHeight w:val="230"/>
        </w:trPr>
        <w:tc>
          <w:tcPr>
            <w:tcW w:w="222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Underwriting Agreement.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Underwriting Agreement</w:t>
            </w:r>
            <w:r>
              <w:rPr>
                <w:rFonts w:ascii="Arial" w:cs="Arial" w:eastAsia="Arial" w:hAnsi="Arial"/>
                <w:sz w:val="18"/>
                <w:szCs w:val="18"/>
                <w:color w:val="auto"/>
                <w:w w:val="99"/>
              </w:rPr>
              <w:t>”</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The draft underwriting agreement to be entered into</w:t>
            </w:r>
          </w:p>
        </w:tc>
      </w:tr>
      <w:tr>
        <w:trPr>
          <w:trHeight w:val="216"/>
        </w:trPr>
        <w:tc>
          <w:tcPr>
            <w:tcW w:w="22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1"/>
              </w:rPr>
              <w:t>between the Company and the Underwriters in connection</w:t>
            </w:r>
          </w:p>
        </w:tc>
      </w:tr>
      <w:tr>
        <w:trPr>
          <w:trHeight w:val="230"/>
        </w:trPr>
        <w:tc>
          <w:tcPr>
            <w:tcW w:w="222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8"/>
              </w:rPr>
              <w:t>with the Offering, in the form reviewed by NautaDutilh.</w:t>
            </w:r>
          </w:p>
        </w:tc>
      </w:tr>
      <w:tr>
        <w:trPr>
          <w:trHeight w:val="365"/>
        </w:trPr>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8</w:t>
            </w:r>
          </w:p>
        </w:tc>
      </w:tr>
    </w:tbl>
    <w:p>
      <w:pPr>
        <w:ind w:left="380"/>
        <w:spacing w:after="0"/>
        <w:rPr>
          <w:sz w:val="20"/>
          <w:szCs w:val="20"/>
          <w:color w:val="auto"/>
        </w:rPr>
        <w:sectPr>
          <w:pgSz w:w="11900" w:h="16838" w:orient="portrait"/>
          <w:cols w:equalWidth="0" w:num="1">
            <w:col w:w="9019"/>
          </w:cols>
          <w:pgMar w:left="1440" w:top="742"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3208655</wp:posOffset>
            </wp:positionH>
            <wp:positionV relativeFrom="page">
              <wp:posOffset>88900</wp:posOffset>
            </wp:positionV>
            <wp:extent cx="1139825"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Exhibit 8.1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ATTORNEYS • CIVIL LAW NOTARIES • TAX ADVISERS</w:t>
            </w:r>
          </w:p>
        </w:tc>
        <w:tc>
          <w:tcPr>
            <w:tcW w:w="2800" w:type="dxa"/>
            <w:vAlign w:val="bottom"/>
          </w:tcPr>
          <w:p>
            <w:pPr>
              <w:spacing w:after="0"/>
              <w:rPr>
                <w:sz w:val="20"/>
                <w:szCs w:val="20"/>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P.O. Box 7113</w:t>
            </w:r>
          </w:p>
        </w:tc>
        <w:tc>
          <w:tcPr>
            <w:tcW w:w="2800" w:type="dxa"/>
            <w:vAlign w:val="bottom"/>
          </w:tcPr>
          <w:p>
            <w:pPr>
              <w:ind w:left="640"/>
              <w:spacing w:after="0"/>
              <w:rPr>
                <w:sz w:val="20"/>
                <w:szCs w:val="20"/>
                <w:color w:val="auto"/>
              </w:rPr>
            </w:pPr>
            <w:r>
              <w:rPr>
                <w:rFonts w:ascii="Arial" w:cs="Arial" w:eastAsia="Arial" w:hAnsi="Arial"/>
                <w:sz w:val="18"/>
                <w:szCs w:val="18"/>
                <w:color w:val="auto"/>
                <w:w w:val="89"/>
              </w:rPr>
              <w:t>Amsterdam, 1 February 2021.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1007 JC Amsterdam</w:t>
            </w:r>
          </w:p>
        </w:tc>
        <w:tc>
          <w:tcPr>
            <w:tcW w:w="280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Beethovenstraat 400</w:t>
            </w:r>
          </w:p>
        </w:tc>
        <w:tc>
          <w:tcPr>
            <w:tcW w:w="2800" w:type="dxa"/>
            <w:vAlign w:val="bottom"/>
          </w:tcPr>
          <w:p>
            <w:pPr>
              <w:ind w:left="640"/>
              <w:spacing w:after="0"/>
              <w:rPr>
                <w:sz w:val="20"/>
                <w:szCs w:val="20"/>
                <w:color w:val="auto"/>
              </w:rPr>
            </w:pPr>
            <w:r>
              <w:rPr>
                <w:rFonts w:ascii="Arial" w:cs="Arial" w:eastAsia="Arial" w:hAnsi="Arial"/>
                <w:sz w:val="18"/>
                <w:szCs w:val="18"/>
                <w:color w:val="auto"/>
              </w:rPr>
              <w:t>To the Company</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1082 PR Amsterdam</w:t>
            </w:r>
          </w:p>
        </w:tc>
        <w:tc>
          <w:tcPr>
            <w:tcW w:w="280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 +31 20 71 71 000</w:t>
            </w:r>
          </w:p>
        </w:tc>
        <w:tc>
          <w:tcPr>
            <w:tcW w:w="2800" w:type="dxa"/>
            <w:vAlign w:val="bottom"/>
          </w:tcPr>
          <w:p>
            <w:pPr>
              <w:spacing w:after="0"/>
              <w:rPr>
                <w:sz w:val="18"/>
                <w:szCs w:val="18"/>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F +31 20 71 71 111</w:t>
            </w:r>
          </w:p>
        </w:tc>
        <w:tc>
          <w:tcPr>
            <w:tcW w:w="2800" w:type="dxa"/>
            <w:vAlign w:val="bottom"/>
          </w:tcPr>
          <w:p>
            <w:pPr>
              <w:spacing w:after="0"/>
              <w:rPr>
                <w:sz w:val="20"/>
                <w:szCs w:val="20"/>
                <w:color w:val="auto"/>
              </w:rPr>
            </w:pPr>
          </w:p>
        </w:tc>
      </w:tr>
      <w:tr>
        <w:trPr>
          <w:trHeight w:val="473"/>
        </w:trPr>
        <w:tc>
          <w:tcPr>
            <w:tcW w:w="5100" w:type="dxa"/>
            <w:vAlign w:val="bottom"/>
          </w:tcPr>
          <w:p>
            <w:pPr>
              <w:ind w:left="2220"/>
              <w:spacing w:after="0"/>
              <w:rPr>
                <w:sz w:val="20"/>
                <w:szCs w:val="20"/>
                <w:color w:val="auto"/>
              </w:rPr>
            </w:pPr>
            <w:r>
              <w:rPr>
                <w:rFonts w:ascii="Arial" w:cs="Arial" w:eastAsia="Arial" w:hAnsi="Arial"/>
                <w:sz w:val="18"/>
                <w:szCs w:val="18"/>
                <w:color w:val="auto"/>
              </w:rPr>
              <w:t>Ladies and Gentlemen:</w:t>
            </w:r>
          </w:p>
        </w:tc>
        <w:tc>
          <w:tcPr>
            <w:tcW w:w="2800" w:type="dxa"/>
            <w:vAlign w:val="bottom"/>
          </w:tcPr>
          <w:p>
            <w:pPr>
              <w:spacing w:after="0"/>
              <w:rPr>
                <w:sz w:val="24"/>
                <w:szCs w:val="24"/>
                <w:color w:val="auto"/>
              </w:rPr>
            </w:pPr>
          </w:p>
        </w:tc>
      </w:tr>
    </w:tbl>
    <w:p>
      <w:pPr>
        <w:spacing w:after="0" w:line="94" w:lineRule="exact"/>
        <w:rPr>
          <w:sz w:val="20"/>
          <w:szCs w:val="20"/>
          <w:color w:val="auto"/>
        </w:rPr>
      </w:pPr>
    </w:p>
    <w:p>
      <w:pPr>
        <w:sectPr>
          <w:pgSz w:w="11900" w:h="16838" w:orient="portrait"/>
          <w:cols w:equalWidth="0" w:num="1">
            <w:col w:w="11020"/>
          </w:cols>
          <w:pgMar w:left="440"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Amsterdam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Brussels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Luxemburg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Rotterdam</w:t>
      </w:r>
    </w:p>
    <w:p>
      <w:pPr>
        <w:spacing w:after="0" w:line="20" w:lineRule="exact"/>
        <w:rPr>
          <w:sz w:val="20"/>
          <w:szCs w:val="20"/>
          <w:color w:val="auto"/>
        </w:rPr>
      </w:pPr>
      <w:r>
        <w:rPr>
          <w:sz w:val="20"/>
          <w:szCs w:val="20"/>
          <w:color w:val="auto"/>
        </w:rPr>
        <w:br w:type="column"/>
      </w:r>
    </w:p>
    <w:p>
      <w:pPr>
        <w:ind w:right="460"/>
        <w:spacing w:after="0" w:line="308" w:lineRule="auto"/>
        <w:rPr>
          <w:sz w:val="20"/>
          <w:szCs w:val="20"/>
          <w:color w:val="auto"/>
        </w:rPr>
      </w:pPr>
      <w:r>
        <w:rPr>
          <w:rFonts w:ascii="Arial" w:cs="Arial" w:eastAsia="Arial" w:hAnsi="Arial"/>
          <w:sz w:val="17"/>
          <w:szCs w:val="17"/>
          <w:color w:val="auto"/>
        </w:rPr>
        <w:t>We have acted as tax counsel as to Dutch law to the Company in connection with the Offering. This opinion letter is rendered to you in order to be filed with the SEC as an exhibit to the Registration Statement.</w:t>
      </w:r>
    </w:p>
    <w:p>
      <w:pPr>
        <w:spacing w:after="0" w:line="3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w:t>
      </w:r>
    </w:p>
    <w:p>
      <w:pPr>
        <w:spacing w:after="0" w:line="5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rendering the opinion expressed in this opinion letter, we have reviewed and relied upon a draft of the Registration Statement. We have not investigated or verified any factual matter disclosed to us in the course of our review.</w:t>
      </w:r>
    </w:p>
    <w:p>
      <w:pPr>
        <w:spacing w:after="0" w:line="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opinion letter sets out our opinion on certain matters of the tax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law, other than the tax opinion below. No undertaking is assumed on our part to revise, update or amend this opinion letter in connection with or to notify or inform you of, any developments and/or changes of Dutch law subsequent to today’s date. We do not purport to opine on the consequences of amendments to the Registration Statement subsequent to the date of this opinion letter.</w:t>
      </w:r>
    </w:p>
    <w:p>
      <w:pPr>
        <w:spacing w:after="0" w:line="58"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opinion expressed in this opinion letter is to be construed and interpreted in accordance with Dutch tax law. The competent courts at Amsterdam, the Netherlands, have exclusive jurisdiction to settle any issues of interpretation or liability arising out of or in connection with this opinion letter. Any legal</w:t>
      </w:r>
    </w:p>
    <w:p>
      <w:pPr>
        <w:spacing w:after="0" w:line="1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communication is confidential and may be subject to professional privilege. 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ectPr>
          <w:pgSz w:w="11900" w:h="16838" w:orient="portrait"/>
          <w:cols w:equalWidth="0" w:num="2">
            <w:col w:w="1500" w:space="720"/>
            <w:col w:w="8800"/>
          </w:cols>
          <w:pgMar w:left="440" w:top="486" w:right="439" w:bottom="1440" w:gutter="0" w:footer="0" w:header="0"/>
          <w:type w:val="continuous"/>
        </w:sectPr>
      </w:pPr>
    </w:p>
    <w:bookmarkStart w:id="341" w:name="page342"/>
    <w:bookmarkEnd w:id="341"/>
    <w:p>
      <w:pPr>
        <w:ind w:left="122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80" w:lineRule="exact"/>
        <w:rPr>
          <w:sz w:val="20"/>
          <w:szCs w:val="20"/>
          <w:color w:val="auto"/>
        </w:rPr>
      </w:pPr>
    </w:p>
    <w:p>
      <w:pPr>
        <w:ind w:left="1220"/>
        <w:spacing w:after="0" w:line="279" w:lineRule="auto"/>
        <w:rPr>
          <w:sz w:val="20"/>
          <w:szCs w:val="20"/>
          <w:color w:val="auto"/>
        </w:rPr>
      </w:pPr>
      <w:r>
        <w:rPr>
          <w:rFonts w:ascii="Arial" w:cs="Arial" w:eastAsia="Arial" w:hAnsi="Arial"/>
          <w:sz w:val="17"/>
          <w:szCs w:val="17"/>
          <w:color w:val="auto"/>
        </w:rPr>
        <w:t>In this opinion letter and in the Dutch Tax Section, legal and tax concepts are expressed in English terms. The Dutch legal and tax concepts concerned may not be identical in meaning to the concepts described by the English terms as they exist under the law of other jurisdictions. In the event of a conflict or inconsistency, the relevant expression shall be deemed to refer only to the Dutch legal and tax concepts described by the English terms.</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117" w:lineRule="exact"/>
        <w:rPr>
          <w:sz w:val="20"/>
          <w:szCs w:val="20"/>
          <w:color w:val="auto"/>
        </w:rPr>
      </w:pPr>
    </w:p>
    <w:p>
      <w:pPr>
        <w:ind w:left="1560" w:hanging="350"/>
        <w:spacing w:after="0"/>
        <w:tabs>
          <w:tab w:leader="none" w:pos="15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Registration Statement has been or will be declared effective by the SEC in the form reviewed by us; and</w:t>
      </w:r>
    </w:p>
    <w:p>
      <w:pPr>
        <w:spacing w:after="0" w:line="128" w:lineRule="exact"/>
        <w:rPr>
          <w:rFonts w:ascii="Arial" w:cs="Arial" w:eastAsia="Arial" w:hAnsi="Arial"/>
          <w:sz w:val="17"/>
          <w:szCs w:val="17"/>
          <w:color w:val="auto"/>
        </w:rPr>
      </w:pPr>
    </w:p>
    <w:p>
      <w:pPr>
        <w:ind w:left="1560" w:right="140" w:hanging="350"/>
        <w:spacing w:after="0" w:line="277" w:lineRule="auto"/>
        <w:tabs>
          <w:tab w:leader="none" w:pos="155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place of effective management of the Company is only in the Netherlands and the Company will therefore only be a tax resident of the Netherlands.</w:t>
      </w:r>
    </w:p>
    <w:p>
      <w:pPr>
        <w:spacing w:after="0" w:line="62" w:lineRule="exact"/>
        <w:rPr>
          <w:sz w:val="20"/>
          <w:szCs w:val="20"/>
          <w:color w:val="auto"/>
        </w:rPr>
      </w:pPr>
    </w:p>
    <w:p>
      <w:pPr>
        <w:ind w:left="1220" w:right="120"/>
        <w:spacing w:after="0" w:line="277" w:lineRule="auto"/>
        <w:rPr>
          <w:sz w:val="20"/>
          <w:szCs w:val="20"/>
          <w:color w:val="auto"/>
        </w:rPr>
      </w:pPr>
      <w:r>
        <w:rPr>
          <w:rFonts w:ascii="Arial" w:cs="Arial" w:eastAsia="Arial" w:hAnsi="Arial"/>
          <w:sz w:val="18"/>
          <w:szCs w:val="18"/>
          <w:color w:val="auto"/>
        </w:rPr>
        <w:t>Based upon and subject to the foregoing and subject to any matters, documents or events not disclosed to us, we express the following opinion:</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Dutch Tax Section</w:t>
      </w:r>
    </w:p>
    <w:p>
      <w:pPr>
        <w:spacing w:after="0" w:line="121" w:lineRule="exact"/>
        <w:rPr>
          <w:sz w:val="20"/>
          <w:szCs w:val="20"/>
          <w:color w:val="auto"/>
        </w:rPr>
      </w:pPr>
    </w:p>
    <w:p>
      <w:pPr>
        <w:ind w:left="1220" w:right="460"/>
        <w:spacing w:after="0" w:line="277" w:lineRule="auto"/>
        <w:rPr>
          <w:sz w:val="20"/>
          <w:szCs w:val="20"/>
          <w:color w:val="auto"/>
        </w:rPr>
      </w:pPr>
      <w:r>
        <w:rPr>
          <w:rFonts w:ascii="Arial" w:cs="Arial" w:eastAsia="Arial" w:hAnsi="Arial"/>
          <w:sz w:val="18"/>
          <w:szCs w:val="18"/>
          <w:color w:val="auto"/>
        </w:rPr>
        <w:t>The Dutch Tax Section constitutes our opinion and we hereby confirm that with respect to matters of Dutch tax law referred to therein, it is accurate and set forth in full.</w:t>
      </w:r>
    </w:p>
    <w:p>
      <w:pPr>
        <w:spacing w:after="0" w:line="62" w:lineRule="exact"/>
        <w:rPr>
          <w:sz w:val="20"/>
          <w:szCs w:val="20"/>
          <w:color w:val="auto"/>
        </w:rPr>
      </w:pPr>
    </w:p>
    <w:p>
      <w:pPr>
        <w:ind w:left="1220"/>
        <w:spacing w:after="0" w:line="259" w:lineRule="auto"/>
        <w:rPr>
          <w:sz w:val="20"/>
          <w:szCs w:val="20"/>
          <w:color w:val="auto"/>
        </w:rPr>
      </w:pPr>
      <w:r>
        <w:rPr>
          <w:rFonts w:ascii="Arial" w:cs="Arial" w:eastAsia="Arial" w:hAnsi="Arial"/>
          <w:sz w:val="18"/>
          <w:szCs w:val="18"/>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80"/>
          </w:cols>
          <w:pgMar w:left="1440" w:top="746" w:right="479" w:bottom="1440" w:gutter="0" w:footer="0" w:header="0"/>
        </w:sectPr>
      </w:pPr>
    </w:p>
    <w:bookmarkStart w:id="342" w:name="page343"/>
    <w:bookmarkEnd w:id="342"/>
    <w:p>
      <w:pPr>
        <w:ind w:lef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Sincerely yours,</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NautaDutilh N.V.</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NautaDutilh N.V.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746" w:right="1440" w:bottom="1440" w:gutter="0" w:footer="0" w:header="0"/>
        </w:sectPr>
      </w:pPr>
    </w:p>
    <w:bookmarkStart w:id="343" w:name="page344"/>
    <w:bookmarkEnd w:id="343"/>
    <w:p>
      <w:pPr>
        <w:ind w:lef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EXHIBIT A</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LIST OF DEFINITIONS</w:t>
      </w:r>
    </w:p>
    <w:p>
      <w:pPr>
        <w:sectPr>
          <w:pgSz w:w="11900" w:h="16838" w:orient="portrait"/>
          <w:cols w:equalWidth="0" w:num="1">
            <w:col w:w="9019"/>
          </w:cols>
          <w:pgMar w:left="1440" w:top="634" w:right="1440" w:bottom="1440" w:gutter="0" w:footer="0" w:header="0"/>
        </w:sectPr>
      </w:pP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 Register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Dutch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3000" w:space="5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399"/>
        <w:spacing w:after="0" w:line="257" w:lineRule="auto"/>
        <w:rPr>
          <w:sz w:val="20"/>
          <w:szCs w:val="20"/>
          <w:color w:val="auto"/>
        </w:rPr>
      </w:pPr>
      <w:r>
        <w:rPr>
          <w:rFonts w:ascii="Arial" w:cs="Arial" w:eastAsia="Arial" w:hAnsi="Arial"/>
          <w:sz w:val="18"/>
          <w:szCs w:val="18"/>
          <w:color w:val="auto"/>
        </w:rPr>
        <w:t>Pharvaris B.V.,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registered with the Commercial Register under number 64239411, to be renamed Pharvaris N.V. in connection with the Offering.</w:t>
      </w:r>
    </w:p>
    <w:p>
      <w:pPr>
        <w:spacing w:after="0" w:line="76"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Dutch Tax Section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379"/>
        <w:spacing w:after="0" w:line="311" w:lineRule="auto"/>
        <w:rPr>
          <w:sz w:val="20"/>
          <w:szCs w:val="20"/>
          <w:color w:val="auto"/>
        </w:rPr>
      </w:pPr>
      <w:r>
        <w:rPr>
          <w:rFonts w:ascii="Arial" w:cs="Arial" w:eastAsia="Arial" w:hAnsi="Arial"/>
          <w:sz w:val="16"/>
          <w:szCs w:val="16"/>
          <w:color w:val="auto"/>
        </w:rPr>
        <w:t>The statements contained in the Registration Statement under the caption “Material United States and Dutch Income Tax Considerations—Dutch Tax Consequences”.</w:t>
      </w:r>
    </w:p>
    <w:p>
      <w:pPr>
        <w:spacing w:after="0" w:line="37"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jc w:val="center"/>
        <w:ind w:left="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NautaDutilh</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NautaDutilh N.V.</w:t>
      </w:r>
    </w:p>
    <w:p>
      <w:pPr>
        <w:spacing w:after="0" w:line="136"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 Netherlands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79"/>
        <w:spacing w:after="0" w:line="277" w:lineRule="auto"/>
        <w:rPr>
          <w:sz w:val="20"/>
          <w:szCs w:val="20"/>
          <w:color w:val="auto"/>
        </w:rPr>
      </w:pPr>
      <w:r>
        <w:rPr>
          <w:rFonts w:ascii="Arial" w:cs="Arial" w:eastAsia="Arial" w:hAnsi="Arial"/>
          <w:sz w:val="18"/>
          <w:szCs w:val="18"/>
          <w:color w:val="auto"/>
        </w:rPr>
        <w:t>The European territory of the Kingdom of the Netherlands and “</w:t>
      </w:r>
      <w:r>
        <w:rPr>
          <w:rFonts w:ascii="Arial" w:cs="Arial" w:eastAsia="Arial" w:hAnsi="Arial"/>
          <w:sz w:val="18"/>
          <w:szCs w:val="18"/>
          <w:b w:val="1"/>
          <w:bCs w:val="1"/>
          <w:color w:val="auto"/>
        </w:rPr>
        <w:t>Dutch</w:t>
      </w:r>
      <w:r>
        <w:rPr>
          <w:rFonts w:ascii="Arial" w:cs="Arial" w:eastAsia="Arial" w:hAnsi="Arial"/>
          <w:sz w:val="18"/>
          <w:szCs w:val="18"/>
          <w:color w:val="auto"/>
        </w:rPr>
        <w:t>” in or from the Netherlands.</w:t>
      </w:r>
    </w:p>
    <w:p>
      <w:pPr>
        <w:spacing w:after="0" w:line="58"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479"/>
        <w:spacing w:after="0" w:line="277" w:lineRule="auto"/>
        <w:rPr>
          <w:sz w:val="20"/>
          <w:szCs w:val="20"/>
          <w:color w:val="auto"/>
        </w:rPr>
      </w:pPr>
      <w:r>
        <w:rPr>
          <w:rFonts w:ascii="Arial" w:cs="Arial" w:eastAsia="Arial" w:hAnsi="Arial"/>
          <w:sz w:val="18"/>
          <w:szCs w:val="18"/>
          <w:color w:val="auto"/>
        </w:rPr>
        <w:t>The offering of Ordinary Shares as contemplated by the Registration Statement.</w:t>
      </w:r>
    </w:p>
    <w:p>
      <w:pPr>
        <w:spacing w:after="0" w:line="58"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339"/>
        <w:spacing w:after="0" w:line="277" w:lineRule="auto"/>
        <w:rPr>
          <w:sz w:val="20"/>
          <w:szCs w:val="20"/>
          <w:color w:val="auto"/>
        </w:rPr>
      </w:pPr>
      <w:r>
        <w:rPr>
          <w:rFonts w:ascii="Arial" w:cs="Arial" w:eastAsia="Arial" w:hAnsi="Arial"/>
          <w:sz w:val="18"/>
          <w:szCs w:val="18"/>
          <w:color w:val="auto"/>
        </w:rPr>
        <w:t>Ordinary shares in the Company’s capital, with a nominal value of EUR 0.12 each.</w:t>
      </w:r>
    </w:p>
    <w:p>
      <w:pPr>
        <w:spacing w:after="0" w:line="58"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219"/>
        <w:spacing w:after="0" w:line="263" w:lineRule="auto"/>
        <w:rPr>
          <w:sz w:val="20"/>
          <w:szCs w:val="20"/>
          <w:color w:val="auto"/>
        </w:rPr>
      </w:pPr>
      <w:r>
        <w:rPr>
          <w:rFonts w:ascii="Arial" w:cs="Arial" w:eastAsia="Arial" w:hAnsi="Arial"/>
          <w:sz w:val="18"/>
          <w:szCs w:val="18"/>
          <w:color w:val="auto"/>
        </w:rPr>
        <w:t>The Company’s registration statement on Form F-1 filed or to be filed with the SEC in connection with the Offering in the form reviewed by us.</w:t>
      </w:r>
    </w:p>
    <w:p>
      <w:pPr>
        <w:spacing w:after="0" w:line="72" w:lineRule="exact"/>
        <w:rPr>
          <w:sz w:val="20"/>
          <w:szCs w:val="20"/>
          <w:color w:val="auto"/>
        </w:rPr>
      </w:pPr>
    </w:p>
    <w:p>
      <w:pPr>
        <w:sectPr>
          <w:pgSz w:w="11900" w:h="16838" w:orient="portrait"/>
          <w:cols w:equalWidth="0" w:num="2">
            <w:col w:w="3140" w:space="380"/>
            <w:col w:w="5499"/>
          </w:cols>
          <w:pgMar w:left="1440" w:top="634" w:right="1440"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United States Securities and Exchange Commission.</w:t>
      </w:r>
    </w:p>
    <w:p>
      <w:pPr>
        <w:spacing w:after="0" w:line="180" w:lineRule="exact"/>
        <w:rPr>
          <w:sz w:val="20"/>
          <w:szCs w:val="20"/>
          <w:color w:val="auto"/>
        </w:rPr>
      </w:pPr>
    </w:p>
    <w:p>
      <w:pPr>
        <w:sectPr>
          <w:pgSz w:w="11900" w:h="16838" w:orient="portrait"/>
          <w:cols w:equalWidth="0" w:num="2">
            <w:col w:w="2800" w:space="720"/>
            <w:col w:w="5499"/>
          </w:cols>
          <w:pgMar w:left="1440" w:top="634"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634" w:right="1440" w:bottom="1440" w:gutter="0" w:footer="0" w:header="0"/>
          <w:type w:val="continuous"/>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HARVARIS</w:t>
      </w:r>
      <w:r>
        <w:rPr>
          <w:rFonts w:ascii="Arial" w:cs="Arial" w:eastAsia="Arial" w:hAnsi="Arial"/>
          <w:sz w:val="18"/>
          <w:szCs w:val="18"/>
          <w:b w:val="1"/>
          <w:bCs w:val="1"/>
          <w:color w:val="auto"/>
        </w:rPr>
        <w:t xml:space="preserve"> B.V.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30, 2016</w:t>
      </w:r>
    </w:p>
    <w:p>
      <w:pPr>
        <w:spacing w:after="0" w:line="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RITTEN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HAREHOLDERS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30, 2016</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13, 2018</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RITTEN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HAREHOLDERS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13, 2018</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A</w:t>
      </w:r>
      <w:r>
        <w:rPr>
          <w:rFonts w:ascii="Arial" w:cs="Arial" w:eastAsia="Arial" w:hAnsi="Arial"/>
          <w:sz w:val="14"/>
          <w:szCs w:val="14"/>
          <w:b w:val="1"/>
          <w:bCs w:val="1"/>
          <w:color w:val="auto"/>
        </w:rPr>
        <w:t>UGUST</w:t>
      </w:r>
      <w:r>
        <w:rPr>
          <w:rFonts w:ascii="Arial" w:cs="Arial" w:eastAsia="Arial" w:hAnsi="Arial"/>
          <w:sz w:val="18"/>
          <w:szCs w:val="18"/>
          <w:b w:val="1"/>
          <w:bCs w:val="1"/>
          <w:color w:val="auto"/>
        </w:rPr>
        <w:t xml:space="preserve"> 1, 2019</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RITTEN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HAREHOLDERS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 A</w:t>
      </w:r>
      <w:r>
        <w:rPr>
          <w:rFonts w:ascii="Arial" w:cs="Arial" w:eastAsia="Arial" w:hAnsi="Arial"/>
          <w:sz w:val="14"/>
          <w:szCs w:val="14"/>
          <w:b w:val="1"/>
          <w:bCs w:val="1"/>
          <w:color w:val="auto"/>
        </w:rPr>
        <w:t>UGUST</w:t>
      </w:r>
      <w:r>
        <w:rPr>
          <w:rFonts w:ascii="Arial" w:cs="Arial" w:eastAsia="Arial" w:hAnsi="Arial"/>
          <w:sz w:val="18"/>
          <w:szCs w:val="18"/>
          <w:b w:val="1"/>
          <w:bCs w:val="1"/>
          <w:color w:val="auto"/>
        </w:rPr>
        <w:t xml:space="preserve"> 1, 2019</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N</w:t>
      </w:r>
      <w:r>
        <w:rPr>
          <w:rFonts w:ascii="Arial" w:cs="Arial" w:eastAsia="Arial" w:hAnsi="Arial"/>
          <w:sz w:val="14"/>
          <w:szCs w:val="14"/>
          <w:b w:val="1"/>
          <w:bCs w:val="1"/>
          <w:color w:val="auto"/>
        </w:rPr>
        <w:t>OVEMBER</w:t>
      </w:r>
      <w:r>
        <w:rPr>
          <w:rFonts w:ascii="Arial" w:cs="Arial" w:eastAsia="Arial" w:hAnsi="Arial"/>
          <w:sz w:val="18"/>
          <w:szCs w:val="18"/>
          <w:b w:val="1"/>
          <w:bCs w:val="1"/>
          <w:color w:val="auto"/>
        </w:rPr>
        <w:t xml:space="preserve"> 3, 2020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RITTEN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HAREHOLDERS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 N</w:t>
      </w:r>
      <w:r>
        <w:rPr>
          <w:rFonts w:ascii="Arial" w:cs="Arial" w:eastAsia="Arial" w:hAnsi="Arial"/>
          <w:sz w:val="14"/>
          <w:szCs w:val="14"/>
          <w:b w:val="1"/>
          <w:bCs w:val="1"/>
          <w:color w:val="auto"/>
        </w:rPr>
        <w:t>OVEMBER</w:t>
      </w:r>
      <w:r>
        <w:rPr>
          <w:rFonts w:ascii="Arial" w:cs="Arial" w:eastAsia="Arial" w:hAnsi="Arial"/>
          <w:sz w:val="18"/>
          <w:szCs w:val="18"/>
          <w:b w:val="1"/>
          <w:bCs w:val="1"/>
          <w:color w:val="auto"/>
        </w:rPr>
        <w:t xml:space="preserve"> 3, 2020</w:t>
      </w:r>
    </w:p>
    <w:p>
      <w:pPr>
        <w:spacing w:after="0" w:line="90" w:lineRule="exact"/>
        <w:rPr>
          <w:sz w:val="20"/>
          <w:szCs w:val="20"/>
          <w:color w:val="auto"/>
        </w:rPr>
      </w:pPr>
    </w:p>
    <w:p>
      <w:pPr>
        <w:ind w:left="624" w:hanging="184"/>
        <w:spacing w:after="0"/>
        <w:tabs>
          <w:tab w:leader="none" w:pos="624" w:val="left"/>
        </w:tabs>
        <w:numPr>
          <w:ilvl w:val="1"/>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Eligible Award Recipients</w:t>
      </w:r>
      <w:r>
        <w:rPr>
          <w:rFonts w:ascii="Arial" w:cs="Arial" w:eastAsia="Arial" w:hAnsi="Arial"/>
          <w:sz w:val="18"/>
          <w:szCs w:val="18"/>
          <w:color w:val="auto"/>
        </w:rPr>
        <w:t>. Employees, Directors and Consultants are eligible to receive Awards.</w:t>
      </w:r>
    </w:p>
    <w:p>
      <w:pPr>
        <w:spacing w:after="0" w:line="225" w:lineRule="exact"/>
        <w:rPr>
          <w:rFonts w:ascii="Arial" w:cs="Arial" w:eastAsia="Arial" w:hAnsi="Arial"/>
          <w:sz w:val="18"/>
          <w:szCs w:val="18"/>
          <w:b w:val="1"/>
          <w:bCs w:val="1"/>
          <w:color w:val="auto"/>
        </w:rPr>
      </w:pPr>
    </w:p>
    <w:p>
      <w:pPr>
        <w:ind w:left="4" w:right="340" w:firstLine="987"/>
        <w:spacing w:after="0" w:line="293" w:lineRule="auto"/>
        <w:tabs>
          <w:tab w:leader="none" w:pos="1260" w:val="left"/>
        </w:tabs>
        <w:numPr>
          <w:ilvl w:val="2"/>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Awards</w:t>
      </w:r>
      <w:r>
        <w:rPr>
          <w:rFonts w:ascii="Arial" w:cs="Arial" w:eastAsia="Arial" w:hAnsi="Arial"/>
          <w:sz w:val="16"/>
          <w:szCs w:val="16"/>
          <w:color w:val="auto"/>
        </w:rPr>
        <w:t>. The Plan provides for the grant of the following types of Awards: (i) Incentive Stock Options, (ii) Nonstatutory</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(iii) Stock Appreciation Rights, (iv) Restricted Stock Awards, (v) Restricted Stock Unit Awards, (vi) Performance Stock Awards,</w:t>
      </w:r>
    </w:p>
    <w:p>
      <w:pPr>
        <w:spacing w:after="0" w:line="1" w:lineRule="exact"/>
        <w:rPr>
          <w:rFonts w:ascii="Arial" w:cs="Arial" w:eastAsia="Arial" w:hAnsi="Arial"/>
          <w:sz w:val="16"/>
          <w:szCs w:val="16"/>
          <w:b w:val="1"/>
          <w:bCs w:val="1"/>
          <w:color w:val="auto"/>
        </w:rPr>
      </w:pPr>
    </w:p>
    <w:p>
      <w:pPr>
        <w:ind w:left="364" w:hanging="364"/>
        <w:spacing w:after="0"/>
        <w:tabs>
          <w:tab w:leader="none" w:pos="36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Performance Cash Awards, and (viii) Other Stock Awards.</w:t>
      </w:r>
    </w:p>
    <w:p>
      <w:pPr>
        <w:spacing w:after="0" w:line="206" w:lineRule="exact"/>
        <w:rPr>
          <w:rFonts w:ascii="Arial" w:cs="Arial" w:eastAsia="Arial" w:hAnsi="Arial"/>
          <w:sz w:val="18"/>
          <w:szCs w:val="18"/>
          <w:color w:val="auto"/>
        </w:rPr>
      </w:pPr>
    </w:p>
    <w:p>
      <w:pPr>
        <w:ind w:left="4" w:right="240" w:firstLine="987"/>
        <w:spacing w:after="0" w:line="266" w:lineRule="auto"/>
        <w:tabs>
          <w:tab w:leader="none" w:pos="1240" w:val="left"/>
        </w:tabs>
        <w:numPr>
          <w:ilvl w:val="2"/>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granting of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283" w:lineRule="exact"/>
        <w:rPr>
          <w:rFonts w:ascii="Arial" w:cs="Arial" w:eastAsia="Arial" w:hAnsi="Arial"/>
          <w:sz w:val="18"/>
          <w:szCs w:val="18"/>
          <w:b w:val="1"/>
          <w:bCs w:val="1"/>
          <w:color w:val="auto"/>
        </w:rPr>
      </w:pPr>
    </w:p>
    <w:p>
      <w:pPr>
        <w:ind w:left="624" w:hanging="184"/>
        <w:spacing w:after="0"/>
        <w:tabs>
          <w:tab w:leader="none" w:pos="624"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120" w:firstLine="987"/>
        <w:spacing w:after="0" w:line="282" w:lineRule="auto"/>
        <w:tabs>
          <w:tab w:leader="none" w:pos="1250" w:val="left"/>
        </w:tabs>
        <w:numPr>
          <w:ilvl w:val="2"/>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Board</w:t>
      </w:r>
      <w:r>
        <w:rPr>
          <w:rFonts w:ascii="Arial" w:cs="Arial" w:eastAsia="Arial" w:hAnsi="Arial"/>
          <w:sz w:val="18"/>
          <w:szCs w:val="18"/>
          <w:color w:val="auto"/>
        </w:rPr>
        <w:t>. 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1" w:lineRule="exact"/>
        <w:rPr>
          <w:rFonts w:ascii="Arial" w:cs="Arial" w:eastAsia="Arial" w:hAnsi="Arial"/>
          <w:sz w:val="18"/>
          <w:szCs w:val="18"/>
          <w:b w:val="1"/>
          <w:bCs w:val="1"/>
          <w:color w:val="auto"/>
        </w:rPr>
      </w:pPr>
    </w:p>
    <w:p>
      <w:pPr>
        <w:ind w:left="1264" w:hanging="273"/>
        <w:spacing w:after="0"/>
        <w:tabs>
          <w:tab w:leader="none" w:pos="1264" w:val="left"/>
        </w:tabs>
        <w:numPr>
          <w:ilvl w:val="2"/>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Board</w:t>
      </w:r>
      <w:r>
        <w:rPr>
          <w:rFonts w:ascii="Arial" w:cs="Arial" w:eastAsia="Arial" w:hAnsi="Arial"/>
          <w:sz w:val="17"/>
          <w:szCs w:val="17"/>
          <w:color w:val="auto"/>
        </w:rPr>
        <w:t>. The Board will have the power, subject to, and within the limitations of, the express provisions of the Plan:</w:t>
      </w:r>
    </w:p>
    <w:p>
      <w:pPr>
        <w:spacing w:after="0" w:line="132" w:lineRule="exact"/>
        <w:rPr>
          <w:rFonts w:ascii="Arial" w:cs="Arial" w:eastAsia="Arial" w:hAnsi="Arial"/>
          <w:sz w:val="17"/>
          <w:szCs w:val="17"/>
          <w:b w:val="1"/>
          <w:bCs w:val="1"/>
          <w:color w:val="auto"/>
        </w:rPr>
      </w:pPr>
    </w:p>
    <w:p>
      <w:pPr>
        <w:ind w:left="4" w:right="40" w:firstLine="1428"/>
        <w:spacing w:after="0" w:line="259" w:lineRule="auto"/>
        <w:tabs>
          <w:tab w:leader="none" w:pos="1651" w:val="left"/>
        </w:tabs>
        <w:numPr>
          <w:ilvl w:val="3"/>
          <w:numId w:val="251"/>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an Award.</w:t>
      </w:r>
    </w:p>
    <w:p>
      <w:pPr>
        <w:spacing w:after="0" w:line="186" w:lineRule="exact"/>
        <w:rPr>
          <w:rFonts w:ascii="Arial" w:cs="Arial" w:eastAsia="Arial" w:hAnsi="Arial"/>
          <w:sz w:val="18"/>
          <w:szCs w:val="18"/>
          <w:b w:val="1"/>
          <w:bCs w:val="1"/>
          <w:color w:val="auto"/>
        </w:rPr>
      </w:pPr>
    </w:p>
    <w:p>
      <w:pPr>
        <w:ind w:left="4" w:right="160" w:firstLine="1428"/>
        <w:spacing w:after="0" w:line="259" w:lineRule="auto"/>
        <w:tabs>
          <w:tab w:leader="none" w:pos="1701" w:val="left"/>
        </w:tabs>
        <w:numPr>
          <w:ilvl w:val="3"/>
          <w:numId w:val="251"/>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6" w:lineRule="exact"/>
        <w:rPr>
          <w:rFonts w:ascii="Arial" w:cs="Arial" w:eastAsia="Arial" w:hAnsi="Arial"/>
          <w:sz w:val="18"/>
          <w:szCs w:val="18"/>
          <w:b w:val="1"/>
          <w:bCs w:val="1"/>
          <w:color w:val="auto"/>
        </w:rPr>
      </w:pPr>
    </w:p>
    <w:p>
      <w:pPr>
        <w:ind w:left="1744" w:hanging="312"/>
        <w:spacing w:after="0"/>
        <w:tabs>
          <w:tab w:leader="none" w:pos="1744" w:val="left"/>
        </w:tabs>
        <w:numPr>
          <w:ilvl w:val="3"/>
          <w:numId w:val="251"/>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45" w:name="page346"/>
    <w:bookmarkEnd w:id="345"/>
    <w:p>
      <w:pPr>
        <w:ind w:left="1744" w:hanging="312"/>
        <w:spacing w:after="0"/>
        <w:tabs>
          <w:tab w:leader="none" w:pos="1744"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accelerate, in whole or in part, the time at which an Award may be exercised or vest (or at which cash or shares of Common</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Stock may be issued).</w:t>
      </w:r>
    </w:p>
    <w:p>
      <w:pPr>
        <w:spacing w:after="0" w:line="210" w:lineRule="exact"/>
        <w:rPr>
          <w:rFonts w:ascii="Arial" w:cs="Arial" w:eastAsia="Arial" w:hAnsi="Arial"/>
          <w:sz w:val="16"/>
          <w:szCs w:val="16"/>
          <w:b w:val="1"/>
          <w:bCs w:val="1"/>
          <w:color w:val="auto"/>
        </w:rPr>
      </w:pPr>
    </w:p>
    <w:p>
      <w:pPr>
        <w:ind w:left="4" w:right="160" w:firstLine="1428"/>
        <w:spacing w:after="0" w:line="263" w:lineRule="auto"/>
        <w:tabs>
          <w:tab w:leader="none" w:pos="1691"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impair a Participant’s rights under his or her then-outstanding Award without his or her written consent except as provided in subsection (viii) below.</w:t>
      </w:r>
    </w:p>
    <w:p>
      <w:pPr>
        <w:spacing w:after="0" w:line="183" w:lineRule="exact"/>
        <w:rPr>
          <w:rFonts w:ascii="Arial" w:cs="Arial" w:eastAsia="Arial" w:hAnsi="Arial"/>
          <w:sz w:val="18"/>
          <w:szCs w:val="18"/>
          <w:b w:val="1"/>
          <w:bCs w:val="1"/>
          <w:color w:val="auto"/>
        </w:rPr>
      </w:pPr>
    </w:p>
    <w:p>
      <w:pPr>
        <w:ind w:left="4" w:firstLine="1428"/>
        <w:spacing w:after="0" w:line="284" w:lineRule="auto"/>
        <w:tabs>
          <w:tab w:leader="none" w:pos="1741"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and except as provided in Section 9(a) relating to Capitalization Adjustments, the Company will seek shareholder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w:t>
      </w:r>
    </w:p>
    <w:p>
      <w:pPr>
        <w:spacing w:after="0" w:line="2" w:lineRule="exact"/>
        <w:rPr>
          <w:rFonts w:ascii="Arial" w:cs="Arial" w:eastAsia="Arial" w:hAnsi="Arial"/>
          <w:sz w:val="16"/>
          <w:szCs w:val="16"/>
          <w:b w:val="1"/>
          <w:bCs w:val="1"/>
          <w:color w:val="auto"/>
        </w:rPr>
      </w:pPr>
    </w:p>
    <w:p>
      <w:pPr>
        <w:ind w:left="4" w:right="220" w:hanging="4"/>
        <w:spacing w:after="0" w:line="273" w:lineRule="auto"/>
        <w:tabs>
          <w:tab w:leader="none" w:pos="29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unless (1) the Company requests the consent of the affected Participant, and (2) such Participant consents in writing.</w:t>
      </w:r>
    </w:p>
    <w:p>
      <w:pPr>
        <w:spacing w:after="0" w:line="176" w:lineRule="exact"/>
        <w:rPr>
          <w:rFonts w:ascii="Arial" w:cs="Arial" w:eastAsia="Arial" w:hAnsi="Arial"/>
          <w:sz w:val="17"/>
          <w:szCs w:val="17"/>
          <w:color w:val="auto"/>
        </w:rPr>
      </w:pPr>
    </w:p>
    <w:p>
      <w:pPr>
        <w:ind w:left="4" w:right="20" w:firstLine="1428"/>
        <w:spacing w:after="0" w:line="277" w:lineRule="auto"/>
        <w:tabs>
          <w:tab w:leader="none" w:pos="1791"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shareholder approval, including, but not limited to, amendments to the Plan intended to satisfy the requirements of (A) Section 422 of the Code regarding Incentive Stock Options or (B) Rule 16b-3.</w:t>
      </w:r>
    </w:p>
    <w:p>
      <w:pPr>
        <w:spacing w:after="0" w:line="170" w:lineRule="exact"/>
        <w:rPr>
          <w:rFonts w:ascii="Arial" w:cs="Arial" w:eastAsia="Arial" w:hAnsi="Arial"/>
          <w:sz w:val="18"/>
          <w:szCs w:val="18"/>
          <w:b w:val="1"/>
          <w:bCs w:val="1"/>
          <w:color w:val="auto"/>
        </w:rPr>
      </w:pPr>
    </w:p>
    <w:p>
      <w:pPr>
        <w:ind w:left="4" w:firstLine="1428"/>
        <w:spacing w:after="0" w:line="269" w:lineRule="auto"/>
        <w:tabs>
          <w:tab w:leader="none" w:pos="1841" w:val="left"/>
        </w:tabs>
        <w:numPr>
          <w:ilvl w:val="1"/>
          <w:numId w:val="253"/>
        </w:numPr>
        <w:rPr>
          <w:rFonts w:ascii="Arial" w:cs="Arial" w:eastAsia="Arial" w:hAnsi="Arial"/>
          <w:sz w:val="17"/>
          <w:szCs w:val="17"/>
          <w:b w:val="1"/>
          <w:bCs w:val="1"/>
          <w:color w:val="auto"/>
        </w:rPr>
      </w:pPr>
      <w:r>
        <w:rPr>
          <w:rFonts w:ascii="Arial" w:cs="Arial" w:eastAsia="Arial" w:hAnsi="Arial"/>
          <w:sz w:val="17"/>
          <w:szCs w:val="17"/>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81" w:lineRule="exact"/>
        <w:rPr>
          <w:rFonts w:ascii="Arial" w:cs="Arial" w:eastAsia="Arial" w:hAnsi="Arial"/>
          <w:sz w:val="17"/>
          <w:szCs w:val="17"/>
          <w:b w:val="1"/>
          <w:bCs w:val="1"/>
          <w:color w:val="auto"/>
        </w:rPr>
      </w:pPr>
    </w:p>
    <w:p>
      <w:pPr>
        <w:ind w:left="4" w:right="320" w:firstLine="1428"/>
        <w:spacing w:after="0" w:line="277" w:lineRule="auto"/>
        <w:tabs>
          <w:tab w:leader="none" w:pos="1741"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jc w:val="both"/>
        <w:ind w:left="4" w:right="460" w:firstLine="1428"/>
        <w:spacing w:after="0" w:line="311" w:lineRule="auto"/>
        <w:tabs>
          <w:tab w:leader="none" w:pos="1691" w:val="left"/>
        </w:tabs>
        <w:numPr>
          <w:ilvl w:val="1"/>
          <w:numId w:val="253"/>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8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4"/>
          </w:cols>
          <w:pgMar w:left="436" w:top="274" w:right="539" w:bottom="1440" w:gutter="0" w:footer="0" w:header="0"/>
        </w:sectPr>
      </w:pPr>
    </w:p>
    <w:bookmarkStart w:id="346" w:name="page347"/>
    <w:bookmarkEnd w:id="346"/>
    <w:p>
      <w:pPr>
        <w:ind w:left="4" w:right="280" w:firstLine="1428"/>
        <w:spacing w:after="0" w:line="291" w:lineRule="auto"/>
        <w:tabs>
          <w:tab w:leader="none" w:pos="1741" w:val="left"/>
        </w:tabs>
        <w:numPr>
          <w:ilvl w:val="2"/>
          <w:numId w:val="2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effect, with the consent of any adversely affected Participant, (A) the reduction of the exercise, purchase or strike price of any outstanding Award; (B) the cancellation of any outstanding Stock Award and the grant in substitution therefor of a new (1) Option or SAR,</w:t>
      </w:r>
    </w:p>
    <w:p>
      <w:pPr>
        <w:ind w:left="4" w:hanging="4"/>
        <w:spacing w:after="0" w:line="253" w:lineRule="auto"/>
        <w:tabs>
          <w:tab w:leader="none" w:pos="25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296" w:lineRule="exact"/>
        <w:rPr>
          <w:rFonts w:ascii="Arial" w:cs="Arial" w:eastAsia="Arial" w:hAnsi="Arial"/>
          <w:sz w:val="18"/>
          <w:szCs w:val="18"/>
          <w:color w:val="auto"/>
        </w:rPr>
      </w:pPr>
    </w:p>
    <w:p>
      <w:pPr>
        <w:ind w:left="1244" w:hanging="253"/>
        <w:spacing w:after="0"/>
        <w:tabs>
          <w:tab w:leader="none" w:pos="1244" w:val="left"/>
        </w:tabs>
        <w:numPr>
          <w:ilvl w:val="1"/>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20" w:firstLine="1428"/>
        <w:spacing w:after="0" w:line="272" w:lineRule="auto"/>
        <w:tabs>
          <w:tab w:leader="none" w:pos="1651" w:val="left"/>
        </w:tabs>
        <w:numPr>
          <w:ilvl w:val="2"/>
          <w:numId w:val="255"/>
        </w:numPr>
        <w:rPr>
          <w:rFonts w:ascii="Arial" w:cs="Arial" w:eastAsia="Arial" w:hAnsi="Arial"/>
          <w:sz w:val="17"/>
          <w:szCs w:val="17"/>
          <w:b w:val="1"/>
          <w:bCs w:val="1"/>
          <w:color w:val="auto"/>
        </w:rPr>
      </w:pPr>
      <w:r>
        <w:rPr>
          <w:rFonts w:ascii="Arial" w:cs="Arial" w:eastAsia="Arial" w:hAnsi="Arial"/>
          <w:sz w:val="17"/>
          <w:szCs w:val="17"/>
          <w:color w:val="auto"/>
        </w:rPr>
        <w:t>General.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77" w:lineRule="exact"/>
        <w:rPr>
          <w:rFonts w:ascii="Arial" w:cs="Arial" w:eastAsia="Arial" w:hAnsi="Arial"/>
          <w:sz w:val="17"/>
          <w:szCs w:val="17"/>
          <w:b w:val="1"/>
          <w:bCs w:val="1"/>
          <w:color w:val="auto"/>
        </w:rPr>
      </w:pPr>
    </w:p>
    <w:p>
      <w:pPr>
        <w:ind w:left="1704" w:hanging="272"/>
        <w:spacing w:after="0"/>
        <w:tabs>
          <w:tab w:leader="none" w:pos="1704" w:val="left"/>
        </w:tabs>
        <w:numPr>
          <w:ilvl w:val="2"/>
          <w:numId w:val="255"/>
        </w:numPr>
        <w:rPr>
          <w:rFonts w:ascii="Arial" w:cs="Arial" w:eastAsia="Arial" w:hAnsi="Arial"/>
          <w:sz w:val="16"/>
          <w:szCs w:val="16"/>
          <w:b w:val="1"/>
          <w:bCs w:val="1"/>
          <w:color w:val="auto"/>
        </w:rPr>
      </w:pPr>
      <w:r>
        <w:rPr>
          <w:rFonts w:ascii="Arial" w:cs="Arial" w:eastAsia="Arial" w:hAnsi="Arial"/>
          <w:sz w:val="16"/>
          <w:szCs w:val="16"/>
          <w:color w:val="auto"/>
        </w:rPr>
        <w:t>Rule 16b-3 Compliance. The Committee may consist solely of two or more Non-Employee Directors, in accordance with Rule</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16b-3.</w:t>
      </w:r>
    </w:p>
    <w:p>
      <w:pPr>
        <w:spacing w:after="0" w:line="206" w:lineRule="exact"/>
        <w:rPr>
          <w:rFonts w:ascii="Arial" w:cs="Arial" w:eastAsia="Arial" w:hAnsi="Arial"/>
          <w:sz w:val="16"/>
          <w:szCs w:val="16"/>
          <w:b w:val="1"/>
          <w:bCs w:val="1"/>
          <w:color w:val="auto"/>
        </w:rPr>
      </w:pPr>
    </w:p>
    <w:p>
      <w:pPr>
        <w:ind w:left="1264" w:hanging="273"/>
        <w:spacing w:after="0"/>
        <w:tabs>
          <w:tab w:leader="none" w:pos="1264" w:val="left"/>
        </w:tabs>
        <w:numPr>
          <w:ilvl w:val="1"/>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Delegation to an Officer</w:t>
      </w:r>
      <w:r>
        <w:rPr>
          <w:rFonts w:ascii="Arial" w:cs="Arial" w:eastAsia="Arial" w:hAnsi="Arial"/>
          <w:sz w:val="17"/>
          <w:szCs w:val="17"/>
          <w:color w:val="auto"/>
        </w:rPr>
        <w:t>. The Board may delegate to one (1) or more Officers the authority to do one or both of the following:</w:t>
      </w:r>
    </w:p>
    <w:p>
      <w:pPr>
        <w:spacing w:after="0" w:line="39" w:lineRule="exact"/>
        <w:rPr>
          <w:sz w:val="20"/>
          <w:szCs w:val="20"/>
          <w:color w:val="auto"/>
        </w:rPr>
      </w:pPr>
    </w:p>
    <w:p>
      <w:pPr>
        <w:ind w:left="4" w:right="60" w:hanging="4"/>
        <w:spacing w:after="0" w:line="288" w:lineRule="auto"/>
        <w:tabs>
          <w:tab w:leader="none" w:pos="21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designate 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provided, however,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13(x)(iii) below.</w:t>
      </w:r>
    </w:p>
    <w:p>
      <w:pPr>
        <w:spacing w:after="0" w:line="164" w:lineRule="exact"/>
        <w:rPr>
          <w:rFonts w:ascii="Arial" w:cs="Arial" w:eastAsia="Arial" w:hAnsi="Arial"/>
          <w:sz w:val="16"/>
          <w:szCs w:val="16"/>
          <w:color w:val="auto"/>
        </w:rPr>
      </w:pPr>
    </w:p>
    <w:p>
      <w:pPr>
        <w:ind w:left="4" w:right="160" w:firstLine="987"/>
        <w:spacing w:after="0" w:line="282" w:lineRule="auto"/>
        <w:tabs>
          <w:tab w:leader="none" w:pos="1240" w:val="left"/>
        </w:tabs>
        <w:numPr>
          <w:ilvl w:val="2"/>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will not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review by any person and will be final, binding and conclusive on all persons.</w:t>
      </w:r>
    </w:p>
    <w:p>
      <w:pPr>
        <w:spacing w:after="0" w:line="269" w:lineRule="exact"/>
        <w:rPr>
          <w:rFonts w:ascii="Arial" w:cs="Arial" w:eastAsia="Arial" w:hAnsi="Arial"/>
          <w:sz w:val="18"/>
          <w:szCs w:val="18"/>
          <w:b w:val="1"/>
          <w:bCs w:val="1"/>
          <w:color w:val="auto"/>
        </w:rPr>
      </w:pPr>
    </w:p>
    <w:p>
      <w:pPr>
        <w:ind w:left="624" w:hanging="184"/>
        <w:spacing w:after="0"/>
        <w:tabs>
          <w:tab w:leader="none" w:pos="624"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340" w:firstLine="1428"/>
        <w:spacing w:after="0" w:line="308" w:lineRule="auto"/>
        <w:tabs>
          <w:tab w:leader="none" w:pos="1651" w:val="left"/>
        </w:tabs>
        <w:numPr>
          <w:ilvl w:val="3"/>
          <w:numId w:val="257"/>
        </w:numPr>
        <w:rPr>
          <w:rFonts w:ascii="Arial" w:cs="Arial" w:eastAsia="Arial" w:hAnsi="Arial"/>
          <w:sz w:val="17"/>
          <w:szCs w:val="17"/>
          <w:b w:val="1"/>
          <w:bCs w:val="1"/>
          <w:color w:val="auto"/>
        </w:rPr>
      </w:pPr>
      <w:r>
        <w:rPr>
          <w:rFonts w:ascii="Arial" w:cs="Arial" w:eastAsia="Arial" w:hAnsi="Arial"/>
          <w:sz w:val="17"/>
          <w:szCs w:val="17"/>
          <w:color w:val="auto"/>
        </w:rPr>
        <w:t>Subject to Section 9(a) relating to Capitalization Adjustments, the aggregate number of shares of Common Stock that may be issued pursuant to Stock Awards from and after the Effective Date will not exceed 2,920,714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left="4" w:right="220" w:firstLine="1428"/>
        <w:spacing w:after="0" w:line="308" w:lineRule="auto"/>
        <w:tabs>
          <w:tab w:leader="none" w:pos="1701" w:val="left"/>
        </w:tabs>
        <w:numPr>
          <w:ilvl w:val="3"/>
          <w:numId w:val="257"/>
        </w:numPr>
        <w:rPr>
          <w:rFonts w:ascii="Arial" w:cs="Arial" w:eastAsia="Arial" w:hAnsi="Arial"/>
          <w:sz w:val="17"/>
          <w:szCs w:val="17"/>
          <w:b w:val="1"/>
          <w:bCs w:val="1"/>
          <w:color w:val="auto"/>
        </w:rPr>
      </w:pPr>
      <w:r>
        <w:rPr>
          <w:rFonts w:ascii="Arial" w:cs="Arial" w:eastAsia="Arial" w:hAnsi="Arial"/>
          <w:sz w:val="17"/>
          <w:szCs w:val="17"/>
          <w:color w:val="auto"/>
        </w:rPr>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47" w:name="page348"/>
    <w:bookmarkEnd w:id="347"/>
    <w:p>
      <w:pPr>
        <w:ind w:right="180" w:firstLine="1428"/>
        <w:spacing w:after="0" w:line="263" w:lineRule="auto"/>
        <w:tabs>
          <w:tab w:leader="none" w:pos="1747" w:val="left"/>
        </w:tabs>
        <w:numPr>
          <w:ilvl w:val="2"/>
          <w:numId w:val="25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79" w:lineRule="exact"/>
        <w:rPr>
          <w:rFonts w:ascii="Arial" w:cs="Arial" w:eastAsia="Arial" w:hAnsi="Arial"/>
          <w:sz w:val="18"/>
          <w:szCs w:val="18"/>
          <w:b w:val="1"/>
          <w:bCs w:val="1"/>
          <w:color w:val="auto"/>
        </w:rPr>
      </w:pPr>
    </w:p>
    <w:p>
      <w:pPr>
        <w:ind w:firstLine="987"/>
        <w:spacing w:after="0" w:line="292" w:lineRule="auto"/>
        <w:tabs>
          <w:tab w:leader="none" w:pos="1256" w:val="left"/>
        </w:tabs>
        <w:numPr>
          <w:ilvl w:val="1"/>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 Stock Award or any portion thereof (i) expires or otherwise terminates without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covered by such Stock Award having been issued or (ii) is settled in cash (i.e.,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1" w:lineRule="exact"/>
        <w:rPr>
          <w:rFonts w:ascii="Arial" w:cs="Arial" w:eastAsia="Arial" w:hAnsi="Arial"/>
          <w:sz w:val="16"/>
          <w:szCs w:val="16"/>
          <w:b w:val="1"/>
          <w:bCs w:val="1"/>
          <w:color w:val="auto"/>
        </w:rPr>
      </w:pPr>
    </w:p>
    <w:p>
      <w:pPr>
        <w:ind w:right="40" w:firstLine="987"/>
        <w:spacing w:after="0" w:line="266" w:lineRule="auto"/>
        <w:tabs>
          <w:tab w:leader="none" w:pos="1236"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w:t>
      </w:r>
      <w:r>
        <w:rPr>
          <w:rFonts w:ascii="Arial" w:cs="Arial" w:eastAsia="Arial" w:hAnsi="Arial"/>
          <w:sz w:val="18"/>
          <w:szCs w:val="18"/>
          <w:color w:val="auto"/>
        </w:rPr>
        <w:t>. Subject to the provisions of Section 9(a) relating to Capitalization Adjustments,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of Common Stock that may be issued out of the Share Reserve pursuant to the exercise of Incentive Stock Options will be a number of shares of Common Stock equal to two multiplied by the Share Reserve.</w:t>
      </w:r>
    </w:p>
    <w:p>
      <w:pPr>
        <w:spacing w:after="0" w:line="175" w:lineRule="exact"/>
        <w:rPr>
          <w:rFonts w:ascii="Arial" w:cs="Arial" w:eastAsia="Arial" w:hAnsi="Arial"/>
          <w:sz w:val="18"/>
          <w:szCs w:val="18"/>
          <w:b w:val="1"/>
          <w:bCs w:val="1"/>
          <w:color w:val="auto"/>
        </w:rPr>
      </w:pPr>
    </w:p>
    <w:p>
      <w:pPr>
        <w:ind w:right="400" w:firstLine="987"/>
        <w:spacing w:after="0" w:line="282" w:lineRule="auto"/>
        <w:tabs>
          <w:tab w:leader="none" w:pos="1256"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will be shares of Common Stock, including newly issued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shares of Common Stock repurchased by the Company on the open market or otherwise.</w:t>
      </w:r>
    </w:p>
    <w:p>
      <w:pPr>
        <w:spacing w:after="0" w:line="161" w:lineRule="exact"/>
        <w:rPr>
          <w:rFonts w:ascii="Arial" w:cs="Arial" w:eastAsia="Arial" w:hAnsi="Arial"/>
          <w:sz w:val="18"/>
          <w:szCs w:val="18"/>
          <w:b w:val="1"/>
          <w:bCs w:val="1"/>
          <w:color w:val="auto"/>
        </w:rPr>
      </w:pPr>
    </w:p>
    <w:p>
      <w:pPr>
        <w:ind w:right="40" w:firstLine="987"/>
        <w:spacing w:after="0" w:line="272" w:lineRule="auto"/>
        <w:tabs>
          <w:tab w:leader="none" w:pos="1236" w:val="left"/>
        </w:tabs>
        <w:numPr>
          <w:ilvl w:val="1"/>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settled in Shares. </w:t>
      </w:r>
      <w:r>
        <w:rPr>
          <w:rFonts w:ascii="Arial" w:cs="Arial" w:eastAsia="Arial" w:hAnsi="Arial"/>
          <w:sz w:val="17"/>
          <w:szCs w:val="17"/>
          <w:color w:val="auto"/>
        </w:rPr>
        <w:t>To the extent permitted by law, the nominal value of any newly issued Shares pursuant to Stock Awards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paid up to the charge of the Company’s reserves, at the discretion of the Board. Any issue or transfer of shares of Common Stock Shares pursuant to the Plan shall be (i) subject to the Participant having acceded to any agreement between the holders of shares of Common Stock in effect at the time of the issue or transfer of shares of Common Stock Shares and (ii) effected by means of a notarial deed to which the Participant and the Company are a party, to be executed before a Dutch civil law notary. For these purposes, Participants will be held to submit a duly legalized power of attorney to such civil law notary, along with any further (know your customer) information (e.g. copies of valid passports) the civil law notary may require in connection with his or her services (all without prejudice to any additional powers of attorney to be included in the Award Agreements, which the Board may consider useful, necessary or conducive for the operation of the Plan).</w:t>
      </w:r>
    </w:p>
    <w:p>
      <w:pPr>
        <w:spacing w:after="0" w:line="279" w:lineRule="exact"/>
        <w:rPr>
          <w:rFonts w:ascii="Arial" w:cs="Arial" w:eastAsia="Arial" w:hAnsi="Arial"/>
          <w:sz w:val="17"/>
          <w:szCs w:val="17"/>
          <w:b w:val="1"/>
          <w:bCs w:val="1"/>
          <w:color w:val="auto"/>
        </w:rPr>
      </w:pPr>
    </w:p>
    <w:p>
      <w:pPr>
        <w:ind w:left="620" w:hanging="184"/>
        <w:spacing w:after="0"/>
        <w:tabs>
          <w:tab w:leader="none" w:pos="62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60" w:firstLine="987"/>
        <w:spacing w:after="0" w:line="291" w:lineRule="auto"/>
        <w:tabs>
          <w:tab w:leader="none" w:pos="1246" w:val="left"/>
        </w:tabs>
        <w:numPr>
          <w:ilvl w:val="1"/>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59" w:lineRule="exact"/>
        <w:rPr>
          <w:rFonts w:ascii="Arial" w:cs="Arial" w:eastAsia="Arial" w:hAnsi="Arial"/>
          <w:sz w:val="16"/>
          <w:szCs w:val="16"/>
          <w:b w:val="1"/>
          <w:bCs w:val="1"/>
          <w:color w:val="auto"/>
        </w:rPr>
      </w:pPr>
    </w:p>
    <w:p>
      <w:pPr>
        <w:ind w:right="40" w:firstLine="987"/>
        <w:spacing w:after="0" w:line="266" w:lineRule="auto"/>
        <w:tabs>
          <w:tab w:leader="none" w:pos="1256" w:val="left"/>
        </w:tabs>
        <w:numPr>
          <w:ilvl w:val="1"/>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Shareholders</w:t>
      </w:r>
      <w:r>
        <w:rPr>
          <w:rFonts w:ascii="Arial" w:cs="Arial" w:eastAsia="Arial" w:hAnsi="Arial"/>
          <w:sz w:val="18"/>
          <w:szCs w:val="18"/>
          <w:color w:val="auto"/>
        </w:rPr>
        <w:t>. A Ten Percent Shareholder will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one hundred ten percent (110%) of the Fair Market Value on the date of grant and the Option is not exercisable after the expiration of five (5) years from the date of grant.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48" w:name="page349"/>
    <w:bookmarkEnd w:id="348"/>
    <w:p>
      <w:pPr>
        <w:ind w:left="620" w:hanging="184"/>
        <w:spacing w:after="0"/>
        <w:tabs>
          <w:tab w:leader="none" w:pos="62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Award Agreement will conform to (through incorporation of provisions hereof by reference in the applicable Stock Award Agreement or otherwise) the substance of each of the following provisions:</w:t>
      </w:r>
    </w:p>
    <w:p>
      <w:pPr>
        <w:spacing w:after="0" w:line="54" w:lineRule="exact"/>
        <w:rPr>
          <w:sz w:val="20"/>
          <w:szCs w:val="20"/>
          <w:color w:val="auto"/>
        </w:rPr>
      </w:pPr>
    </w:p>
    <w:p>
      <w:pPr>
        <w:ind w:right="260" w:firstLine="987"/>
        <w:spacing w:after="0" w:line="312" w:lineRule="auto"/>
        <w:tabs>
          <w:tab w:leader="none" w:pos="1246"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4(b) regarding Ten Percent Shareholders, no Option or SAR will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ten (10) years from the date of its grant or such shorter period specified in the Stock Award Agreement.</w:t>
      </w:r>
    </w:p>
    <w:p>
      <w:pPr>
        <w:spacing w:after="0" w:line="139" w:lineRule="exact"/>
        <w:rPr>
          <w:rFonts w:ascii="Arial" w:cs="Arial" w:eastAsia="Arial" w:hAnsi="Arial"/>
          <w:sz w:val="17"/>
          <w:szCs w:val="17"/>
          <w:b w:val="1"/>
          <w:bCs w:val="1"/>
          <w:color w:val="auto"/>
        </w:rPr>
      </w:pPr>
    </w:p>
    <w:p>
      <w:pPr>
        <w:ind w:right="220" w:firstLine="987"/>
        <w:spacing w:after="0" w:line="255" w:lineRule="auto"/>
        <w:tabs>
          <w:tab w:leader="none" w:pos="1256"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Subject to the provisions of Section 4(b) regarding Ten Percent Shareholders, the exercise or strike price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or SAR will be not less than one hundred percent (100%) of the Fair Market Value of the Common Stock subject to the Option or SAR on the date the Stock Award is granted. Notwithstanding the foregoing, an Option or SAR may be granted with an exercise or strike price lower than one hundred percent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88" w:lineRule="exact"/>
        <w:rPr>
          <w:rFonts w:ascii="Arial" w:cs="Arial" w:eastAsia="Arial" w:hAnsi="Arial"/>
          <w:sz w:val="18"/>
          <w:szCs w:val="18"/>
          <w:b w:val="1"/>
          <w:bCs w:val="1"/>
          <w:color w:val="auto"/>
        </w:rPr>
      </w:pPr>
    </w:p>
    <w:p>
      <w:pPr>
        <w:ind w:firstLine="987"/>
        <w:spacing w:after="0" w:line="258" w:lineRule="auto"/>
        <w:tabs>
          <w:tab w:leader="none" w:pos="1236"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for Options</w:t>
      </w:r>
      <w:r>
        <w:rPr>
          <w:rFonts w:ascii="Arial" w:cs="Arial" w:eastAsia="Arial" w:hAnsi="Arial"/>
          <w:sz w:val="18"/>
          <w:szCs w:val="18"/>
          <w:color w:val="auto"/>
        </w:rPr>
        <w:t>. The purchase price of Common Stock acquired pursuant to the exercise of an Option may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79" w:lineRule="exact"/>
        <w:rPr>
          <w:rFonts w:ascii="Arial" w:cs="Arial" w:eastAsia="Arial" w:hAnsi="Arial"/>
          <w:sz w:val="18"/>
          <w:szCs w:val="18"/>
          <w:b w:val="1"/>
          <w:bCs w:val="1"/>
          <w:color w:val="auto"/>
        </w:rPr>
      </w:pPr>
    </w:p>
    <w:p>
      <w:pPr>
        <w:ind w:left="1640" w:hanging="212"/>
        <w:spacing w:after="0"/>
        <w:tabs>
          <w:tab w:leader="none" w:pos="1640"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5" w:lineRule="exact"/>
        <w:rPr>
          <w:rFonts w:ascii="Arial" w:cs="Arial" w:eastAsia="Arial" w:hAnsi="Arial"/>
          <w:sz w:val="18"/>
          <w:szCs w:val="18"/>
          <w:b w:val="1"/>
          <w:bCs w:val="1"/>
          <w:color w:val="auto"/>
        </w:rPr>
      </w:pPr>
    </w:p>
    <w:p>
      <w:pPr>
        <w:ind w:right="60" w:firstLine="1428"/>
        <w:spacing w:after="0" w:line="263" w:lineRule="auto"/>
        <w:tabs>
          <w:tab w:leader="none" w:pos="1697"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3" w:lineRule="exact"/>
        <w:rPr>
          <w:rFonts w:ascii="Arial" w:cs="Arial" w:eastAsia="Arial" w:hAnsi="Arial"/>
          <w:sz w:val="18"/>
          <w:szCs w:val="18"/>
          <w:b w:val="1"/>
          <w:bCs w:val="1"/>
          <w:color w:val="auto"/>
        </w:rPr>
      </w:pPr>
    </w:p>
    <w:p>
      <w:pPr>
        <w:ind w:left="1740" w:hanging="312"/>
        <w:spacing w:after="0"/>
        <w:tabs>
          <w:tab w:leader="none" w:pos="1740"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5" w:lineRule="exact"/>
        <w:rPr>
          <w:rFonts w:ascii="Arial" w:cs="Arial" w:eastAsia="Arial" w:hAnsi="Arial"/>
          <w:sz w:val="18"/>
          <w:szCs w:val="18"/>
          <w:b w:val="1"/>
          <w:bCs w:val="1"/>
          <w:color w:val="auto"/>
        </w:rPr>
      </w:pPr>
    </w:p>
    <w:p>
      <w:pPr>
        <w:ind w:right="140" w:firstLine="1428"/>
        <w:spacing w:after="0" w:line="254" w:lineRule="auto"/>
        <w:tabs>
          <w:tab w:leader="none" w:pos="1737"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349" w:name="page350"/>
    <w:bookmarkEnd w:id="349"/>
    <w:p>
      <w:pPr>
        <w:ind w:left="1680" w:hanging="252"/>
        <w:spacing w:after="0"/>
        <w:tabs>
          <w:tab w:leader="none" w:pos="168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other form of legal consideration that may be acceptable to the Board and specified in the applicable Stock Award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right="20" w:firstLine="987"/>
        <w:spacing w:after="0" w:line="254" w:lineRule="auto"/>
        <w:tabs>
          <w:tab w:leader="none" w:pos="1256"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Payment of a SAR</w:t>
      </w:r>
      <w:r>
        <w:rPr>
          <w:rFonts w:ascii="Arial" w:cs="Arial" w:eastAsia="Arial" w:hAnsi="Arial"/>
          <w:sz w:val="18"/>
          <w:szCs w:val="18"/>
          <w:color w:val="auto"/>
        </w:rPr>
        <w:t>. To exercise any outstanding SAR, the Participant must provide written notice of exercise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91" w:lineRule="exact"/>
        <w:rPr>
          <w:rFonts w:ascii="Arial" w:cs="Arial" w:eastAsia="Arial" w:hAnsi="Arial"/>
          <w:sz w:val="18"/>
          <w:szCs w:val="18"/>
          <w:b w:val="1"/>
          <w:bCs w:val="1"/>
          <w:color w:val="auto"/>
        </w:rPr>
      </w:pPr>
    </w:p>
    <w:p>
      <w:pPr>
        <w:ind w:right="60" w:firstLine="987"/>
        <w:spacing w:after="0" w:line="266" w:lineRule="auto"/>
        <w:tabs>
          <w:tab w:leader="none" w:pos="1236"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of Options and SARs</w:t>
      </w:r>
      <w:r>
        <w:rPr>
          <w:rFonts w:ascii="Arial" w:cs="Arial" w:eastAsia="Arial" w:hAnsi="Arial"/>
          <w:sz w:val="18"/>
          <w:szCs w:val="18"/>
          <w:color w:val="auto"/>
        </w:rPr>
        <w:t>. The Board may, in its sole discretion, impose such limitations on the transferability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SARs as the Board will determine. In the absence of such a determination by the Board to the contrary, the following restrictions on the transferability of Options and SARs will apply:</w:t>
      </w:r>
    </w:p>
    <w:p>
      <w:pPr>
        <w:spacing w:after="0" w:line="71" w:lineRule="exact"/>
        <w:rPr>
          <w:rFonts w:ascii="Arial" w:cs="Arial" w:eastAsia="Arial" w:hAnsi="Arial"/>
          <w:sz w:val="18"/>
          <w:szCs w:val="18"/>
          <w:b w:val="1"/>
          <w:bCs w:val="1"/>
          <w:color w:val="auto"/>
        </w:rPr>
      </w:pPr>
    </w:p>
    <w:p>
      <w:pPr>
        <w:ind w:right="80" w:firstLine="1428"/>
        <w:spacing w:after="0" w:line="259" w:lineRule="auto"/>
        <w:tabs>
          <w:tab w:leader="none" w:pos="1647"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Restrictions on Transfer. 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86" w:lineRule="exact"/>
        <w:rPr>
          <w:rFonts w:ascii="Arial" w:cs="Arial" w:eastAsia="Arial" w:hAnsi="Arial"/>
          <w:sz w:val="18"/>
          <w:szCs w:val="18"/>
          <w:b w:val="1"/>
          <w:bCs w:val="1"/>
          <w:color w:val="auto"/>
        </w:rPr>
      </w:pPr>
    </w:p>
    <w:p>
      <w:pPr>
        <w:jc w:val="both"/>
        <w:ind w:right="400" w:firstLine="1428"/>
        <w:spacing w:after="0" w:line="259" w:lineRule="auto"/>
        <w:tabs>
          <w:tab w:leader="none" w:pos="1697"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Domestic Relations Orders. Subject to the approval of the Board or a duly authorized Officer, an Option or SAR may be transferred 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86" w:lineRule="exact"/>
        <w:rPr>
          <w:rFonts w:ascii="Arial" w:cs="Arial" w:eastAsia="Arial" w:hAnsi="Arial"/>
          <w:sz w:val="18"/>
          <w:szCs w:val="18"/>
          <w:b w:val="1"/>
          <w:bCs w:val="1"/>
          <w:color w:val="auto"/>
        </w:rPr>
      </w:pPr>
    </w:p>
    <w:p>
      <w:pPr>
        <w:ind w:firstLine="1428"/>
        <w:spacing w:after="0" w:line="254" w:lineRule="auto"/>
        <w:tabs>
          <w:tab w:leader="none" w:pos="1747"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Beneficiary Designation. Subject to the approval of the Board or a duly authorized Officer, a Participant 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90" w:lineRule="exact"/>
        <w:rPr>
          <w:rFonts w:ascii="Arial" w:cs="Arial" w:eastAsia="Arial" w:hAnsi="Arial"/>
          <w:sz w:val="18"/>
          <w:szCs w:val="18"/>
          <w:b w:val="1"/>
          <w:bCs w:val="1"/>
          <w:color w:val="auto"/>
        </w:rPr>
      </w:pPr>
    </w:p>
    <w:p>
      <w:pPr>
        <w:ind w:right="140" w:firstLine="987"/>
        <w:spacing w:after="0" w:line="277" w:lineRule="auto"/>
        <w:tabs>
          <w:tab w:leader="none" w:pos="1216"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The total number of shares of Common Stock subject to an Option or SAR may vest and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50" w:name="page351"/>
    <w:bookmarkEnd w:id="350"/>
    <w:p>
      <w:pPr>
        <w:ind w:right="100" w:firstLine="987"/>
        <w:spacing w:after="0" w:line="292" w:lineRule="auto"/>
        <w:tabs>
          <w:tab w:leader="none" w:pos="1246" w:val="left"/>
        </w:tabs>
        <w:numPr>
          <w:ilvl w:val="0"/>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Continuous Service</w:t>
      </w:r>
      <w:r>
        <w:rPr>
          <w:rFonts w:ascii="Arial" w:cs="Arial" w:eastAsia="Arial" w:hAnsi="Arial"/>
          <w:sz w:val="16"/>
          <w:szCs w:val="16"/>
          <w:color w:val="auto"/>
        </w:rPr>
        <w:t>. Except as otherwise provided in the applicable Stock Award Agreement or other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(3) months following the termination of the Participant’s Continuous Service (or such longer or shorter period specified in the applicable Stock Award Agreement,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61" w:lineRule="exact"/>
        <w:rPr>
          <w:rFonts w:ascii="Arial" w:cs="Arial" w:eastAsia="Arial" w:hAnsi="Arial"/>
          <w:sz w:val="16"/>
          <w:szCs w:val="16"/>
          <w:b w:val="1"/>
          <w:bCs w:val="1"/>
          <w:color w:val="auto"/>
        </w:rPr>
      </w:pPr>
    </w:p>
    <w:p>
      <w:pPr>
        <w:ind w:firstLine="987"/>
        <w:spacing w:after="0" w:line="269" w:lineRule="auto"/>
        <w:tabs>
          <w:tab w:leader="none" w:pos="1256"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If the exercise of an Option or SAR following the termination of the Participant’s Continuous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178" w:lineRule="exact"/>
        <w:rPr>
          <w:rFonts w:ascii="Arial" w:cs="Arial" w:eastAsia="Arial" w:hAnsi="Arial"/>
          <w:sz w:val="17"/>
          <w:szCs w:val="17"/>
          <w:b w:val="1"/>
          <w:bCs w:val="1"/>
          <w:color w:val="auto"/>
        </w:rPr>
      </w:pPr>
    </w:p>
    <w:p>
      <w:pPr>
        <w:ind w:right="120" w:firstLine="987"/>
        <w:spacing w:after="0" w:line="255" w:lineRule="auto"/>
        <w:tabs>
          <w:tab w:leader="none" w:pos="1206"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 of Participant</w:t>
      </w:r>
      <w:r>
        <w:rPr>
          <w:rFonts w:ascii="Arial" w:cs="Arial" w:eastAsia="Arial" w:hAnsi="Arial"/>
          <w:sz w:val="18"/>
          <w:szCs w:val="18"/>
          <w:color w:val="auto"/>
        </w:rPr>
        <w:t>. 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88" w:lineRule="exact"/>
        <w:rPr>
          <w:rFonts w:ascii="Arial" w:cs="Arial" w:eastAsia="Arial" w:hAnsi="Arial"/>
          <w:sz w:val="18"/>
          <w:szCs w:val="18"/>
          <w:b w:val="1"/>
          <w:bCs w:val="1"/>
          <w:color w:val="auto"/>
        </w:rPr>
      </w:pPr>
    </w:p>
    <w:p>
      <w:pPr>
        <w:ind w:right="60" w:firstLine="987"/>
        <w:spacing w:after="0" w:line="271" w:lineRule="auto"/>
        <w:tabs>
          <w:tab w:leader="none" w:pos="1216"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Death of Participant</w:t>
      </w:r>
      <w:r>
        <w:rPr>
          <w:rFonts w:ascii="Arial" w:cs="Arial" w:eastAsia="Arial" w:hAnsi="Arial"/>
          <w:sz w:val="17"/>
          <w:szCs w:val="17"/>
          <w:color w:val="auto"/>
        </w:rPr>
        <w:t>. 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Stock Award Agreement),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73" w:lineRule="exact"/>
        <w:rPr>
          <w:rFonts w:ascii="Arial" w:cs="Arial" w:eastAsia="Arial" w:hAnsi="Arial"/>
          <w:sz w:val="17"/>
          <w:szCs w:val="17"/>
          <w:b w:val="1"/>
          <w:bCs w:val="1"/>
          <w:color w:val="auto"/>
        </w:rPr>
      </w:pPr>
    </w:p>
    <w:p>
      <w:pPr>
        <w:ind w:right="80" w:firstLine="987"/>
        <w:spacing w:after="0" w:line="261" w:lineRule="auto"/>
        <w:tabs>
          <w:tab w:leader="none" w:pos="1256"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Except as explicitly provided otherwise in a Participant’s Stock Award Agreement or other individual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351" w:name="page352"/>
    <w:bookmarkEnd w:id="351"/>
    <w:p>
      <w:pPr>
        <w:ind w:left="4" w:right="100" w:firstLine="987"/>
        <w:spacing w:after="0" w:line="285" w:lineRule="auto"/>
        <w:tabs>
          <w:tab w:leader="none" w:pos="1210" w:val="left"/>
        </w:tabs>
        <w:numPr>
          <w:ilvl w:val="2"/>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Non-Exempt Employees</w:t>
      </w:r>
      <w:r>
        <w:rPr>
          <w:rFonts w:ascii="Arial" w:cs="Arial" w:eastAsia="Arial" w:hAnsi="Arial"/>
          <w:sz w:val="16"/>
          <w:szCs w:val="16"/>
          <w:color w:val="auto"/>
        </w:rPr>
        <w:t>. If an Option or SAR is granted to an Employee who is a non-exempt employee for purposes of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Labor Standards Act of 1938, as amended, the Option or SAR will not be first exercisable for any shares of Common Stock until at least six (6)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w:t>
      </w:r>
    </w:p>
    <w:p>
      <w:pPr>
        <w:ind w:left="4" w:right="140" w:hanging="4"/>
        <w:spacing w:after="0" w:line="271" w:lineRule="auto"/>
        <w:tabs>
          <w:tab w:leader="none" w:pos="259" w:val="left"/>
        </w:tabs>
        <w:numPr>
          <w:ilvl w:val="0"/>
          <w:numId w:val="267"/>
        </w:numPr>
        <w:rPr>
          <w:rFonts w:ascii="Arial" w:cs="Arial" w:eastAsia="Arial" w:hAnsi="Arial"/>
          <w:sz w:val="17"/>
          <w:szCs w:val="17"/>
          <w:color w:val="auto"/>
        </w:rPr>
      </w:pPr>
      <w:r>
        <w:rPr>
          <w:rFonts w:ascii="Arial" w:cs="Arial" w:eastAsia="Arial" w:hAnsi="Arial"/>
          <w:sz w:val="17"/>
          <w:szCs w:val="17"/>
          <w:color w:val="auto"/>
        </w:rPr>
        <w:t>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282" w:lineRule="exact"/>
        <w:rPr>
          <w:rFonts w:ascii="Arial" w:cs="Arial" w:eastAsia="Arial" w:hAnsi="Arial"/>
          <w:sz w:val="17"/>
          <w:szCs w:val="17"/>
          <w:color w:val="auto"/>
        </w:rPr>
      </w:pPr>
    </w:p>
    <w:p>
      <w:pPr>
        <w:ind w:left="624" w:hanging="184"/>
        <w:spacing w:after="0"/>
        <w:tabs>
          <w:tab w:leader="none" w:pos="624"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SARS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firstLine="987"/>
        <w:spacing w:after="0" w:line="273" w:lineRule="auto"/>
        <w:tabs>
          <w:tab w:leader="none" w:pos="1250" w:val="left"/>
        </w:tabs>
        <w:numPr>
          <w:ilvl w:val="2"/>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r>
        <w:rPr>
          <w:rFonts w:ascii="Arial" w:cs="Arial" w:eastAsia="Arial" w:hAnsi="Arial"/>
          <w:sz w:val="17"/>
          <w:szCs w:val="17"/>
          <w:color w:val="auto"/>
        </w:rPr>
        <w:t>. Each Restricted Stock Award Agreement will be in such form and will contain such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67" w:lineRule="exact"/>
        <w:rPr>
          <w:rFonts w:ascii="Arial" w:cs="Arial" w:eastAsia="Arial" w:hAnsi="Arial"/>
          <w:sz w:val="17"/>
          <w:szCs w:val="17"/>
          <w:b w:val="1"/>
          <w:bCs w:val="1"/>
          <w:color w:val="auto"/>
        </w:rPr>
      </w:pPr>
    </w:p>
    <w:p>
      <w:pPr>
        <w:ind w:left="4" w:right="340" w:firstLine="1428"/>
        <w:spacing w:after="0" w:line="263" w:lineRule="auto"/>
        <w:tabs>
          <w:tab w:leader="none" w:pos="1651" w:val="left"/>
        </w:tabs>
        <w:numPr>
          <w:ilvl w:val="3"/>
          <w:numId w:val="267"/>
        </w:numPr>
        <w:rPr>
          <w:rFonts w:ascii="Arial" w:cs="Arial" w:eastAsia="Arial" w:hAnsi="Arial"/>
          <w:sz w:val="18"/>
          <w:szCs w:val="18"/>
          <w:b w:val="1"/>
          <w:bCs w:val="1"/>
          <w:color w:val="auto"/>
        </w:rPr>
      </w:pPr>
      <w:r>
        <w:rPr>
          <w:rFonts w:ascii="Arial" w:cs="Arial" w:eastAsia="Arial" w:hAnsi="Arial"/>
          <w:sz w:val="18"/>
          <w:szCs w:val="18"/>
          <w:color w:val="auto"/>
        </w:rPr>
        <w:t>Consideration. A Restricted Stock Award may be awarded in consideration for (A) cash, check, bank draft or money order payable to the Company, (B) past services to the Company or an Affiliate, or (C) any other form of legal consideration that may be acceptable to the Board, in its sole discretion, and permissible under applicable law.</w:t>
      </w:r>
    </w:p>
    <w:p>
      <w:pPr>
        <w:spacing w:after="0" w:line="183" w:lineRule="exact"/>
        <w:rPr>
          <w:rFonts w:ascii="Arial" w:cs="Arial" w:eastAsia="Arial" w:hAnsi="Arial"/>
          <w:sz w:val="18"/>
          <w:szCs w:val="18"/>
          <w:b w:val="1"/>
          <w:bCs w:val="1"/>
          <w:color w:val="auto"/>
        </w:rPr>
      </w:pPr>
    </w:p>
    <w:p>
      <w:pPr>
        <w:ind w:left="4" w:right="380" w:firstLine="1428"/>
        <w:spacing w:after="0" w:line="277" w:lineRule="auto"/>
        <w:tabs>
          <w:tab w:leader="none" w:pos="1701" w:val="left"/>
        </w:tabs>
        <w:numPr>
          <w:ilvl w:val="3"/>
          <w:numId w:val="267"/>
        </w:numPr>
        <w:rPr>
          <w:rFonts w:ascii="Arial" w:cs="Arial" w:eastAsia="Arial" w:hAnsi="Arial"/>
          <w:sz w:val="18"/>
          <w:szCs w:val="18"/>
          <w:b w:val="1"/>
          <w:bCs w:val="1"/>
          <w:color w:val="auto"/>
        </w:rPr>
      </w:pPr>
      <w:r>
        <w:rPr>
          <w:rFonts w:ascii="Arial" w:cs="Arial" w:eastAsia="Arial" w:hAnsi="Arial"/>
          <w:sz w:val="18"/>
          <w:szCs w:val="18"/>
          <w:color w:val="auto"/>
        </w:rPr>
        <w:t>Vesting. Shares of Common Stock awarded under the Restricted Stock Award Agreement may be subject to forfeiture to the Company in accordance with a vesting schedule to be determined by the Board.</w:t>
      </w:r>
    </w:p>
    <w:p>
      <w:pPr>
        <w:spacing w:after="0" w:line="170" w:lineRule="exact"/>
        <w:rPr>
          <w:rFonts w:ascii="Arial" w:cs="Arial" w:eastAsia="Arial" w:hAnsi="Arial"/>
          <w:sz w:val="18"/>
          <w:szCs w:val="18"/>
          <w:b w:val="1"/>
          <w:bCs w:val="1"/>
          <w:color w:val="auto"/>
        </w:rPr>
      </w:pPr>
    </w:p>
    <w:p>
      <w:pPr>
        <w:jc w:val="both"/>
        <w:ind w:left="4" w:right="280" w:firstLine="1428"/>
        <w:spacing w:after="0" w:line="263" w:lineRule="auto"/>
        <w:tabs>
          <w:tab w:leader="none" w:pos="1751" w:val="left"/>
        </w:tabs>
        <w:numPr>
          <w:ilvl w:val="3"/>
          <w:numId w:val="267"/>
        </w:numPr>
        <w:rPr>
          <w:rFonts w:ascii="Arial" w:cs="Arial" w:eastAsia="Arial" w:hAnsi="Arial"/>
          <w:sz w:val="18"/>
          <w:szCs w:val="18"/>
          <w:b w:val="1"/>
          <w:bCs w:val="1"/>
          <w:color w:val="auto"/>
        </w:rPr>
      </w:pPr>
      <w:r>
        <w:rPr>
          <w:rFonts w:ascii="Arial" w:cs="Arial" w:eastAsia="Arial" w:hAnsi="Arial"/>
          <w:sz w:val="18"/>
          <w:szCs w:val="18"/>
          <w:color w:val="auto"/>
        </w:rPr>
        <w:t>Termination of Participant’s Continuous Service. If a Participant’s Continuous Service terminates, the Company may receive through a forfeiture condition or a repurchase right, any or all of the shares of Common Stock held by the Participant as of the date of termination of Continuous Service under the terms of the Restricted Stock Award Agreement.</w:t>
      </w:r>
    </w:p>
    <w:p>
      <w:pPr>
        <w:spacing w:after="0" w:line="183" w:lineRule="exact"/>
        <w:rPr>
          <w:rFonts w:ascii="Arial" w:cs="Arial" w:eastAsia="Arial" w:hAnsi="Arial"/>
          <w:sz w:val="18"/>
          <w:szCs w:val="18"/>
          <w:b w:val="1"/>
          <w:bCs w:val="1"/>
          <w:color w:val="auto"/>
        </w:rPr>
      </w:pPr>
    </w:p>
    <w:p>
      <w:pPr>
        <w:ind w:left="4" w:right="60" w:firstLine="1428"/>
        <w:spacing w:after="0" w:line="259" w:lineRule="auto"/>
        <w:tabs>
          <w:tab w:leader="none" w:pos="1741" w:val="left"/>
        </w:tabs>
        <w:numPr>
          <w:ilvl w:val="3"/>
          <w:numId w:val="267"/>
        </w:numPr>
        <w:rPr>
          <w:rFonts w:ascii="Arial" w:cs="Arial" w:eastAsia="Arial" w:hAnsi="Arial"/>
          <w:sz w:val="18"/>
          <w:szCs w:val="18"/>
          <w:b w:val="1"/>
          <w:bCs w:val="1"/>
          <w:color w:val="auto"/>
        </w:rPr>
      </w:pPr>
      <w:r>
        <w:rPr>
          <w:rFonts w:ascii="Arial" w:cs="Arial" w:eastAsia="Arial" w:hAnsi="Arial"/>
          <w:sz w:val="18"/>
          <w:szCs w:val="18"/>
          <w:color w:val="auto"/>
        </w:rPr>
        <w:t>Transferability. 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352" w:name="page353"/>
    <w:bookmarkEnd w:id="352"/>
    <w:p>
      <w:pPr>
        <w:ind w:right="100" w:firstLine="1428"/>
        <w:spacing w:after="0" w:line="277" w:lineRule="auto"/>
        <w:tabs>
          <w:tab w:leader="none" w:pos="1687" w:val="left"/>
        </w:tabs>
        <w:numPr>
          <w:ilvl w:val="1"/>
          <w:numId w:val="2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 A Restricted Stock Award Agreement may provide that any dividends paid on Restricted Stock will be subject to the same vesting and forfeiture restrictions as apply to the shares subject to the Restricted Stock Award to which they relate.</w:t>
      </w:r>
    </w:p>
    <w:p>
      <w:pPr>
        <w:spacing w:after="0" w:line="166" w:lineRule="exact"/>
        <w:rPr>
          <w:rFonts w:ascii="Arial" w:cs="Arial" w:eastAsia="Arial" w:hAnsi="Arial"/>
          <w:sz w:val="18"/>
          <w:szCs w:val="18"/>
          <w:b w:val="1"/>
          <w:bCs w:val="1"/>
          <w:color w:val="auto"/>
        </w:rPr>
      </w:pPr>
    </w:p>
    <w:p>
      <w:pPr>
        <w:ind w:right="120" w:firstLine="987"/>
        <w:spacing w:after="0" w:line="258" w:lineRule="auto"/>
        <w:tabs>
          <w:tab w:leader="none" w:pos="1256"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 Awards</w:t>
      </w:r>
      <w:r>
        <w:rPr>
          <w:rFonts w:ascii="Arial" w:cs="Arial" w:eastAsia="Arial" w:hAnsi="Arial"/>
          <w:sz w:val="18"/>
          <w:szCs w:val="18"/>
          <w:color w:val="auto"/>
        </w:rPr>
        <w:t>. 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79" w:lineRule="exact"/>
        <w:rPr>
          <w:rFonts w:ascii="Arial" w:cs="Arial" w:eastAsia="Arial" w:hAnsi="Arial"/>
          <w:sz w:val="18"/>
          <w:szCs w:val="18"/>
          <w:b w:val="1"/>
          <w:bCs w:val="1"/>
          <w:color w:val="auto"/>
        </w:rPr>
      </w:pPr>
    </w:p>
    <w:p>
      <w:pPr>
        <w:ind w:right="40" w:firstLine="1428"/>
        <w:spacing w:after="0" w:line="259" w:lineRule="auto"/>
        <w:tabs>
          <w:tab w:leader="none" w:pos="1647"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Consideration.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7" w:lineRule="exact"/>
        <w:rPr>
          <w:sz w:val="20"/>
          <w:szCs w:val="20"/>
          <w:color w:val="auto"/>
        </w:rPr>
      </w:pPr>
    </w:p>
    <w:p>
      <w:pPr>
        <w:ind w:right="220" w:firstLine="1428"/>
        <w:spacing w:after="0" w:line="277" w:lineRule="auto"/>
        <w:tabs>
          <w:tab w:leader="none" w:pos="1697"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Vesting. At the time of the grant of a Restricted Stock Unit Award, the Board may impose such restrictions on or conditions to the vesting of the Restricted Stock Unit Award as it, in its sole discretion, deems appropriate.</w:t>
      </w:r>
    </w:p>
    <w:p>
      <w:pPr>
        <w:spacing w:after="0" w:line="170" w:lineRule="exact"/>
        <w:rPr>
          <w:rFonts w:ascii="Arial" w:cs="Arial" w:eastAsia="Arial" w:hAnsi="Arial"/>
          <w:sz w:val="18"/>
          <w:szCs w:val="18"/>
          <w:b w:val="1"/>
          <w:bCs w:val="1"/>
          <w:color w:val="auto"/>
        </w:rPr>
      </w:pPr>
    </w:p>
    <w:p>
      <w:pPr>
        <w:ind w:right="100" w:firstLine="1428"/>
        <w:spacing w:after="0" w:line="342" w:lineRule="auto"/>
        <w:tabs>
          <w:tab w:leader="none" w:pos="1747"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Payment. A Restricted Stock Unit Award may be settled by the delivery of shares of Common Stock, their cash equivalent, any combination thereof or in any other form of consideration, as determined by the Board and contained in the Restricted Stock Unit Award Agreement.</w:t>
      </w:r>
    </w:p>
    <w:p>
      <w:pPr>
        <w:spacing w:after="0" w:line="123" w:lineRule="exact"/>
        <w:rPr>
          <w:rFonts w:ascii="Arial" w:cs="Arial" w:eastAsia="Arial" w:hAnsi="Arial"/>
          <w:sz w:val="16"/>
          <w:szCs w:val="16"/>
          <w:b w:val="1"/>
          <w:bCs w:val="1"/>
          <w:color w:val="auto"/>
        </w:rPr>
      </w:pPr>
    </w:p>
    <w:p>
      <w:pPr>
        <w:ind w:firstLine="1428"/>
        <w:spacing w:after="0" w:line="263" w:lineRule="auto"/>
        <w:tabs>
          <w:tab w:leader="none" w:pos="1737"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Additional Restrictions. 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183" w:lineRule="exact"/>
        <w:rPr>
          <w:rFonts w:ascii="Arial" w:cs="Arial" w:eastAsia="Arial" w:hAnsi="Arial"/>
          <w:sz w:val="18"/>
          <w:szCs w:val="18"/>
          <w:b w:val="1"/>
          <w:bCs w:val="1"/>
          <w:color w:val="auto"/>
        </w:rPr>
      </w:pPr>
    </w:p>
    <w:p>
      <w:pPr>
        <w:ind w:right="200" w:firstLine="1428"/>
        <w:spacing w:after="0" w:line="296" w:lineRule="auto"/>
        <w:tabs>
          <w:tab w:leader="none" w:pos="1687"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Dividend Equivalents. 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61" w:lineRule="exact"/>
        <w:rPr>
          <w:rFonts w:ascii="Arial" w:cs="Arial" w:eastAsia="Arial" w:hAnsi="Arial"/>
          <w:sz w:val="16"/>
          <w:szCs w:val="16"/>
          <w:b w:val="1"/>
          <w:bCs w:val="1"/>
          <w:color w:val="auto"/>
        </w:rPr>
      </w:pPr>
    </w:p>
    <w:p>
      <w:pPr>
        <w:ind w:right="240" w:firstLine="1428"/>
        <w:spacing w:after="0" w:line="263" w:lineRule="auto"/>
        <w:tabs>
          <w:tab w:leader="none" w:pos="1737"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Termination of Participant’s Continuous Service. Except as otherwise provided in the applicable Restricted Stock Unit Award Agreement, such portion of the Restricted Stock Unit Award that has not vested will be forfeited upon the Participant’s termination of Continuous Service.</w:t>
      </w:r>
    </w:p>
    <w:p>
      <w:pPr>
        <w:spacing w:after="0" w:line="287" w:lineRule="exact"/>
        <w:rPr>
          <w:rFonts w:ascii="Arial" w:cs="Arial" w:eastAsia="Arial" w:hAnsi="Arial"/>
          <w:sz w:val="18"/>
          <w:szCs w:val="18"/>
          <w:b w:val="1"/>
          <w:bCs w:val="1"/>
          <w:color w:val="auto"/>
        </w:rPr>
      </w:pPr>
    </w:p>
    <w:p>
      <w:pPr>
        <w:ind w:left="1240" w:hanging="253"/>
        <w:spacing w:after="0"/>
        <w:tabs>
          <w:tab w:leader="none" w:pos="124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80" w:firstLine="1428"/>
        <w:spacing w:after="0" w:line="254" w:lineRule="auto"/>
        <w:tabs>
          <w:tab w:leader="none" w:pos="1647"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Performance Stock Awards. A Performance Stock Award is a Stock Award (covering a number of shares not in excess of that set forth in Section 3(d) above) that is payable or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in its sole discretion. In addition, to the extent permitted by applicable law and the applicable Award Agreement, the Board may determine that cash may be used in payment of Performance Stock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53" w:name="page354"/>
    <w:bookmarkEnd w:id="353"/>
    <w:p>
      <w:pPr>
        <w:ind w:right="280" w:firstLine="1428"/>
        <w:spacing w:after="0" w:line="291" w:lineRule="auto"/>
        <w:tabs>
          <w:tab w:leader="none" w:pos="1697" w:val="left"/>
        </w:tabs>
        <w:numPr>
          <w:ilvl w:val="2"/>
          <w:numId w:val="27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Cash Awards. A Performance Cash Award is a cash award (for a dollar value not in excess of that set forth in Section 3(d) above)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66" w:lineRule="exact"/>
        <w:rPr>
          <w:rFonts w:ascii="Arial" w:cs="Arial" w:eastAsia="Arial" w:hAnsi="Arial"/>
          <w:sz w:val="16"/>
          <w:szCs w:val="16"/>
          <w:b w:val="1"/>
          <w:bCs w:val="1"/>
          <w:color w:val="auto"/>
        </w:rPr>
      </w:pPr>
    </w:p>
    <w:p>
      <w:pPr>
        <w:ind w:right="200" w:firstLine="1428"/>
        <w:spacing w:after="0" w:line="259" w:lineRule="auto"/>
        <w:tabs>
          <w:tab w:leader="none" w:pos="1747" w:val="left"/>
        </w:tabs>
        <w:numPr>
          <w:ilvl w:val="2"/>
          <w:numId w:val="272"/>
        </w:numPr>
        <w:rPr>
          <w:rFonts w:ascii="Arial" w:cs="Arial" w:eastAsia="Arial" w:hAnsi="Arial"/>
          <w:sz w:val="18"/>
          <w:szCs w:val="18"/>
          <w:b w:val="1"/>
          <w:bCs w:val="1"/>
          <w:color w:val="auto"/>
        </w:rPr>
      </w:pPr>
      <w:r>
        <w:rPr>
          <w:rFonts w:ascii="Arial" w:cs="Arial" w:eastAsia="Arial" w:hAnsi="Arial"/>
          <w:sz w:val="18"/>
          <w:szCs w:val="18"/>
          <w:color w:val="auto"/>
        </w:rPr>
        <w:t>Board Discretion. The Board retains the discretion to reduce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82" w:lineRule="exact"/>
        <w:rPr>
          <w:rFonts w:ascii="Arial" w:cs="Arial" w:eastAsia="Arial" w:hAnsi="Arial"/>
          <w:sz w:val="18"/>
          <w:szCs w:val="18"/>
          <w:b w:val="1"/>
          <w:bCs w:val="1"/>
          <w:color w:val="auto"/>
        </w:rPr>
      </w:pPr>
    </w:p>
    <w:p>
      <w:pPr>
        <w:ind w:firstLine="987"/>
        <w:spacing w:after="0" w:line="294" w:lineRule="auto"/>
        <w:tabs>
          <w:tab w:leader="none" w:pos="1256" w:val="left"/>
        </w:tabs>
        <w:numPr>
          <w:ilvl w:val="1"/>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Other Stock Awards</w:t>
      </w:r>
      <w:r>
        <w:rPr>
          <w:rFonts w:ascii="Arial" w:cs="Arial" w:eastAsia="Arial" w:hAnsi="Arial"/>
          <w:sz w:val="16"/>
          <w:szCs w:val="16"/>
          <w:color w:val="auto"/>
        </w:rPr>
        <w:t>. Other forms of Stock Awards valued in whole or in part by reference to, or otherwise based on,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appreciation in value thereof (e.g., options or stock rights with an exercise price or strike price less than one hundred percent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267" w:lineRule="exact"/>
        <w:rPr>
          <w:rFonts w:ascii="Arial" w:cs="Arial" w:eastAsia="Arial" w:hAnsi="Arial"/>
          <w:sz w:val="16"/>
          <w:szCs w:val="16"/>
          <w:b w:val="1"/>
          <w:bCs w:val="1"/>
          <w:color w:val="auto"/>
        </w:rPr>
      </w:pPr>
    </w:p>
    <w:p>
      <w:pPr>
        <w:ind w:left="620" w:hanging="184"/>
        <w:spacing w:after="0"/>
        <w:tabs>
          <w:tab w:leader="none" w:pos="62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00" w:firstLine="987"/>
        <w:spacing w:after="0" w:line="282" w:lineRule="auto"/>
        <w:tabs>
          <w:tab w:leader="none" w:pos="1246"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The Company will keep available at all times the number of shares of Common Stock reasonably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then-outstanding Stock Awards.</w:t>
      </w:r>
    </w:p>
    <w:p>
      <w:pPr>
        <w:spacing w:after="0" w:line="161" w:lineRule="exact"/>
        <w:rPr>
          <w:rFonts w:ascii="Arial" w:cs="Arial" w:eastAsia="Arial" w:hAnsi="Arial"/>
          <w:sz w:val="18"/>
          <w:szCs w:val="18"/>
          <w:b w:val="1"/>
          <w:bCs w:val="1"/>
          <w:color w:val="auto"/>
        </w:rPr>
      </w:pPr>
    </w:p>
    <w:p>
      <w:pPr>
        <w:ind w:right="180" w:firstLine="987"/>
        <w:spacing w:after="0" w:line="291" w:lineRule="auto"/>
        <w:tabs>
          <w:tab w:leader="none" w:pos="1256" w:val="left"/>
        </w:tabs>
        <w:numPr>
          <w:ilvl w:val="1"/>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The Company will seek to obtain from each regulatory commission or agency having jurisdiction over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Plan such authority as may be required to grant Stock Awards and to issue and sell shares of Common Stock upon exercise of the Stock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will not require the Company to register under the Securities Act the Plan, any Stock Award or 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59" w:lineRule="exact"/>
        <w:rPr>
          <w:rFonts w:ascii="Arial" w:cs="Arial" w:eastAsia="Arial" w:hAnsi="Arial"/>
          <w:sz w:val="16"/>
          <w:szCs w:val="16"/>
          <w:b w:val="1"/>
          <w:bCs w:val="1"/>
          <w:color w:val="auto"/>
        </w:rPr>
      </w:pPr>
    </w:p>
    <w:p>
      <w:pPr>
        <w:ind w:right="40" w:firstLine="987"/>
        <w:spacing w:after="0" w:line="261" w:lineRule="auto"/>
        <w:tabs>
          <w:tab w:leader="none" w:pos="1236"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No Obligation to Notify or Minimize Taxes</w:t>
      </w:r>
      <w:r>
        <w:rPr>
          <w:rFonts w:ascii="Arial" w:cs="Arial" w:eastAsia="Arial" w:hAnsi="Arial"/>
          <w:sz w:val="18"/>
          <w:szCs w:val="18"/>
          <w:color w:val="auto"/>
        </w:rPr>
        <w:t>. The Company will have no duty or obligation to any Participant to advise such holder as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54" w:name="page355"/>
    <w:bookmarkEnd w:id="354"/>
    <w:p>
      <w:pPr>
        <w:ind w:left="620" w:hanging="184"/>
        <w:spacing w:after="0"/>
        <w:tabs>
          <w:tab w:leader="none" w:pos="62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300" w:firstLine="987"/>
        <w:spacing w:after="0" w:line="282" w:lineRule="auto"/>
        <w:tabs>
          <w:tab w:leader="none" w:pos="1246"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1" w:lineRule="exact"/>
        <w:rPr>
          <w:rFonts w:ascii="Arial" w:cs="Arial" w:eastAsia="Arial" w:hAnsi="Arial"/>
          <w:sz w:val="18"/>
          <w:szCs w:val="18"/>
          <w:b w:val="1"/>
          <w:bCs w:val="1"/>
          <w:color w:val="auto"/>
        </w:rPr>
      </w:pPr>
    </w:p>
    <w:p>
      <w:pPr>
        <w:ind w:firstLine="987"/>
        <w:spacing w:after="0" w:line="294" w:lineRule="auto"/>
        <w:tabs>
          <w:tab w:leader="none" w:pos="1256" w:val="left"/>
        </w:tabs>
        <w:numPr>
          <w:ilvl w:val="1"/>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Awards. </w:t>
      </w:r>
      <w:r>
        <w:rPr>
          <w:rFonts w:ascii="Arial" w:cs="Arial" w:eastAsia="Arial" w:hAnsi="Arial"/>
          <w:sz w:val="16"/>
          <w:szCs w:val="16"/>
          <w:color w:val="auto"/>
        </w:rPr>
        <w:t>Corporate action constituting a grant by the Company of an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as a result of a clerical error in the papering of the Award Agreement, the corporate records will control and the Participant will have no legally binding right to the incorrect term in the Award Agreement.</w:t>
      </w:r>
    </w:p>
    <w:p>
      <w:pPr>
        <w:spacing w:after="0" w:line="159" w:lineRule="exact"/>
        <w:rPr>
          <w:rFonts w:ascii="Arial" w:cs="Arial" w:eastAsia="Arial" w:hAnsi="Arial"/>
          <w:sz w:val="16"/>
          <w:szCs w:val="16"/>
          <w:b w:val="1"/>
          <w:bCs w:val="1"/>
          <w:color w:val="auto"/>
        </w:rPr>
      </w:pPr>
    </w:p>
    <w:p>
      <w:pPr>
        <w:ind w:right="100" w:firstLine="987"/>
        <w:spacing w:after="0" w:line="261" w:lineRule="auto"/>
        <w:tabs>
          <w:tab w:leader="none" w:pos="1236"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Rights</w:t>
      </w:r>
      <w:r>
        <w:rPr>
          <w:rFonts w:ascii="Arial" w:cs="Arial" w:eastAsia="Arial" w:hAnsi="Arial"/>
          <w:sz w:val="18"/>
          <w:szCs w:val="18"/>
          <w:color w:val="auto"/>
        </w:rPr>
        <w:t>. Other than with respect to Restricted Stock Awards, no Participant will be deemed to be the holder of, or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the Award has been entered into the books and records of the Company.</w:t>
      </w:r>
    </w:p>
    <w:p>
      <w:pPr>
        <w:spacing w:after="0" w:line="179" w:lineRule="exact"/>
        <w:rPr>
          <w:rFonts w:ascii="Arial" w:cs="Arial" w:eastAsia="Arial" w:hAnsi="Arial"/>
          <w:sz w:val="18"/>
          <w:szCs w:val="18"/>
          <w:b w:val="1"/>
          <w:bCs w:val="1"/>
          <w:color w:val="auto"/>
        </w:rPr>
      </w:pPr>
    </w:p>
    <w:p>
      <w:pPr>
        <w:ind w:right="20" w:firstLine="987"/>
        <w:spacing w:after="0" w:line="274" w:lineRule="auto"/>
        <w:tabs>
          <w:tab w:leader="none" w:pos="1256" w:val="left"/>
        </w:tabs>
        <w:numPr>
          <w:ilvl w:val="1"/>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No Employment or Other Service Rights</w:t>
      </w:r>
      <w:r>
        <w:rPr>
          <w:rFonts w:ascii="Arial" w:cs="Arial" w:eastAsia="Arial" w:hAnsi="Arial"/>
          <w:sz w:val="17"/>
          <w:szCs w:val="17"/>
          <w:color w:val="auto"/>
        </w:rPr>
        <w:t>. Nothing in the Plan, any Award Agreement or any other instrument executed thereunder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any Stock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3" w:lineRule="exact"/>
        <w:rPr>
          <w:rFonts w:ascii="Arial" w:cs="Arial" w:eastAsia="Arial" w:hAnsi="Arial"/>
          <w:sz w:val="17"/>
          <w:szCs w:val="17"/>
          <w:b w:val="1"/>
          <w:bCs w:val="1"/>
          <w:color w:val="auto"/>
        </w:rPr>
      </w:pPr>
    </w:p>
    <w:p>
      <w:pPr>
        <w:ind w:right="40" w:firstLine="987"/>
        <w:spacing w:after="0" w:line="273" w:lineRule="auto"/>
        <w:tabs>
          <w:tab w:leader="none" w:pos="1236" w:val="left"/>
        </w:tabs>
        <w:numPr>
          <w:ilvl w:val="1"/>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Time Commitment</w:t>
      </w:r>
      <w:r>
        <w:rPr>
          <w:rFonts w:ascii="Arial" w:cs="Arial" w:eastAsia="Arial" w:hAnsi="Arial"/>
          <w:sz w:val="17"/>
          <w:szCs w:val="17"/>
          <w:color w:val="auto"/>
        </w:rPr>
        <w:t>. In the event a Participant’s regular level of time commitment in the performance of his or her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Company and any Affiliates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 (x) make a corresponding reduction in the number of shares subject to any portion of such Award that is scheduled to vest or become payable after the date of such change in time commitment, and (y) subject to the requirements of Section 409A of the Code,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1" w:lineRule="exact"/>
        <w:rPr>
          <w:rFonts w:ascii="Arial" w:cs="Arial" w:eastAsia="Arial" w:hAnsi="Arial"/>
          <w:sz w:val="17"/>
          <w:szCs w:val="17"/>
          <w:b w:val="1"/>
          <w:bCs w:val="1"/>
          <w:color w:val="auto"/>
        </w:rPr>
      </w:pPr>
    </w:p>
    <w:p>
      <w:pPr>
        <w:ind w:right="100" w:firstLine="987"/>
        <w:spacing w:after="0" w:line="256" w:lineRule="auto"/>
        <w:tabs>
          <w:tab w:leader="none" w:pos="1216"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Limitations</w:t>
      </w:r>
      <w:r>
        <w:rPr>
          <w:rFonts w:ascii="Arial" w:cs="Arial" w:eastAsia="Arial" w:hAnsi="Arial"/>
          <w:sz w:val="18"/>
          <w:szCs w:val="18"/>
          <w:color w:val="auto"/>
        </w:rPr>
        <w:t>. To the extent that the aggregate Fair Market Value (determined at the time of grant)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with 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7" w:lineRule="exact"/>
        <w:rPr>
          <w:rFonts w:ascii="Arial" w:cs="Arial" w:eastAsia="Arial" w:hAnsi="Arial"/>
          <w:sz w:val="18"/>
          <w:szCs w:val="18"/>
          <w:b w:val="1"/>
          <w:bCs w:val="1"/>
          <w:color w:val="auto"/>
        </w:rPr>
      </w:pPr>
    </w:p>
    <w:p>
      <w:pPr>
        <w:ind w:right="120" w:firstLine="987"/>
        <w:spacing w:after="0" w:line="266" w:lineRule="auto"/>
        <w:tabs>
          <w:tab w:leader="none" w:pos="1246"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Assurances</w:t>
      </w:r>
      <w:r>
        <w:rPr>
          <w:rFonts w:ascii="Arial" w:cs="Arial" w:eastAsia="Arial" w:hAnsi="Arial"/>
          <w:sz w:val="18"/>
          <w:szCs w:val="18"/>
          <w:color w:val="auto"/>
        </w:rPr>
        <w:t>. The Company may require a Participant, as a condition of exercising or acquiring Common Stock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(i) to give written assurances satisfactory to the Company as to the Participant’s knowledge and experience in financial and business matters and/or to employ a purchaser representative reasonably satisfactory to the Company who 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355" w:name="page356"/>
    <w:bookmarkEnd w:id="35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7" w:lineRule="exact"/>
        <w:rPr>
          <w:sz w:val="20"/>
          <w:szCs w:val="20"/>
          <w:color w:val="auto"/>
        </w:rPr>
      </w:pPr>
    </w:p>
    <w:p>
      <w:pPr>
        <w:ind w:right="20" w:firstLine="987"/>
        <w:spacing w:after="0" w:line="269" w:lineRule="auto"/>
        <w:tabs>
          <w:tab w:leader="none" w:pos="1256" w:val="left"/>
        </w:tabs>
        <w:numPr>
          <w:ilvl w:val="0"/>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Obligations</w:t>
      </w:r>
      <w:r>
        <w:rPr>
          <w:rFonts w:ascii="Arial" w:cs="Arial" w:eastAsia="Arial" w:hAnsi="Arial"/>
          <w:sz w:val="17"/>
          <w:szCs w:val="17"/>
          <w:color w:val="auto"/>
        </w:rPr>
        <w:t>. The Company or the Participant’s employer will withhold any tax (including dividend tax, wage tax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social security premiums due, if any) due relating to an Award that the Company or such employer is required by applicable law to withhold (“tax withholding obligations”), as well as any amounts due from such Participant to the Company or the relevant employer relating to an Award (“other obligations”). Such tax withholding obligations and other obligations will be for the account of the Participant, unless explicitly agreed otherwise by the terms of an Award Agreement or prohibited by law. Notwithstanding any other provision of an Award Agreement, the Company shall not be required to issue any Common Stock or otherwise settle any Award until such tax withholding obligations and other obligations are satisfied. Unless prohibited by the terms of an Award Agreement, the Company or the Participant’s employer may, in its sole discretion, satisfy any such tax withholding obligation or such other obligations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shares of Common Stock are withheld with a value exceeding the maximum amount of tax required to be withheld by law (or such lesser amount as may be necessary to avoid classification of the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75" w:lineRule="exact"/>
        <w:rPr>
          <w:rFonts w:ascii="Arial" w:cs="Arial" w:eastAsia="Arial" w:hAnsi="Arial"/>
          <w:sz w:val="17"/>
          <w:szCs w:val="17"/>
          <w:b w:val="1"/>
          <w:bCs w:val="1"/>
          <w:color w:val="auto"/>
        </w:rPr>
      </w:pPr>
    </w:p>
    <w:p>
      <w:pPr>
        <w:ind w:right="20" w:firstLine="987"/>
        <w:spacing w:after="0" w:line="266" w:lineRule="auto"/>
        <w:tabs>
          <w:tab w:leader="none" w:pos="1206"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5" w:lineRule="exact"/>
        <w:rPr>
          <w:rFonts w:ascii="Arial" w:cs="Arial" w:eastAsia="Arial" w:hAnsi="Arial"/>
          <w:sz w:val="18"/>
          <w:szCs w:val="18"/>
          <w:b w:val="1"/>
          <w:bCs w:val="1"/>
          <w:color w:val="auto"/>
        </w:rPr>
      </w:pPr>
    </w:p>
    <w:p>
      <w:pPr>
        <w:ind w:right="140" w:firstLine="987"/>
        <w:spacing w:after="0" w:line="292" w:lineRule="auto"/>
        <w:tabs>
          <w:tab w:leader="none" w:pos="1216" w:val="left"/>
        </w:tabs>
        <w:numPr>
          <w:ilvl w:val="0"/>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Deferrals</w:t>
      </w:r>
      <w:r>
        <w:rPr>
          <w:rFonts w:ascii="Arial" w:cs="Arial" w:eastAsia="Arial" w:hAnsi="Arial"/>
          <w:sz w:val="16"/>
          <w:szCs w:val="16"/>
          <w:color w:val="auto"/>
        </w:rPr>
        <w:t>. To the extent permitted by applicable law, the Board, in its sole discretion, may determine that the delivery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61" w:lineRule="exact"/>
        <w:rPr>
          <w:rFonts w:ascii="Arial" w:cs="Arial" w:eastAsia="Arial" w:hAnsi="Arial"/>
          <w:sz w:val="16"/>
          <w:szCs w:val="16"/>
          <w:b w:val="1"/>
          <w:bCs w:val="1"/>
          <w:color w:val="auto"/>
        </w:rPr>
      </w:pPr>
    </w:p>
    <w:p>
      <w:pPr>
        <w:ind w:right="180" w:firstLine="987"/>
        <w:spacing w:after="0" w:line="298" w:lineRule="auto"/>
        <w:tabs>
          <w:tab w:leader="none" w:pos="1256" w:val="left"/>
        </w:tabs>
        <w:numPr>
          <w:ilvl w:val="0"/>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Section 409A of the Code</w:t>
      </w:r>
      <w:r>
        <w:rPr>
          <w:rFonts w:ascii="Arial" w:cs="Arial" w:eastAsia="Arial" w:hAnsi="Arial"/>
          <w:sz w:val="16"/>
          <w:szCs w:val="16"/>
          <w:color w:val="auto"/>
        </w:rPr>
        <w:t>. Unless otherwise expressly provided for in an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356" w:name="page357"/>
    <w:bookmarkEnd w:id="356"/>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w:t>
      </w:r>
    </w:p>
    <w:p>
      <w:pPr>
        <w:spacing w:after="0" w:line="2" w:lineRule="exact"/>
        <w:rPr>
          <w:sz w:val="20"/>
          <w:szCs w:val="20"/>
          <w:color w:val="auto"/>
        </w:rPr>
      </w:pPr>
    </w:p>
    <w:p>
      <w:pPr>
        <w:ind w:left="264" w:hanging="264"/>
        <w:spacing w:after="0"/>
        <w:tabs>
          <w:tab w:leader="none" w:pos="2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month period elapses, with the balance paid thereafter on the original schedule.</w:t>
      </w:r>
    </w:p>
    <w:p>
      <w:pPr>
        <w:spacing w:after="0" w:line="206" w:lineRule="exact"/>
        <w:rPr>
          <w:rFonts w:ascii="Arial" w:cs="Arial" w:eastAsia="Arial" w:hAnsi="Arial"/>
          <w:sz w:val="18"/>
          <w:szCs w:val="18"/>
          <w:color w:val="auto"/>
        </w:rPr>
      </w:pPr>
    </w:p>
    <w:p>
      <w:pPr>
        <w:ind w:left="4" w:firstLine="987"/>
        <w:spacing w:after="0" w:line="292" w:lineRule="auto"/>
        <w:tabs>
          <w:tab w:leader="none" w:pos="1210" w:val="left"/>
        </w:tabs>
        <w:numPr>
          <w:ilvl w:val="2"/>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Clawback/Recovery</w:t>
      </w:r>
      <w:r>
        <w:rPr>
          <w:rFonts w:ascii="Arial" w:cs="Arial" w:eastAsia="Arial" w:hAnsi="Arial"/>
          <w:sz w:val="16"/>
          <w:szCs w:val="16"/>
          <w:color w:val="auto"/>
        </w:rPr>
        <w:t>. 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 or an Affiliate.</w:t>
      </w:r>
    </w:p>
    <w:p>
      <w:pPr>
        <w:spacing w:after="0" w:line="269" w:lineRule="exact"/>
        <w:rPr>
          <w:rFonts w:ascii="Arial" w:cs="Arial" w:eastAsia="Arial" w:hAnsi="Arial"/>
          <w:sz w:val="16"/>
          <w:szCs w:val="16"/>
          <w:b w:val="1"/>
          <w:bCs w:val="1"/>
          <w:color w:val="auto"/>
        </w:rPr>
      </w:pPr>
    </w:p>
    <w:p>
      <w:pPr>
        <w:ind w:left="624" w:hanging="184"/>
        <w:spacing w:after="0"/>
        <w:tabs>
          <w:tab w:leader="none" w:pos="624" w:val="left"/>
        </w:tabs>
        <w:numPr>
          <w:ilvl w:val="1"/>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w:t>
      </w:r>
    </w:p>
    <w:p>
      <w:pPr>
        <w:spacing w:after="0" w:line="39" w:lineRule="exact"/>
        <w:rPr>
          <w:sz w:val="20"/>
          <w:szCs w:val="20"/>
          <w:color w:val="auto"/>
        </w:rPr>
      </w:pPr>
    </w:p>
    <w:p>
      <w:pPr>
        <w:ind w:left="4" w:right="20" w:hanging="4"/>
        <w:spacing w:after="0" w:line="253" w:lineRule="auto"/>
        <w:tabs>
          <w:tab w:leader="none" w:pos="21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class(es) and maximum number of securities subject to the Plan pursuant to Section 3(a), (ii) the class(es) and maximum number of securities that may be issued pursuant to the exercise of Incentive Stock Options pursuant to Section 3(c), (iii) the class(es) and number of securities and price per share of stock subject to outstanding Stock Awards, and (iv) and any repurchase price that applies to shares of Common Stock granted under the Plan pursuant to the terms of a Company repurchase right under the applicable Stock Award Agreement. The Board will make such adjustments, and its determination will be final, binding and conclusive.</w:t>
      </w:r>
    </w:p>
    <w:p>
      <w:pPr>
        <w:spacing w:after="0" w:line="186" w:lineRule="exact"/>
        <w:rPr>
          <w:rFonts w:ascii="Arial" w:cs="Arial" w:eastAsia="Arial" w:hAnsi="Arial"/>
          <w:sz w:val="18"/>
          <w:szCs w:val="18"/>
          <w:color w:val="auto"/>
        </w:rPr>
      </w:pPr>
    </w:p>
    <w:p>
      <w:pPr>
        <w:ind w:left="4" w:right="100" w:firstLine="987"/>
        <w:spacing w:after="0" w:line="273" w:lineRule="auto"/>
        <w:tabs>
          <w:tab w:leader="none" w:pos="1260" w:val="left"/>
        </w:tabs>
        <w:numPr>
          <w:ilvl w:val="1"/>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w:t>
      </w:r>
      <w:r>
        <w:rPr>
          <w:rFonts w:ascii="Arial" w:cs="Arial" w:eastAsia="Arial" w:hAnsi="Arial"/>
          <w:sz w:val="17"/>
          <w:szCs w:val="17"/>
          <w:color w:val="auto"/>
        </w:rPr>
        <w:t>. Except as otherwise provided in the Stock Award Agreement, in the event of a Dissolution of the Company,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71" w:lineRule="exact"/>
        <w:rPr>
          <w:rFonts w:ascii="Arial" w:cs="Arial" w:eastAsia="Arial" w:hAnsi="Arial"/>
          <w:sz w:val="17"/>
          <w:szCs w:val="17"/>
          <w:b w:val="1"/>
          <w:bCs w:val="1"/>
          <w:color w:val="auto"/>
        </w:rPr>
      </w:pPr>
    </w:p>
    <w:p>
      <w:pPr>
        <w:ind w:left="4" w:right="20" w:firstLine="987"/>
        <w:spacing w:after="0" w:line="303" w:lineRule="auto"/>
        <w:tabs>
          <w:tab w:leader="none" w:pos="1240" w:val="left"/>
        </w:tabs>
        <w:numPr>
          <w:ilvl w:val="1"/>
          <w:numId w:val="279"/>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Transactions</w:t>
      </w:r>
      <w:r>
        <w:rPr>
          <w:rFonts w:ascii="Arial" w:cs="Arial" w:eastAsia="Arial" w:hAnsi="Arial"/>
          <w:sz w:val="16"/>
          <w:szCs w:val="16"/>
          <w:color w:val="auto"/>
        </w:rPr>
        <w:t>. The following provisions will apply to Stock Awards in the event of a Transaction unless otherwise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Stock Award Agreement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46" w:lineRule="exact"/>
        <w:rPr>
          <w:rFonts w:ascii="Arial" w:cs="Arial" w:eastAsia="Arial" w:hAnsi="Arial"/>
          <w:sz w:val="16"/>
          <w:szCs w:val="16"/>
          <w:b w:val="1"/>
          <w:bCs w:val="1"/>
          <w:color w:val="auto"/>
        </w:rPr>
      </w:pPr>
    </w:p>
    <w:p>
      <w:pPr>
        <w:jc w:val="both"/>
        <w:ind w:left="4" w:right="300" w:firstLine="1428"/>
        <w:spacing w:after="0" w:line="263" w:lineRule="auto"/>
        <w:tabs>
          <w:tab w:leader="none" w:pos="1651" w:val="left"/>
        </w:tabs>
        <w:numPr>
          <w:ilvl w:val="2"/>
          <w:numId w:val="279"/>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shareholders of the Company pursuant to the Transaction);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57" w:name="page358"/>
    <w:bookmarkEnd w:id="357"/>
    <w:p>
      <w:pPr>
        <w:ind w:right="240" w:firstLine="1428"/>
        <w:spacing w:after="0" w:line="342" w:lineRule="auto"/>
        <w:tabs>
          <w:tab w:leader="none" w:pos="1697" w:val="left"/>
        </w:tabs>
        <w:numPr>
          <w:ilvl w:val="0"/>
          <w:numId w:val="28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23" w:lineRule="exact"/>
        <w:rPr>
          <w:rFonts w:ascii="Arial" w:cs="Arial" w:eastAsia="Arial" w:hAnsi="Arial"/>
          <w:sz w:val="16"/>
          <w:szCs w:val="16"/>
          <w:b w:val="1"/>
          <w:bCs w:val="1"/>
          <w:color w:val="auto"/>
        </w:rPr>
      </w:pPr>
    </w:p>
    <w:p>
      <w:pPr>
        <w:ind w:right="180" w:firstLine="1428"/>
        <w:spacing w:after="0" w:line="296" w:lineRule="auto"/>
        <w:tabs>
          <w:tab w:leader="none" w:pos="1747" w:val="left"/>
        </w:tabs>
        <w:numPr>
          <w:ilvl w:val="0"/>
          <w:numId w:val="280"/>
        </w:numPr>
        <w:rPr>
          <w:rFonts w:ascii="Arial" w:cs="Arial" w:eastAsia="Arial" w:hAnsi="Arial"/>
          <w:sz w:val="16"/>
          <w:szCs w:val="16"/>
          <w:b w:val="1"/>
          <w:bCs w:val="1"/>
          <w:color w:val="auto"/>
        </w:rPr>
      </w:pPr>
      <w:r>
        <w:rPr>
          <w:rFonts w:ascii="Arial" w:cs="Arial" w:eastAsia="Arial" w:hAnsi="Arial"/>
          <w:sz w:val="16"/>
          <w:szCs w:val="16"/>
          <w:color w:val="auto"/>
        </w:rPr>
        <w:t>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(5) days prior to the effective date of the Transaction), with such Stock Award terminating if not exercised (if applicable) at or prior to the effective time of the Transaction; provided, however, that the Board may require Participants to complete and deliver to the Company a notice of exercise before the effective date of a Transaction, which exercise is contingent upon the effectiveness of such Transaction;</w:t>
      </w:r>
    </w:p>
    <w:p>
      <w:pPr>
        <w:spacing w:after="0" w:line="161" w:lineRule="exact"/>
        <w:rPr>
          <w:rFonts w:ascii="Arial" w:cs="Arial" w:eastAsia="Arial" w:hAnsi="Arial"/>
          <w:sz w:val="16"/>
          <w:szCs w:val="16"/>
          <w:b w:val="1"/>
          <w:bCs w:val="1"/>
          <w:color w:val="auto"/>
        </w:rPr>
      </w:pPr>
    </w:p>
    <w:p>
      <w:pPr>
        <w:ind w:left="1740" w:hanging="312"/>
        <w:spacing w:after="0"/>
        <w:tabs>
          <w:tab w:leader="none" w:pos="1740" w:val="left"/>
        </w:tabs>
        <w:numPr>
          <w:ilvl w:val="0"/>
          <w:numId w:val="280"/>
        </w:numPr>
        <w:rPr>
          <w:rFonts w:ascii="Arial" w:cs="Arial" w:eastAsia="Arial" w:hAnsi="Arial"/>
          <w:sz w:val="17"/>
          <w:szCs w:val="17"/>
          <w:b w:val="1"/>
          <w:bCs w:val="1"/>
          <w:color w:val="auto"/>
        </w:rPr>
      </w:pPr>
      <w:r>
        <w:rPr>
          <w:rFonts w:ascii="Arial" w:cs="Arial" w:eastAsia="Arial" w:hAnsi="Arial"/>
          <w:sz w:val="17"/>
          <w:szCs w:val="17"/>
          <w:color w:val="auto"/>
        </w:rPr>
        <w:t>arrange for the lapse, in whole or in part, of any reacquisition or repurchase rights held by the Company with respect to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Stock Award;</w:t>
      </w:r>
    </w:p>
    <w:p>
      <w:pPr>
        <w:spacing w:after="0" w:line="210" w:lineRule="exact"/>
        <w:rPr>
          <w:rFonts w:ascii="Arial" w:cs="Arial" w:eastAsia="Arial" w:hAnsi="Arial"/>
          <w:sz w:val="17"/>
          <w:szCs w:val="17"/>
          <w:b w:val="1"/>
          <w:bCs w:val="1"/>
          <w:color w:val="auto"/>
        </w:rPr>
      </w:pPr>
    </w:p>
    <w:p>
      <w:pPr>
        <w:ind w:firstLine="1428"/>
        <w:spacing w:after="0" w:line="272" w:lineRule="auto"/>
        <w:tabs>
          <w:tab w:leader="none" w:pos="1687" w:val="left"/>
        </w:tabs>
        <w:numPr>
          <w:ilvl w:val="0"/>
          <w:numId w:val="280"/>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 (vi) 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7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6" w:lineRule="exact"/>
        <w:rPr>
          <w:sz w:val="20"/>
          <w:szCs w:val="20"/>
          <w:color w:val="auto"/>
        </w:rPr>
      </w:pPr>
    </w:p>
    <w:p>
      <w:pPr>
        <w:ind w:right="160" w:firstLine="987"/>
        <w:spacing w:after="0" w:line="289" w:lineRule="auto"/>
        <w:tabs>
          <w:tab w:leader="none" w:pos="1256" w:val="left"/>
        </w:tabs>
        <w:numPr>
          <w:ilvl w:val="1"/>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A Stock Award may be subject to additional acceleration of vesting and exercisability upon or after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265" w:lineRule="exact"/>
        <w:rPr>
          <w:rFonts w:ascii="Arial" w:cs="Arial" w:eastAsia="Arial" w:hAnsi="Arial"/>
          <w:sz w:val="17"/>
          <w:szCs w:val="17"/>
          <w:b w:val="1"/>
          <w:bCs w:val="1"/>
          <w:color w:val="auto"/>
        </w:rPr>
      </w:pPr>
    </w:p>
    <w:p>
      <w:pPr>
        <w:ind w:left="700" w:hanging="264"/>
        <w:spacing w:after="0"/>
        <w:tabs>
          <w:tab w:leader="none" w:pos="70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00" w:firstLine="987"/>
        <w:spacing w:after="0" w:line="261" w:lineRule="auto"/>
        <w:tabs>
          <w:tab w:leader="none" w:pos="1246"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r>
        <w:rPr>
          <w:rFonts w:ascii="Arial" w:cs="Arial" w:eastAsia="Arial" w:hAnsi="Arial"/>
          <w:sz w:val="18"/>
          <w:szCs w:val="18"/>
          <w:color w:val="auto"/>
        </w:rPr>
        <w:t>. The Board may suspend or terminate the Plan at any time. Unless terminated sooner by the Board, the Plan will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on the day before the tenth (10th) anniversary of the earlier of (i) the date the Plan is adopted by the Board, or (ii) the date the Plan is approved by the shareholders of the Company. No Stock Awards may be granted under the Plan while the Plan is suspended or after it is terminated.</w:t>
      </w:r>
    </w:p>
    <w:p>
      <w:pPr>
        <w:spacing w:after="0" w:line="287" w:lineRule="exact"/>
        <w:rPr>
          <w:rFonts w:ascii="Arial" w:cs="Arial" w:eastAsia="Arial" w:hAnsi="Arial"/>
          <w:sz w:val="18"/>
          <w:szCs w:val="18"/>
          <w:b w:val="1"/>
          <w:bCs w:val="1"/>
          <w:color w:val="auto"/>
        </w:rPr>
      </w:pPr>
    </w:p>
    <w:p>
      <w:pPr>
        <w:ind w:left="700" w:hanging="264"/>
        <w:spacing w:after="0"/>
        <w:tabs>
          <w:tab w:leader="none" w:pos="70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Plan will become effective on the Effective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58" w:name="page359"/>
    <w:bookmarkEnd w:id="358"/>
    <w:p>
      <w:pPr>
        <w:ind w:left="704" w:hanging="264"/>
        <w:spacing w:after="0"/>
        <w:tabs>
          <w:tab w:leader="none" w:pos="704"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b w:val="1"/>
          <w:bCs w:val="1"/>
          <w:color w:val="auto"/>
        </w:rPr>
        <w:t>HOICE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color w:val="auto"/>
        </w:rPr>
        <w:t>.</w:t>
      </w:r>
    </w:p>
    <w:p>
      <w:pPr>
        <w:spacing w:after="0" w:line="121" w:lineRule="exact"/>
        <w:rPr>
          <w:sz w:val="20"/>
          <w:szCs w:val="20"/>
          <w:color w:val="auto"/>
        </w:rPr>
      </w:pPr>
    </w:p>
    <w:p>
      <w:pPr>
        <w:ind w:left="4" w:right="320" w:firstLine="440"/>
        <w:spacing w:after="0" w:line="308" w:lineRule="auto"/>
        <w:rPr>
          <w:sz w:val="20"/>
          <w:szCs w:val="20"/>
          <w:color w:val="auto"/>
        </w:rPr>
      </w:pPr>
      <w:r>
        <w:rPr>
          <w:rFonts w:ascii="Arial" w:cs="Arial" w:eastAsia="Arial" w:hAnsi="Arial"/>
          <w:sz w:val="17"/>
          <w:szCs w:val="17"/>
          <w:color w:val="auto"/>
        </w:rPr>
        <w:t>To the extent that United States federal laws do not otherwise control, this Plan and all determinations made and actions taken pursuant to this Plan shall be governed by New York law, without giving effect to principles of conflicts of laws, and construed accordingly.</w:t>
      </w:r>
    </w:p>
    <w:p>
      <w:pPr>
        <w:spacing w:after="0" w:line="142" w:lineRule="exact"/>
        <w:rPr>
          <w:sz w:val="20"/>
          <w:szCs w:val="20"/>
          <w:color w:val="auto"/>
        </w:rPr>
      </w:pPr>
    </w:p>
    <w:p>
      <w:pPr>
        <w:ind w:left="704" w:hanging="264"/>
        <w:spacing w:after="0"/>
        <w:tabs>
          <w:tab w:leader="none" w:pos="704"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color w:val="auto"/>
        </w:rPr>
        <w:t>. As used in the Plan, the following definitions will apply to the capitalized terms indicated below:</w:t>
      </w:r>
    </w:p>
    <w:p>
      <w:pPr>
        <w:spacing w:after="0" w:line="117" w:lineRule="exact"/>
        <w:rPr>
          <w:rFonts w:ascii="Arial" w:cs="Arial" w:eastAsia="Arial" w:hAnsi="Arial"/>
          <w:sz w:val="18"/>
          <w:szCs w:val="18"/>
          <w:b w:val="1"/>
          <w:bCs w:val="1"/>
          <w:color w:val="auto"/>
        </w:rPr>
      </w:pPr>
    </w:p>
    <w:p>
      <w:pPr>
        <w:ind w:left="4" w:firstLine="987"/>
        <w:spacing w:after="0" w:line="298" w:lineRule="auto"/>
        <w:tabs>
          <w:tab w:leader="none" w:pos="1250" w:val="left"/>
        </w:tabs>
        <w:numPr>
          <w:ilvl w:val="2"/>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at the time of determination, each of the following: (i) any “parent” of the Company, as such term is defined in Rule</w:t>
      </w:r>
      <w:r>
        <w:rPr>
          <w:rFonts w:ascii="Arial" w:cs="Arial" w:eastAsia="Arial" w:hAnsi="Arial"/>
          <w:sz w:val="16"/>
          <w:szCs w:val="16"/>
          <w:b w:val="1"/>
          <w:bCs w:val="1"/>
          <w:color w:val="auto"/>
        </w:rPr>
        <w:t xml:space="preserve"> </w:t>
      </w:r>
      <w:r>
        <w:rPr>
          <w:rFonts w:ascii="Arial" w:cs="Arial" w:eastAsia="Arial" w:hAnsi="Arial"/>
          <w:sz w:val="16"/>
          <w:szCs w:val="16"/>
          <w:color w:val="auto"/>
        </w:rPr>
        <w:t>405; (ii) any “subsidiary” of the Company, as such term is defined in Rule 405; and (iii) any other entity in which the Company or any of its Affiliates has a material equity interest or control relationship unless otherwise designated by the Board. An entity will be deemed an Affiliate of the Company for purposes of this definition only for such periods as the requisite ownership or control relationship is maintained. The Board will have the authority to determine the time or times at which “parent” or “majority-owned subsidiary” status is determined within the definitions set forth in Rule 405.</w:t>
      </w:r>
    </w:p>
    <w:p>
      <w:pPr>
        <w:spacing w:after="0" w:line="153" w:lineRule="exact"/>
        <w:rPr>
          <w:rFonts w:ascii="Arial" w:cs="Arial" w:eastAsia="Arial" w:hAnsi="Arial"/>
          <w:sz w:val="16"/>
          <w:szCs w:val="16"/>
          <w:b w:val="1"/>
          <w:bCs w:val="1"/>
          <w:color w:val="auto"/>
        </w:rPr>
      </w:pPr>
    </w:p>
    <w:p>
      <w:pPr>
        <w:ind w:left="1264" w:hanging="273"/>
        <w:spacing w:after="0"/>
        <w:tabs>
          <w:tab w:leader="none" w:pos="1264" w:val="left"/>
        </w:tabs>
        <w:numPr>
          <w:ilvl w:val="2"/>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Stock Award or a Performance Cash Award.</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agreement between the Company and a Participant evidencing the terms and conditions of an</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06" w:lineRule="exact"/>
        <w:rPr>
          <w:rFonts w:ascii="Arial" w:cs="Arial" w:eastAsia="Arial" w:hAnsi="Arial"/>
          <w:sz w:val="16"/>
          <w:szCs w:val="16"/>
          <w:b w:val="1"/>
          <w:bCs w:val="1"/>
          <w:color w:val="auto"/>
        </w:rPr>
      </w:pPr>
    </w:p>
    <w:p>
      <w:pPr>
        <w:ind w:left="1264" w:hanging="273"/>
        <w:spacing w:after="0"/>
        <w:tabs>
          <w:tab w:leader="none" w:pos="1264" w:val="left"/>
        </w:tabs>
        <w:numPr>
          <w:ilvl w:val="2"/>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b w:val="1"/>
          <w:bCs w:val="1"/>
          <w:color w:val="auto"/>
        </w:rPr>
      </w:pPr>
    </w:p>
    <w:p>
      <w:pPr>
        <w:ind w:left="4" w:right="40" w:firstLine="987"/>
        <w:spacing w:after="0" w:line="294" w:lineRule="auto"/>
        <w:tabs>
          <w:tab w:leader="none" w:pos="1240" w:val="left"/>
        </w:tabs>
        <w:numPr>
          <w:ilvl w:val="2"/>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change that is made in, or other events that occur with respect to, the Common Stock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59" w:lineRule="exact"/>
        <w:rPr>
          <w:rFonts w:ascii="Arial" w:cs="Arial" w:eastAsia="Arial" w:hAnsi="Arial"/>
          <w:sz w:val="16"/>
          <w:szCs w:val="16"/>
          <w:b w:val="1"/>
          <w:bCs w:val="1"/>
          <w:color w:val="auto"/>
        </w:rPr>
      </w:pPr>
    </w:p>
    <w:p>
      <w:pPr>
        <w:ind w:left="4" w:right="20" w:firstLine="987"/>
        <w:spacing w:after="0" w:line="289" w:lineRule="auto"/>
        <w:tabs>
          <w:tab w:leader="none" w:pos="1220" w:val="left"/>
        </w:tabs>
        <w:numPr>
          <w:ilvl w:val="2"/>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Participant and the Company defining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 and, in the absence of such agreement, such term means, with respect to a Participant, the occurrence of any of the following events: (i) such Participant’s willful failure substantially to perform his or her duties and responsibilities to the Company or deliberate violation of a Company policy;</w:t>
      </w:r>
    </w:p>
    <w:p>
      <w:pPr>
        <w:spacing w:after="0" w:line="1" w:lineRule="exact"/>
        <w:rPr>
          <w:rFonts w:ascii="Arial" w:cs="Arial" w:eastAsia="Arial" w:hAnsi="Arial"/>
          <w:sz w:val="16"/>
          <w:szCs w:val="16"/>
          <w:b w:val="1"/>
          <w:bCs w:val="1"/>
          <w:color w:val="auto"/>
        </w:rPr>
      </w:pPr>
    </w:p>
    <w:p>
      <w:pPr>
        <w:ind w:left="4" w:right="200" w:hanging="4"/>
        <w:spacing w:after="0" w:line="268" w:lineRule="auto"/>
        <w:tabs>
          <w:tab w:leader="none" w:pos="26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such Participant’s commission of any act of fraud, embezzlement, dishonesty or any other willful misconduct that has caused or is reasonably expected to result in material injury to the Company; (iii) unauthorized use or disclosure by such Participant of any proprietary information or trade secrets of the Company or any other party to whom the Participant owes an obligation of nondisclosure as a result of his or her relationship with the Company; or (iv) such Participant’s willful breach of any of his or her obligations under any written agreement or covenant with the Company.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sectPr>
      </w:pPr>
    </w:p>
    <w:bookmarkStart w:id="359" w:name="page360"/>
    <w:bookmarkEnd w:id="359"/>
    <w:p>
      <w:pPr>
        <w:ind w:right="420" w:firstLine="987"/>
        <w:spacing w:after="0" w:line="282" w:lineRule="auto"/>
        <w:tabs>
          <w:tab w:leader="none" w:pos="1246"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w:t>
      </w:r>
    </w:p>
    <w:p>
      <w:pPr>
        <w:spacing w:after="0" w:line="57" w:lineRule="exact"/>
        <w:rPr>
          <w:rFonts w:ascii="Arial" w:cs="Arial" w:eastAsia="Arial" w:hAnsi="Arial"/>
          <w:sz w:val="18"/>
          <w:szCs w:val="18"/>
          <w:b w:val="1"/>
          <w:bCs w:val="1"/>
          <w:color w:val="auto"/>
        </w:rPr>
      </w:pPr>
    </w:p>
    <w:p>
      <w:pPr>
        <w:ind w:right="120" w:firstLine="1428"/>
        <w:spacing w:after="0" w:line="285" w:lineRule="auto"/>
        <w:tabs>
          <w:tab w:leader="none" w:pos="1647" w:val="left"/>
        </w:tabs>
        <w:numPr>
          <w:ilvl w:val="1"/>
          <w:numId w:val="286"/>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Arial" w:cs="Arial" w:eastAsia="Arial" w:hAnsi="Arial"/>
          <w:sz w:val="16"/>
          <w:szCs w:val="16"/>
          <w:b w:val="1"/>
          <w:bCs w:val="1"/>
          <w:i w:val="1"/>
          <w:iCs w:val="1"/>
          <w:color w:val="auto"/>
        </w:rPr>
        <w:t>IPO Investor</w:t>
      </w:r>
      <w:r>
        <w:rPr>
          <w:rFonts w:ascii="Arial" w:cs="Arial" w:eastAsia="Arial" w:hAnsi="Arial"/>
          <w:sz w:val="16"/>
          <w:szCs w:val="16"/>
          <w:color w:val="auto"/>
        </w:rPr>
        <w:t>”) and/or any entity in which an IPO Investor has a direct or indirect interest (whether in the form of voting rights or participation in profits or capital contributions) of more than 50% (collectively,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Entities</w:t>
      </w:r>
      <w:r>
        <w:rPr>
          <w:rFonts w:ascii="Arial" w:cs="Arial" w:eastAsia="Arial" w:hAnsi="Arial"/>
          <w:sz w:val="16"/>
          <w:szCs w:val="16"/>
          <w:color w:val="auto"/>
        </w:rPr>
        <w:t>”) or on account of the IPO Entities continuing to hold shares that come to represent more than 50% of the combined voting power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3" w:lineRule="exact"/>
        <w:rPr>
          <w:rFonts w:ascii="Arial" w:cs="Arial" w:eastAsia="Arial" w:hAnsi="Arial"/>
          <w:sz w:val="16"/>
          <w:szCs w:val="16"/>
          <w:b w:val="1"/>
          <w:bCs w:val="1"/>
          <w:color w:val="auto"/>
        </w:rPr>
      </w:pPr>
    </w:p>
    <w:p>
      <w:pPr>
        <w:ind w:right="40" w:firstLine="1428"/>
        <w:spacing w:after="0" w:line="290" w:lineRule="auto"/>
        <w:tabs>
          <w:tab w:leader="none" w:pos="1697" w:val="left"/>
        </w:tabs>
        <w:numPr>
          <w:ilvl w:val="1"/>
          <w:numId w:val="286"/>
        </w:numPr>
        <w:rPr>
          <w:rFonts w:ascii="Arial" w:cs="Arial" w:eastAsia="Arial" w:hAnsi="Arial"/>
          <w:sz w:val="16"/>
          <w:szCs w:val="16"/>
          <w:b w:val="1"/>
          <w:bCs w:val="1"/>
          <w:color w:val="auto"/>
        </w:rPr>
      </w:pPr>
      <w:r>
        <w:rPr>
          <w:rFonts w:ascii="Arial" w:cs="Arial" w:eastAsia="Arial" w:hAnsi="Arial"/>
          <w:sz w:val="16"/>
          <w:szCs w:val="16"/>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provided, however,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65" w:lineRule="exact"/>
        <w:rPr>
          <w:rFonts w:ascii="Arial" w:cs="Arial" w:eastAsia="Arial" w:hAnsi="Arial"/>
          <w:sz w:val="16"/>
          <w:szCs w:val="16"/>
          <w:b w:val="1"/>
          <w:bCs w:val="1"/>
          <w:color w:val="auto"/>
        </w:rPr>
      </w:pPr>
    </w:p>
    <w:p>
      <w:pPr>
        <w:ind w:right="40" w:firstLine="1428"/>
        <w:spacing w:after="0" w:line="254" w:lineRule="auto"/>
        <w:tabs>
          <w:tab w:leader="none" w:pos="1747"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provided, however,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spacing w:after="0" w:line="191" w:lineRule="exact"/>
        <w:rPr>
          <w:rFonts w:ascii="Arial" w:cs="Arial" w:eastAsia="Arial" w:hAnsi="Arial"/>
          <w:sz w:val="18"/>
          <w:szCs w:val="18"/>
          <w:b w:val="1"/>
          <w:bCs w:val="1"/>
          <w:color w:val="auto"/>
        </w:rPr>
      </w:pPr>
    </w:p>
    <w:p>
      <w:pPr>
        <w:ind w:firstLine="1428"/>
        <w:spacing w:after="0" w:line="259" w:lineRule="auto"/>
        <w:tabs>
          <w:tab w:leader="none" w:pos="1737"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60" w:name="page361"/>
    <w:bookmarkEnd w:id="360"/>
    <w:p>
      <w:pPr>
        <w:ind w:right="18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definition or any other provision of the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172" w:lineRule="exact"/>
        <w:rPr>
          <w:sz w:val="20"/>
          <w:szCs w:val="20"/>
          <w:color w:val="auto"/>
        </w:rPr>
      </w:pPr>
    </w:p>
    <w:p>
      <w:pPr>
        <w:ind w:left="1260" w:hanging="273"/>
        <w:spacing w:after="0"/>
        <w:tabs>
          <w:tab w:leader="none" w:pos="1260"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236" w:lineRule="exact"/>
        <w:rPr>
          <w:rFonts w:ascii="Arial" w:cs="Arial" w:eastAsia="Arial" w:hAnsi="Arial"/>
          <w:sz w:val="17"/>
          <w:szCs w:val="17"/>
          <w:b w:val="1"/>
          <w:bCs w:val="1"/>
          <w:color w:val="auto"/>
        </w:rPr>
      </w:pPr>
    </w:p>
    <w:p>
      <w:pPr>
        <w:ind w:left="1200" w:hanging="213"/>
        <w:spacing w:after="0"/>
        <w:tabs>
          <w:tab w:leader="none" w:pos="1200"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two (2) or more Directors to whom authority has been delegated by the Board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2(c).</w:t>
      </w:r>
    </w:p>
    <w:p>
      <w:pPr>
        <w:spacing w:after="0" w:line="207" w:lineRule="exact"/>
        <w:rPr>
          <w:sz w:val="20"/>
          <w:szCs w:val="20"/>
          <w:color w:val="auto"/>
        </w:rPr>
      </w:pPr>
    </w:p>
    <w:p>
      <w:pPr>
        <w:ind w:right="120" w:firstLine="987"/>
        <w:spacing w:after="0" w:line="266" w:lineRule="auto"/>
        <w:tabs>
          <w:tab w:leader="none" w:pos="1216"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ordinary shares of the Company or depositary receipts issued for such shares by a Dutch foundation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solely for that reason that will hold and administer shares underlying such depository receipts in accordance with the trust conditions to be determined by the Board from time to time.</w:t>
      </w:r>
    </w:p>
    <w:p>
      <w:pPr>
        <w:spacing w:after="0" w:line="175" w:lineRule="exact"/>
        <w:rPr>
          <w:rFonts w:ascii="Arial" w:cs="Arial" w:eastAsia="Arial" w:hAnsi="Arial"/>
          <w:sz w:val="18"/>
          <w:szCs w:val="18"/>
          <w:b w:val="1"/>
          <w:bCs w:val="1"/>
          <w:color w:val="auto"/>
        </w:rPr>
      </w:pPr>
    </w:p>
    <w:p>
      <w:pPr>
        <w:ind w:right="140" w:firstLine="987"/>
        <w:spacing w:after="0" w:line="282" w:lineRule="auto"/>
        <w:tabs>
          <w:tab w:leader="none" w:pos="1256"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Pharvaris B.V., a limited liability company incorporated under the laws of the Netherlands, or any successor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substantially all of its businesses by merger, amalgamation, consolidation, purchase of assets, or otherwise.</w:t>
      </w:r>
    </w:p>
    <w:p>
      <w:pPr>
        <w:spacing w:after="0" w:line="161" w:lineRule="exact"/>
        <w:rPr>
          <w:rFonts w:ascii="Arial" w:cs="Arial" w:eastAsia="Arial" w:hAnsi="Arial"/>
          <w:sz w:val="18"/>
          <w:szCs w:val="18"/>
          <w:b w:val="1"/>
          <w:bCs w:val="1"/>
          <w:color w:val="auto"/>
        </w:rPr>
      </w:pPr>
    </w:p>
    <w:p>
      <w:pPr>
        <w:ind w:right="80" w:firstLine="987"/>
        <w:spacing w:after="0" w:line="277" w:lineRule="auto"/>
        <w:tabs>
          <w:tab w:leader="none" w:pos="1206"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67" w:lineRule="exact"/>
        <w:rPr>
          <w:rFonts w:ascii="Arial" w:cs="Arial" w:eastAsia="Arial" w:hAnsi="Arial"/>
          <w:sz w:val="17"/>
          <w:szCs w:val="17"/>
          <w:b w:val="1"/>
          <w:bCs w:val="1"/>
          <w:color w:val="auto"/>
        </w:rPr>
      </w:pPr>
    </w:p>
    <w:p>
      <w:pPr>
        <w:ind w:right="20" w:firstLine="987"/>
        <w:spacing w:after="0" w:line="287" w:lineRule="auto"/>
        <w:tabs>
          <w:tab w:leader="none" w:pos="1306"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that the Participant’s service with the Company or an Affiliate, whether as an Employee, Director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67" w:lineRule="exact"/>
        <w:rPr>
          <w:rFonts w:ascii="Arial" w:cs="Arial" w:eastAsia="Arial" w:hAnsi="Arial"/>
          <w:sz w:val="16"/>
          <w:szCs w:val="16"/>
          <w:b w:val="1"/>
          <w:bCs w:val="1"/>
          <w:color w:val="auto"/>
        </w:rPr>
      </w:pPr>
    </w:p>
    <w:p>
      <w:pPr>
        <w:ind w:firstLine="987"/>
        <w:spacing w:after="0" w:line="303" w:lineRule="auto"/>
        <w:tabs>
          <w:tab w:leader="none" w:pos="1256"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sale of all or substantially all of the Company’s assets, or a merger, consolidation or other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or business combination transaction of the Company with or into another corporation, entity or person, or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61" w:name="page362"/>
    <w:bookmarkEnd w:id="361"/>
    <w:p>
      <w:pPr>
        <w:ind w:left="1220" w:hanging="253"/>
        <w:spacing w:after="0"/>
        <w:tabs>
          <w:tab w:leader="none" w:pos="122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b w:val="1"/>
          <w:bCs w:val="1"/>
          <w:color w:val="auto"/>
        </w:rPr>
      </w:pPr>
    </w:p>
    <w:p>
      <w:pPr>
        <w:ind w:left="-20" w:firstLine="987"/>
        <w:spacing w:after="0" w:line="281" w:lineRule="auto"/>
        <w:tabs>
          <w:tab w:leader="none" w:pos="1236"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means, with respect to a Participant, the inability of such Participant to engage in any substantial gainful activity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64" w:lineRule="exact"/>
        <w:rPr>
          <w:rFonts w:ascii="Arial" w:cs="Arial" w:eastAsia="Arial" w:hAnsi="Arial"/>
          <w:sz w:val="17"/>
          <w:szCs w:val="17"/>
          <w:b w:val="1"/>
          <w:bCs w:val="1"/>
          <w:color w:val="auto"/>
        </w:rPr>
      </w:pPr>
    </w:p>
    <w:p>
      <w:pPr>
        <w:ind w:left="1240" w:hanging="273"/>
        <w:spacing w:after="0"/>
        <w:tabs>
          <w:tab w:leader="none" w:pos="1240"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Dissolution”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when the Company has completely wound up its affairs and dissolved in accordance with applicable law.</w:t>
      </w:r>
    </w:p>
    <w:p>
      <w:pPr>
        <w:spacing w:after="0" w:line="236" w:lineRule="exact"/>
        <w:rPr>
          <w:rFonts w:ascii="Arial" w:cs="Arial" w:eastAsia="Arial" w:hAnsi="Arial"/>
          <w:sz w:val="17"/>
          <w:szCs w:val="17"/>
          <w:b w:val="1"/>
          <w:bCs w:val="1"/>
          <w:color w:val="auto"/>
        </w:rPr>
      </w:pPr>
    </w:p>
    <w:p>
      <w:pPr>
        <w:ind w:left="-20" w:right="700" w:firstLine="987"/>
        <w:spacing w:after="0" w:line="282" w:lineRule="auto"/>
        <w:tabs>
          <w:tab w:leader="none" w:pos="1216"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shareholders, and (ii) the date this Plan is adopted by the Board.</w:t>
      </w:r>
    </w:p>
    <w:p>
      <w:pPr>
        <w:spacing w:after="0" w:line="161" w:lineRule="exact"/>
        <w:rPr>
          <w:rFonts w:ascii="Arial" w:cs="Arial" w:eastAsia="Arial" w:hAnsi="Arial"/>
          <w:sz w:val="18"/>
          <w:szCs w:val="18"/>
          <w:b w:val="1"/>
          <w:bCs w:val="1"/>
          <w:color w:val="auto"/>
        </w:rPr>
      </w:pPr>
    </w:p>
    <w:p>
      <w:pPr>
        <w:ind w:left="-20" w:right="200" w:firstLine="987"/>
        <w:spacing w:after="0" w:line="282" w:lineRule="auto"/>
        <w:tabs>
          <w:tab w:leader="none" w:pos="1206"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employed by the Company or an Affiliate. However, service solely as a Director, or payment of a fee</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services, will not cause a Director to be considered an “Employee” for purposes of the Plan.</w:t>
      </w:r>
    </w:p>
    <w:p>
      <w:pPr>
        <w:spacing w:after="0" w:line="161" w:lineRule="exact"/>
        <w:rPr>
          <w:rFonts w:ascii="Arial" w:cs="Arial" w:eastAsia="Arial" w:hAnsi="Arial"/>
          <w:sz w:val="18"/>
          <w:szCs w:val="18"/>
          <w:b w:val="1"/>
          <w:bCs w:val="1"/>
          <w:color w:val="auto"/>
        </w:rPr>
      </w:pPr>
    </w:p>
    <w:p>
      <w:pPr>
        <w:ind w:left="1200" w:hanging="233"/>
        <w:spacing w:after="0"/>
        <w:tabs>
          <w:tab w:leader="none" w:pos="120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1240" w:hanging="273"/>
        <w:spacing w:after="0"/>
        <w:tabs>
          <w:tab w:leader="none" w:pos="1240"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Securities Exchange Act of 1934, as amended, and the rules and regulations promulgated thereunder.</w:t>
      </w:r>
    </w:p>
    <w:p>
      <w:pPr>
        <w:spacing w:after="0" w:line="248" w:lineRule="exact"/>
        <w:rPr>
          <w:rFonts w:ascii="Arial" w:cs="Arial" w:eastAsia="Arial" w:hAnsi="Arial"/>
          <w:sz w:val="16"/>
          <w:szCs w:val="16"/>
          <w:b w:val="1"/>
          <w:bCs w:val="1"/>
          <w:color w:val="auto"/>
        </w:rPr>
      </w:pPr>
    </w:p>
    <w:p>
      <w:pPr>
        <w:ind w:left="-20" w:right="100" w:firstLine="987"/>
        <w:spacing w:after="0" w:line="254" w:lineRule="auto"/>
        <w:tabs>
          <w:tab w:leader="none" w:pos="1226"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natural person, Entity or “group” (within the meaning of Section 13(d) or 14(d)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shareholders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91" w:lineRule="exact"/>
        <w:rPr>
          <w:rFonts w:ascii="Arial" w:cs="Arial" w:eastAsia="Arial" w:hAnsi="Arial"/>
          <w:sz w:val="18"/>
          <w:szCs w:val="18"/>
          <w:b w:val="1"/>
          <w:bCs w:val="1"/>
          <w:color w:val="auto"/>
        </w:rPr>
      </w:pPr>
    </w:p>
    <w:p>
      <w:pPr>
        <w:ind w:left="1260" w:hanging="293"/>
        <w:spacing w:after="0"/>
        <w:tabs>
          <w:tab w:leader="none" w:pos="12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as of any date, the value of the Common Stock determined as follows:</w:t>
      </w:r>
    </w:p>
    <w:p>
      <w:pPr>
        <w:spacing w:after="0" w:line="121" w:lineRule="exact"/>
        <w:rPr>
          <w:rFonts w:ascii="Arial" w:cs="Arial" w:eastAsia="Arial" w:hAnsi="Arial"/>
          <w:sz w:val="18"/>
          <w:szCs w:val="18"/>
          <w:b w:val="1"/>
          <w:bCs w:val="1"/>
          <w:color w:val="auto"/>
        </w:rPr>
      </w:pPr>
    </w:p>
    <w:p>
      <w:pPr>
        <w:jc w:val="both"/>
        <w:ind w:left="-20" w:right="60" w:firstLine="1428"/>
        <w:spacing w:after="0" w:line="259" w:lineRule="auto"/>
        <w:tabs>
          <w:tab w:leader="none" w:pos="1627"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86" w:lineRule="exact"/>
        <w:rPr>
          <w:rFonts w:ascii="Arial" w:cs="Arial" w:eastAsia="Arial" w:hAnsi="Arial"/>
          <w:sz w:val="18"/>
          <w:szCs w:val="18"/>
          <w:b w:val="1"/>
          <w:bCs w:val="1"/>
          <w:color w:val="auto"/>
        </w:rPr>
      </w:pPr>
    </w:p>
    <w:p>
      <w:pPr>
        <w:ind w:left="-20" w:right="220" w:firstLine="1428"/>
        <w:spacing w:after="0" w:line="277" w:lineRule="auto"/>
        <w:tabs>
          <w:tab w:leader="none" w:pos="1677"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0" w:lineRule="exact"/>
        <w:rPr>
          <w:rFonts w:ascii="Arial" w:cs="Arial" w:eastAsia="Arial" w:hAnsi="Arial"/>
          <w:sz w:val="18"/>
          <w:szCs w:val="18"/>
          <w:b w:val="1"/>
          <w:bCs w:val="1"/>
          <w:color w:val="auto"/>
        </w:rPr>
      </w:pPr>
    </w:p>
    <w:p>
      <w:pPr>
        <w:ind w:left="-20" w:right="40" w:firstLine="1428"/>
        <w:spacing w:after="0" w:line="277" w:lineRule="auto"/>
        <w:tabs>
          <w:tab w:leader="none" w:pos="1727"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0" w:right="479" w:bottom="1440" w:gutter="0" w:footer="0" w:header="0"/>
        </w:sectPr>
      </w:pPr>
    </w:p>
    <w:bookmarkStart w:id="362" w:name="page363"/>
    <w:bookmarkEnd w:id="362"/>
    <w:p>
      <w:pPr>
        <w:ind w:left="4" w:right="380" w:firstLine="987"/>
        <w:spacing w:after="0" w:line="282" w:lineRule="auto"/>
        <w:tabs>
          <w:tab w:leader="none" w:pos="1250" w:val="left"/>
        </w:tabs>
        <w:numPr>
          <w:ilvl w:val="1"/>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that qualifies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 within the meaning of Section 422 of the Code.</w:t>
      </w:r>
    </w:p>
    <w:p>
      <w:pPr>
        <w:spacing w:after="0" w:line="161" w:lineRule="exact"/>
        <w:rPr>
          <w:rFonts w:ascii="Arial" w:cs="Arial" w:eastAsia="Arial" w:hAnsi="Arial"/>
          <w:sz w:val="18"/>
          <w:szCs w:val="18"/>
          <w:b w:val="1"/>
          <w:bCs w:val="1"/>
          <w:color w:val="auto"/>
        </w:rPr>
      </w:pPr>
    </w:p>
    <w:p>
      <w:pPr>
        <w:ind w:left="4" w:right="640" w:firstLine="987"/>
        <w:spacing w:after="0" w:line="347" w:lineRule="auto"/>
        <w:tabs>
          <w:tab w:leader="none" w:pos="1250" w:val="left"/>
        </w:tabs>
        <w:numPr>
          <w:ilvl w:val="1"/>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IPO Date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date and time of execution of the underwriting agreement between the Company and the underwriter(s)</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the initial public offering of the Common Stock, pursuant to which the Common Stock is priced for the initial public offering.</w:t>
      </w:r>
    </w:p>
    <w:p>
      <w:pPr>
        <w:spacing w:after="0" w:line="115" w:lineRule="exact"/>
        <w:rPr>
          <w:rFonts w:ascii="Arial" w:cs="Arial" w:eastAsia="Arial" w:hAnsi="Arial"/>
          <w:sz w:val="16"/>
          <w:szCs w:val="16"/>
          <w:b w:val="1"/>
          <w:bCs w:val="1"/>
          <w:color w:val="auto"/>
        </w:rPr>
      </w:pPr>
    </w:p>
    <w:p>
      <w:pPr>
        <w:ind w:left="4" w:right="80" w:firstLine="987"/>
        <w:spacing w:after="0" w:line="286" w:lineRule="auto"/>
        <w:tabs>
          <w:tab w:leader="none" w:pos="1240" w:val="left"/>
        </w:tabs>
        <w:numPr>
          <w:ilvl w:val="1"/>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Director who either (i) is not a current employee or officer of the Company or an Affiliate, does</w:t>
      </w:r>
      <w:r>
        <w:rPr>
          <w:rFonts w:ascii="Arial" w:cs="Arial" w:eastAsia="Arial" w:hAnsi="Arial"/>
          <w:sz w:val="16"/>
          <w:szCs w:val="16"/>
          <w:b w:val="1"/>
          <w:bCs w:val="1"/>
          <w:color w:val="auto"/>
        </w:rPr>
        <w:t xml:space="preserve"> </w:t>
      </w:r>
      <w:r>
        <w:rPr>
          <w:rFonts w:ascii="Arial" w:cs="Arial" w:eastAsia="Arial" w:hAnsi="Arial"/>
          <w:sz w:val="16"/>
          <w:szCs w:val="16"/>
          <w:color w:val="auto"/>
        </w:rPr>
        <w:t>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 -K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06" w:lineRule="exact"/>
        <w:rPr>
          <w:rFonts w:ascii="Arial" w:cs="Arial" w:eastAsia="Arial" w:hAnsi="Arial"/>
          <w:sz w:val="18"/>
          <w:szCs w:val="18"/>
          <w:color w:val="auto"/>
        </w:rPr>
      </w:pPr>
    </w:p>
    <w:p>
      <w:pPr>
        <w:ind w:left="1344" w:hanging="353"/>
        <w:spacing w:after="0"/>
        <w:tabs>
          <w:tab w:leader="none" w:pos="1344"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option granted pursuant to Section 5 of the Plan that does not qualify as an Incentive Stock</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206" w:lineRule="exact"/>
        <w:rPr>
          <w:rFonts w:ascii="Arial" w:cs="Arial" w:eastAsia="Arial" w:hAnsi="Arial"/>
          <w:sz w:val="16"/>
          <w:szCs w:val="16"/>
          <w:b w:val="1"/>
          <w:bCs w:val="1"/>
          <w:color w:val="auto"/>
        </w:rPr>
      </w:pPr>
    </w:p>
    <w:p>
      <w:pPr>
        <w:ind w:left="1364" w:hanging="373"/>
        <w:spacing w:after="0"/>
        <w:tabs>
          <w:tab w:leader="none" w:pos="1364"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who is an officer within the meaning of Section 16 of the Exchange Act.</w:t>
      </w:r>
    </w:p>
    <w:p>
      <w:pPr>
        <w:spacing w:after="0" w:line="225" w:lineRule="exact"/>
        <w:rPr>
          <w:rFonts w:ascii="Arial" w:cs="Arial" w:eastAsia="Arial" w:hAnsi="Arial"/>
          <w:sz w:val="18"/>
          <w:szCs w:val="18"/>
          <w:b w:val="1"/>
          <w:bCs w:val="1"/>
          <w:color w:val="auto"/>
        </w:rPr>
      </w:pPr>
    </w:p>
    <w:p>
      <w:pPr>
        <w:ind w:left="1324" w:hanging="333"/>
        <w:spacing w:after="0"/>
        <w:tabs>
          <w:tab w:leader="none" w:pos="1324"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the Plan.</w:t>
      </w:r>
    </w:p>
    <w:p>
      <w:pPr>
        <w:spacing w:after="0" w:line="206" w:lineRule="exact"/>
        <w:rPr>
          <w:rFonts w:ascii="Arial" w:cs="Arial" w:eastAsia="Arial" w:hAnsi="Arial"/>
          <w:sz w:val="16"/>
          <w:szCs w:val="16"/>
          <w:b w:val="1"/>
          <w:bCs w:val="1"/>
          <w:color w:val="auto"/>
        </w:rPr>
      </w:pPr>
    </w:p>
    <w:p>
      <w:pPr>
        <w:ind w:left="4" w:right="120" w:firstLine="987"/>
        <w:spacing w:after="0" w:line="282" w:lineRule="auto"/>
        <w:tabs>
          <w:tab w:leader="none" w:pos="1360"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an Optionholder evidencing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grant. Each Option Agreement will be subject to the terms and conditions of the Plan.</w:t>
      </w:r>
    </w:p>
    <w:p>
      <w:pPr>
        <w:spacing w:after="0" w:line="161" w:lineRule="exact"/>
        <w:rPr>
          <w:rFonts w:ascii="Arial" w:cs="Arial" w:eastAsia="Arial" w:hAnsi="Arial"/>
          <w:sz w:val="18"/>
          <w:szCs w:val="18"/>
          <w:b w:val="1"/>
          <w:bCs w:val="1"/>
          <w:color w:val="auto"/>
        </w:rPr>
      </w:pPr>
    </w:p>
    <w:p>
      <w:pPr>
        <w:ind w:left="4" w:right="180" w:firstLine="987"/>
        <w:spacing w:after="0" w:line="282" w:lineRule="auto"/>
        <w:tabs>
          <w:tab w:leader="none" w:pos="1320"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161" w:lineRule="exact"/>
        <w:rPr>
          <w:rFonts w:ascii="Arial" w:cs="Arial" w:eastAsia="Arial" w:hAnsi="Arial"/>
          <w:sz w:val="18"/>
          <w:szCs w:val="18"/>
          <w:b w:val="1"/>
          <w:bCs w:val="1"/>
          <w:color w:val="auto"/>
        </w:rPr>
      </w:pPr>
    </w:p>
    <w:p>
      <w:pPr>
        <w:ind w:left="4" w:right="240" w:firstLine="987"/>
        <w:spacing w:after="0" w:line="282" w:lineRule="auto"/>
        <w:tabs>
          <w:tab w:leader="none" w:pos="1280"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Section 6(c).</w:t>
      </w:r>
    </w:p>
    <w:p>
      <w:pPr>
        <w:spacing w:after="0" w:line="161" w:lineRule="exact"/>
        <w:rPr>
          <w:rFonts w:ascii="Arial" w:cs="Arial" w:eastAsia="Arial" w:hAnsi="Arial"/>
          <w:sz w:val="18"/>
          <w:szCs w:val="18"/>
          <w:b w:val="1"/>
          <w:bCs w:val="1"/>
          <w:color w:val="auto"/>
        </w:rPr>
      </w:pPr>
    </w:p>
    <w:p>
      <w:pPr>
        <w:ind w:left="4" w:firstLine="987"/>
        <w:spacing w:after="0" w:line="347" w:lineRule="auto"/>
        <w:tabs>
          <w:tab w:leader="none" w:pos="1340"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agreement between the Company and a holder of an Other Stock Award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of an Other Stock Award grant. Each Other Stock Award Agreement will be subject to the terms and conditions of the Plan.</w:t>
      </w:r>
    </w:p>
    <w:p>
      <w:pPr>
        <w:spacing w:after="0" w:line="115" w:lineRule="exact"/>
        <w:rPr>
          <w:rFonts w:ascii="Arial" w:cs="Arial" w:eastAsia="Arial" w:hAnsi="Arial"/>
          <w:sz w:val="16"/>
          <w:szCs w:val="16"/>
          <w:b w:val="1"/>
          <w:bCs w:val="1"/>
          <w:color w:val="auto"/>
        </w:rPr>
      </w:pPr>
    </w:p>
    <w:p>
      <w:pPr>
        <w:jc w:val="both"/>
        <w:ind w:left="4" w:right="20" w:firstLine="987"/>
        <w:spacing w:after="0" w:line="289" w:lineRule="auto"/>
        <w:tabs>
          <w:tab w:leader="none" w:pos="1360" w:val="left"/>
        </w:tabs>
        <w:numPr>
          <w:ilvl w:val="1"/>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Own</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A person or Entity will be deemed to “Own,” to have “Owned,” to be the “Owner” of, or</w:t>
      </w:r>
      <w:r>
        <w:rPr>
          <w:rFonts w:ascii="Arial" w:cs="Arial" w:eastAsia="Arial" w:hAnsi="Arial"/>
          <w:sz w:val="17"/>
          <w:szCs w:val="17"/>
          <w:b w:val="1"/>
          <w:bCs w:val="1"/>
          <w:color w:val="auto"/>
        </w:rPr>
        <w:t xml:space="preserve"> </w:t>
      </w:r>
      <w:r>
        <w:rPr>
          <w:rFonts w:ascii="Arial" w:cs="Arial" w:eastAsia="Arial" w:hAnsi="Arial"/>
          <w:sz w:val="17"/>
          <w:szCs w:val="17"/>
          <w:color w:val="auto"/>
        </w:rPr>
        <w:t>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7" w:lineRule="exact"/>
        <w:rPr>
          <w:rFonts w:ascii="Arial" w:cs="Arial" w:eastAsia="Arial" w:hAnsi="Arial"/>
          <w:sz w:val="17"/>
          <w:szCs w:val="17"/>
          <w:b w:val="1"/>
          <w:bCs w:val="1"/>
          <w:color w:val="auto"/>
        </w:rPr>
      </w:pPr>
    </w:p>
    <w:p>
      <w:pPr>
        <w:ind w:left="4" w:right="420" w:firstLine="987"/>
        <w:spacing w:after="0" w:line="282" w:lineRule="auto"/>
        <w:tabs>
          <w:tab w:leader="none" w:pos="1260"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an Award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w:t>
      </w:r>
    </w:p>
    <w:p>
      <w:pPr>
        <w:spacing w:after="0" w:line="161" w:lineRule="exact"/>
        <w:rPr>
          <w:rFonts w:ascii="Arial" w:cs="Arial" w:eastAsia="Arial" w:hAnsi="Arial"/>
          <w:sz w:val="18"/>
          <w:szCs w:val="18"/>
          <w:b w:val="1"/>
          <w:bCs w:val="1"/>
          <w:color w:val="auto"/>
        </w:rPr>
      </w:pPr>
    </w:p>
    <w:p>
      <w:pPr>
        <w:ind w:left="1284" w:hanging="293"/>
        <w:spacing w:after="0"/>
        <w:tabs>
          <w:tab w:leader="none" w:pos="1284"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of cash granted pursuant to the terms and conditions of Section 6(c)(ii).</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0" w:right="439" w:bottom="1440" w:gutter="0" w:footer="0" w:header="0"/>
        </w:sectPr>
      </w:pPr>
    </w:p>
    <w:bookmarkStart w:id="363" w:name="page364"/>
    <w:bookmarkEnd w:id="363"/>
    <w:p>
      <w:pPr>
        <w:ind w:left="4" w:right="40" w:firstLine="987"/>
        <w:spacing w:after="0" w:line="284" w:lineRule="auto"/>
        <w:tabs>
          <w:tab w:leader="none" w:pos="1360" w:val="left"/>
        </w:tabs>
        <w:numPr>
          <w:ilvl w:val="1"/>
          <w:numId w:val="29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will select for purposes of establishing the 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for a 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total stockholder return; (ix) return on equity or average stockholder’s equity; (x) return on assets, investment, or capital employed; (xi) stock price;</w:t>
      </w:r>
    </w:p>
    <w:p>
      <w:pPr>
        <w:spacing w:after="0" w:line="4" w:lineRule="exact"/>
        <w:rPr>
          <w:rFonts w:ascii="Arial" w:cs="Arial" w:eastAsia="Arial" w:hAnsi="Arial"/>
          <w:sz w:val="16"/>
          <w:szCs w:val="16"/>
          <w:b w:val="1"/>
          <w:bCs w:val="1"/>
          <w:color w:val="auto"/>
        </w:rPr>
      </w:pPr>
    </w:p>
    <w:p>
      <w:pPr>
        <w:ind w:left="364" w:hanging="364"/>
        <w:spacing w:after="0"/>
        <w:tabs>
          <w:tab w:leader="none" w:pos="36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margin (including gross margin); (xiii) income (before or after taxes); (xiv) operating income; (xv) operating income after taxes; (xvi) pre-tax</w:t>
      </w:r>
    </w:p>
    <w:p>
      <w:pPr>
        <w:spacing w:after="0" w:line="20"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profit; (xvii) operating cash flow; (xviii) sales or revenue targets; (xix) increases in revenue or product revenue; (xx) expenses and cost reduction goals;</w:t>
      </w:r>
    </w:p>
    <w:p>
      <w:pPr>
        <w:spacing w:after="0" w:line="32" w:lineRule="exact"/>
        <w:rPr>
          <w:rFonts w:ascii="Arial" w:cs="Arial" w:eastAsia="Arial" w:hAnsi="Arial"/>
          <w:sz w:val="17"/>
          <w:szCs w:val="17"/>
          <w:color w:val="auto"/>
        </w:rPr>
      </w:pPr>
    </w:p>
    <w:p>
      <w:pPr>
        <w:ind w:left="4" w:right="100" w:hanging="4"/>
        <w:spacing w:after="0" w:line="281" w:lineRule="auto"/>
        <w:tabs>
          <w:tab w:leader="none" w:pos="399"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improvement in or attainment of working capital levels; (xxii) economic value added (or an equivalent metric); (xxiii) market share; (xxiv) cash flow; (xxv) cash flow per share; (xxvi) share price performance; (xxvii) debt reduction; (xxviii) implementation or completion of projects or processes;</w:t>
      </w:r>
    </w:p>
    <w:p>
      <w:pPr>
        <w:spacing w:after="0" w:line="1" w:lineRule="exact"/>
        <w:rPr>
          <w:rFonts w:ascii="Arial" w:cs="Arial" w:eastAsia="Arial" w:hAnsi="Arial"/>
          <w:sz w:val="16"/>
          <w:szCs w:val="16"/>
          <w:color w:val="auto"/>
        </w:rPr>
      </w:pPr>
    </w:p>
    <w:p>
      <w:pPr>
        <w:ind w:left="484" w:hanging="484"/>
        <w:spacing w:after="0"/>
        <w:tabs>
          <w:tab w:leader="none" w:pos="48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employee retention; (xxx) stockholders’ equity; (xxxi) capital expenditures; (xxxii) debt levels; (xxxiii) operating profit or net operating profit;</w:t>
      </w:r>
    </w:p>
    <w:p>
      <w:pPr>
        <w:spacing w:after="0" w:line="20" w:lineRule="exact"/>
        <w:rPr>
          <w:rFonts w:ascii="Arial" w:cs="Arial" w:eastAsia="Arial" w:hAnsi="Arial"/>
          <w:sz w:val="17"/>
          <w:szCs w:val="17"/>
          <w:color w:val="auto"/>
        </w:rPr>
      </w:pPr>
    </w:p>
    <w:p>
      <w:pPr>
        <w:ind w:left="4" w:right="80" w:hanging="4"/>
        <w:spacing w:after="0" w:line="273" w:lineRule="auto"/>
        <w:tabs>
          <w:tab w:leader="none" w:pos="579" w:val="left"/>
        </w:tabs>
        <w:numPr>
          <w:ilvl w:val="0"/>
          <w:numId w:val="296"/>
        </w:numPr>
        <w:rPr>
          <w:rFonts w:ascii="Arial" w:cs="Arial" w:eastAsia="Arial" w:hAnsi="Arial"/>
          <w:sz w:val="17"/>
          <w:szCs w:val="17"/>
          <w:color w:val="auto"/>
        </w:rPr>
      </w:pPr>
      <w:r>
        <w:rPr>
          <w:rFonts w:ascii="Arial" w:cs="Arial" w:eastAsia="Arial" w:hAnsi="Arial"/>
          <w:sz w:val="17"/>
          <w:szCs w:val="17"/>
          <w:color w:val="auto"/>
        </w:rPr>
        <w:t>workforce diversity; (xxxv) growth of net income or operating income; (xxxvi) billings; (xxxvii) bookings; (xxxviii) initiation or completion of phases of clinical trials and/or studies by specified dates; (xxxix) patient enrollment rates, (xxxx) budget management; (xxxxi) regulatory body and/or pricing approval with respect to products, studies and/or trials; (xxxxii) commercial launch of products; (xxxxiii) progress of partnered programs; (xxxxix) strategic partnerships or transactions; and (xxxxx) other measures of performance selected by the Board.</w:t>
      </w:r>
    </w:p>
    <w:p>
      <w:pPr>
        <w:spacing w:after="0" w:line="172" w:lineRule="exact"/>
        <w:rPr>
          <w:rFonts w:ascii="Arial" w:cs="Arial" w:eastAsia="Arial" w:hAnsi="Arial"/>
          <w:sz w:val="17"/>
          <w:szCs w:val="17"/>
          <w:color w:val="auto"/>
        </w:rPr>
      </w:pPr>
    </w:p>
    <w:p>
      <w:pPr>
        <w:ind w:left="4" w:firstLine="987"/>
        <w:spacing w:after="0" w:line="284" w:lineRule="auto"/>
        <w:tabs>
          <w:tab w:leader="none" w:pos="1260" w:val="left"/>
        </w:tabs>
        <w:numPr>
          <w:ilvl w:val="1"/>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means, for a Performance Period, the one or more goals established by the Board for the Performance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 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(12) to exclude the effect of any other unusual, non-recurring gain or loss or other extraordinary item; (13) to exclude the effects of the timing of acceptance for review and/or approval of submissions to the Food and Drug Administration or any other regulatory body and (14) to exclude the effects of entering into or achieving milestones involved in licensing, collaboration, or other business development transactions.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1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0" w:right="479" w:bottom="1440" w:gutter="0" w:footer="0" w:header="0"/>
        </w:sectPr>
      </w:pPr>
    </w:p>
    <w:bookmarkStart w:id="364" w:name="page365"/>
    <w:bookmarkEnd w:id="364"/>
    <w:p>
      <w:pPr>
        <w:ind w:right="440" w:firstLine="987"/>
        <w:spacing w:after="0" w:line="266" w:lineRule="auto"/>
        <w:tabs>
          <w:tab w:leader="none" w:pos="145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of time selected by the Board over which the attainment of one or more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will be measured for the purpose of determining a Participant’s right to and the payment of a Stock Award or a Performance Cash Award. Performance Periods may be of varying and overlapping duration, at the sole discretion of the Board.</w:t>
      </w:r>
    </w:p>
    <w:p>
      <w:pPr>
        <w:spacing w:after="0" w:line="17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Stock Award granted under the terms and conditions of Section 6(c)(i).</w:t>
      </w:r>
    </w:p>
    <w:p>
      <w:pPr>
        <w:spacing w:after="0" w:line="22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Pharvaris B.V. 2016 Equity Incentive Plan.</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6(a).</w:t>
      </w:r>
    </w:p>
    <w:p>
      <w:pPr>
        <w:spacing w:after="0" w:line="206" w:lineRule="exact"/>
        <w:rPr>
          <w:rFonts w:ascii="Arial" w:cs="Arial" w:eastAsia="Arial" w:hAnsi="Arial"/>
          <w:sz w:val="16"/>
          <w:szCs w:val="16"/>
          <w:b w:val="1"/>
          <w:bCs w:val="1"/>
          <w:color w:val="auto"/>
        </w:rPr>
      </w:pPr>
    </w:p>
    <w:p>
      <w:pPr>
        <w:ind w:right="280" w:firstLine="987"/>
        <w:spacing w:after="0" w:line="266" w:lineRule="auto"/>
        <w:tabs>
          <w:tab w:leader="none" w:pos="135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Award grant. Each Restricted Stock Award Agreement will be subject to the terms and conditions of the Plan.</w:t>
      </w:r>
    </w:p>
    <w:p>
      <w:pPr>
        <w:spacing w:after="0" w:line="175" w:lineRule="exact"/>
        <w:rPr>
          <w:rFonts w:ascii="Arial" w:cs="Arial" w:eastAsia="Arial" w:hAnsi="Arial"/>
          <w:sz w:val="18"/>
          <w:szCs w:val="18"/>
          <w:b w:val="1"/>
          <w:bCs w:val="1"/>
          <w:color w:val="auto"/>
        </w:rPr>
      </w:pPr>
    </w:p>
    <w:p>
      <w:pPr>
        <w:ind w:right="700" w:firstLine="987"/>
        <w:spacing w:after="0" w:line="282" w:lineRule="auto"/>
        <w:tabs>
          <w:tab w:leader="none" w:pos="131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right to receive shares of Common Stock which is granted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Section 6(b).</w:t>
      </w:r>
    </w:p>
    <w:p>
      <w:pPr>
        <w:spacing w:after="0" w:line="161" w:lineRule="exact"/>
        <w:rPr>
          <w:rFonts w:ascii="Arial" w:cs="Arial" w:eastAsia="Arial" w:hAnsi="Arial"/>
          <w:sz w:val="18"/>
          <w:szCs w:val="18"/>
          <w:b w:val="1"/>
          <w:bCs w:val="1"/>
          <w:color w:val="auto"/>
        </w:rPr>
      </w:pPr>
    </w:p>
    <w:p>
      <w:pPr>
        <w:jc w:val="both"/>
        <w:ind w:right="100" w:firstLine="987"/>
        <w:spacing w:after="0" w:line="289" w:lineRule="auto"/>
        <w:tabs>
          <w:tab w:leader="none" w:pos="1296"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Restricted Stock Unit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written agreement between the Company and a holder of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evidencing the terms and conditions of a Restricted Stock Unit Award grant. Each Restricted Stock Unit Award Agreement will be subject to the terms and conditions of the Plan.</w:t>
      </w:r>
    </w:p>
    <w:p>
      <w:pPr>
        <w:spacing w:after="0" w:line="157" w:lineRule="exact"/>
        <w:rPr>
          <w:rFonts w:ascii="Arial" w:cs="Arial" w:eastAsia="Arial" w:hAnsi="Arial"/>
          <w:sz w:val="17"/>
          <w:szCs w:val="17"/>
          <w:b w:val="1"/>
          <w:bCs w:val="1"/>
          <w:color w:val="auto"/>
        </w:rPr>
      </w:pPr>
    </w:p>
    <w:p>
      <w:pPr>
        <w:ind w:left="1280" w:hanging="293"/>
        <w:spacing w:after="0"/>
        <w:tabs>
          <w:tab w:leader="none" w:pos="1280"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b w:val="1"/>
          <w:bCs w:val="1"/>
          <w:color w:val="auto"/>
        </w:rPr>
        <w:t xml:space="preserve">” </w:t>
      </w:r>
      <w:r>
        <w:rPr>
          <w:rFonts w:ascii="Arial" w:cs="Arial" w:eastAsia="Arial" w:hAnsi="Arial"/>
          <w:sz w:val="16"/>
          <w:szCs w:val="16"/>
          <w:color w:val="auto"/>
        </w:rPr>
        <w:t>means Rule 16b-3 promulgated under the Exchange Act or any successor to Rule 16b-3, as in effect from time to time.</w:t>
      </w:r>
    </w:p>
    <w:p>
      <w:pPr>
        <w:spacing w:after="0" w:line="248" w:lineRule="exact"/>
        <w:rPr>
          <w:rFonts w:ascii="Arial" w:cs="Arial" w:eastAsia="Arial" w:hAnsi="Arial"/>
          <w:sz w:val="16"/>
          <w:szCs w:val="16"/>
          <w:b w:val="1"/>
          <w:bCs w:val="1"/>
          <w:color w:val="auto"/>
        </w:rPr>
      </w:pPr>
    </w:p>
    <w:p>
      <w:pPr>
        <w:ind w:left="1360" w:hanging="373"/>
        <w:spacing w:after="0"/>
        <w:tabs>
          <w:tab w:leader="none" w:pos="13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b w:val="1"/>
          <w:bCs w:val="1"/>
          <w:color w:val="auto"/>
        </w:rPr>
        <w:t xml:space="preserve">” </w:t>
      </w:r>
      <w:r>
        <w:rPr>
          <w:rFonts w:ascii="Arial" w:cs="Arial" w:eastAsia="Arial" w:hAnsi="Arial"/>
          <w:sz w:val="18"/>
          <w:szCs w:val="18"/>
          <w:color w:val="auto"/>
        </w:rPr>
        <w:t>means Rule 405 promulgated under the Securities Act.</w:t>
      </w:r>
    </w:p>
    <w:p>
      <w:pPr>
        <w:spacing w:after="0" w:line="22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Act of 1933, as amended.</w:t>
      </w:r>
    </w:p>
    <w:p>
      <w:pPr>
        <w:spacing w:after="0" w:line="225" w:lineRule="exact"/>
        <w:rPr>
          <w:rFonts w:ascii="Arial" w:cs="Arial" w:eastAsia="Arial" w:hAnsi="Arial"/>
          <w:sz w:val="18"/>
          <w:szCs w:val="18"/>
          <w:b w:val="1"/>
          <w:bCs w:val="1"/>
          <w:color w:val="auto"/>
        </w:rPr>
      </w:pPr>
    </w:p>
    <w:p>
      <w:pPr>
        <w:ind w:right="260" w:firstLine="987"/>
        <w:spacing w:after="0" w:line="282" w:lineRule="auto"/>
        <w:tabs>
          <w:tab w:leader="none" w:pos="141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Section 5.</w:t>
      </w:r>
    </w:p>
    <w:p>
      <w:pPr>
        <w:spacing w:after="0" w:line="161" w:lineRule="exact"/>
        <w:rPr>
          <w:rFonts w:ascii="Arial" w:cs="Arial" w:eastAsia="Arial" w:hAnsi="Arial"/>
          <w:sz w:val="18"/>
          <w:szCs w:val="18"/>
          <w:b w:val="1"/>
          <w:bCs w:val="1"/>
          <w:color w:val="auto"/>
        </w:rPr>
      </w:pPr>
    </w:p>
    <w:p>
      <w:pPr>
        <w:ind w:firstLine="987"/>
        <w:spacing w:after="0" w:line="266" w:lineRule="auto"/>
        <w:tabs>
          <w:tab w:leader="none" w:pos="133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holder of a 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Stock Appreciation Right grant. Each Stock Appreciation Right Agreement will be subject to the terms and conditions of the Plan.</w:t>
      </w:r>
    </w:p>
    <w:p>
      <w:pPr>
        <w:spacing w:after="0" w:line="175" w:lineRule="exact"/>
        <w:rPr>
          <w:rFonts w:ascii="Arial" w:cs="Arial" w:eastAsia="Arial" w:hAnsi="Arial"/>
          <w:sz w:val="18"/>
          <w:szCs w:val="18"/>
          <w:b w:val="1"/>
          <w:bCs w:val="1"/>
          <w:color w:val="auto"/>
        </w:rPr>
      </w:pPr>
    </w:p>
    <w:p>
      <w:pPr>
        <w:ind w:right="160" w:firstLine="987"/>
        <w:spacing w:after="0" w:line="266" w:lineRule="auto"/>
        <w:tabs>
          <w:tab w:leader="none" w:pos="133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right to receive Common Stock granted under the Plan, including an Incentive Stock Option, a</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 a Restricted Stock Award, a Restricted Stock Unit Award, a Stock Appreciation Right, a Performance Stock Award, or any Other Stock Award.</w:t>
      </w:r>
    </w:p>
    <w:p>
      <w:pPr>
        <w:spacing w:after="0" w:line="175" w:lineRule="exact"/>
        <w:rPr>
          <w:rFonts w:ascii="Arial" w:cs="Arial" w:eastAsia="Arial" w:hAnsi="Arial"/>
          <w:sz w:val="18"/>
          <w:szCs w:val="18"/>
          <w:b w:val="1"/>
          <w:bCs w:val="1"/>
          <w:color w:val="auto"/>
        </w:rPr>
      </w:pPr>
    </w:p>
    <w:p>
      <w:pPr>
        <w:ind w:firstLine="987"/>
        <w:spacing w:after="0" w:line="282" w:lineRule="auto"/>
        <w:tabs>
          <w:tab w:leader="none" w:pos="131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Participant evidencing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Award grant. Each Stock Award Agreement will be subject to the terms and conditions of the Plan.</w:t>
      </w:r>
    </w:p>
    <w:p>
      <w:pPr>
        <w:spacing w:after="0" w:line="162" w:lineRule="exact"/>
        <w:rPr>
          <w:sz w:val="20"/>
          <w:szCs w:val="20"/>
          <w:color w:val="auto"/>
        </w:rPr>
      </w:pPr>
    </w:p>
    <w:p>
      <w:pPr>
        <w:ind w:right="60" w:firstLine="987"/>
        <w:spacing w:after="0" w:line="298" w:lineRule="auto"/>
        <w:tabs>
          <w:tab w:leader="none" w:pos="1426"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means, with respect to the Company, (i) any corporation of which more than fifty percent (50%) of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65" w:name="page366"/>
    <w:bookmarkEnd w:id="365"/>
    <w:p>
      <w:pPr>
        <w:ind w:left="-987" w:firstLine="987"/>
        <w:spacing w:after="0" w:line="312" w:lineRule="auto"/>
        <w:tabs>
          <w:tab w:leader="none" w:pos="469"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Ten Percent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person who Owns (or is deemed to Own pursuant to Section 424(d) of the Code)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possessing more than ten percent (10%) of the total combined voting power of all classes of shares of the Company or any Affiliate.</w:t>
      </w:r>
    </w:p>
    <w:p>
      <w:pPr>
        <w:spacing w:after="0" w:line="139" w:lineRule="exact"/>
        <w:rPr>
          <w:rFonts w:ascii="Arial" w:cs="Arial" w:eastAsia="Arial" w:hAnsi="Arial"/>
          <w:sz w:val="17"/>
          <w:szCs w:val="17"/>
          <w:b w:val="1"/>
          <w:bCs w:val="1"/>
          <w:color w:val="auto"/>
        </w:rPr>
      </w:pPr>
    </w:p>
    <w:p>
      <w:pPr>
        <w:ind w:left="413" w:hanging="413"/>
        <w:spacing w:after="0"/>
        <w:tabs>
          <w:tab w:leader="none" w:pos="413"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Corporate Transaction or a Change in Control.</w:t>
      </w:r>
    </w:p>
    <w:p>
      <w:pPr>
        <w:spacing w:after="0" w:line="173" w:lineRule="exact"/>
        <w:rPr>
          <w:sz w:val="20"/>
          <w:szCs w:val="20"/>
          <w:color w:val="auto"/>
        </w:rPr>
      </w:pPr>
    </w:p>
    <w:p>
      <w:pPr>
        <w:ind w:left="441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473"/>
          </w:cols>
          <w:pgMar w:left="1427" w:top="270" w:right="99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HARVARIS</w:t>
      </w:r>
      <w:r>
        <w:rPr>
          <w:rFonts w:ascii="Arial" w:cs="Arial" w:eastAsia="Arial" w:hAnsi="Arial"/>
          <w:sz w:val="18"/>
          <w:szCs w:val="18"/>
          <w:b w:val="1"/>
          <w:bCs w:val="1"/>
          <w:color w:val="auto"/>
        </w:rPr>
        <w:t xml:space="preserve"> N.V.</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ind w:left="624" w:hanging="184"/>
        <w:spacing w:after="0"/>
        <w:tabs>
          <w:tab w:leader="none" w:pos="624"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Eligible Award Recipients</w:t>
      </w:r>
      <w:r>
        <w:rPr>
          <w:rFonts w:ascii="Arial" w:cs="Arial" w:eastAsia="Arial" w:hAnsi="Arial"/>
          <w:sz w:val="18"/>
          <w:szCs w:val="18"/>
          <w:color w:val="auto"/>
        </w:rPr>
        <w:t>. Employees, Directors and Consultants are eligible to receive Awards.</w:t>
      </w:r>
    </w:p>
    <w:p>
      <w:pPr>
        <w:spacing w:after="0" w:line="225" w:lineRule="exact"/>
        <w:rPr>
          <w:rFonts w:ascii="Arial" w:cs="Arial" w:eastAsia="Arial" w:hAnsi="Arial"/>
          <w:sz w:val="18"/>
          <w:szCs w:val="18"/>
          <w:b w:val="1"/>
          <w:bCs w:val="1"/>
          <w:color w:val="auto"/>
        </w:rPr>
      </w:pPr>
    </w:p>
    <w:p>
      <w:pPr>
        <w:ind w:left="4" w:right="340" w:firstLine="987"/>
        <w:spacing w:after="0" w:line="293" w:lineRule="auto"/>
        <w:tabs>
          <w:tab w:leader="none" w:pos="1260" w:val="left"/>
        </w:tabs>
        <w:numPr>
          <w:ilvl w:val="2"/>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Awards</w:t>
      </w:r>
      <w:r>
        <w:rPr>
          <w:rFonts w:ascii="Arial" w:cs="Arial" w:eastAsia="Arial" w:hAnsi="Arial"/>
          <w:sz w:val="16"/>
          <w:szCs w:val="16"/>
          <w:color w:val="auto"/>
        </w:rPr>
        <w:t>. The Plan provides for the grant of the following types of Awards: (i) Incentive Stock Options, (ii) Nonstatutory</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(iii) Stock Appreciation Rights, (iv) Restricted Stock Awards, (v) Restricted Stock Unit Awards, (vi) Performance Stock Awards,</w:t>
      </w:r>
    </w:p>
    <w:p>
      <w:pPr>
        <w:spacing w:after="0" w:line="1" w:lineRule="exact"/>
        <w:rPr>
          <w:rFonts w:ascii="Arial" w:cs="Arial" w:eastAsia="Arial" w:hAnsi="Arial"/>
          <w:sz w:val="16"/>
          <w:szCs w:val="16"/>
          <w:b w:val="1"/>
          <w:bCs w:val="1"/>
          <w:color w:val="auto"/>
        </w:rPr>
      </w:pPr>
    </w:p>
    <w:p>
      <w:pPr>
        <w:ind w:left="4" w:right="60" w:hanging="4"/>
        <w:spacing w:after="0" w:line="253" w:lineRule="auto"/>
        <w:tabs>
          <w:tab w:leader="none" w:pos="35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Performance Cash Awards, and (viii) Other Stock Awards. Awards may be granted alone or in addition or in tandem with any other Award and/or any award under any other plan of the Company or any Affiliate. Awards granted in addition or in tandem with any other Award and/or any award under any other plan of the Company or any Affiliate may be granted simultaneously or at different times. Awards shall be granted for no consideration or for such minimal cash consideration as may be required by Applicable Law.</w:t>
      </w:r>
    </w:p>
    <w:p>
      <w:pPr>
        <w:spacing w:after="0" w:line="188" w:lineRule="exact"/>
        <w:rPr>
          <w:rFonts w:ascii="Arial" w:cs="Arial" w:eastAsia="Arial" w:hAnsi="Arial"/>
          <w:sz w:val="18"/>
          <w:szCs w:val="18"/>
          <w:color w:val="auto"/>
        </w:rPr>
      </w:pPr>
    </w:p>
    <w:p>
      <w:pPr>
        <w:ind w:left="4" w:right="200" w:firstLine="987"/>
        <w:spacing w:after="0" w:line="266" w:lineRule="auto"/>
        <w:tabs>
          <w:tab w:leader="none" w:pos="1240" w:val="left"/>
        </w:tabs>
        <w:numPr>
          <w:ilvl w:val="2"/>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granting of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283" w:lineRule="exact"/>
        <w:rPr>
          <w:rFonts w:ascii="Arial" w:cs="Arial" w:eastAsia="Arial" w:hAnsi="Arial"/>
          <w:sz w:val="18"/>
          <w:szCs w:val="18"/>
          <w:b w:val="1"/>
          <w:bCs w:val="1"/>
          <w:color w:val="auto"/>
        </w:rPr>
      </w:pPr>
    </w:p>
    <w:p>
      <w:pPr>
        <w:ind w:left="624" w:hanging="184"/>
        <w:spacing w:after="0"/>
        <w:tabs>
          <w:tab w:leader="none" w:pos="624" w:val="left"/>
        </w:tabs>
        <w:numPr>
          <w:ilvl w:val="1"/>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120" w:firstLine="987"/>
        <w:spacing w:after="0" w:line="282" w:lineRule="auto"/>
        <w:tabs>
          <w:tab w:leader="none" w:pos="1250" w:val="left"/>
        </w:tabs>
        <w:numPr>
          <w:ilvl w:val="2"/>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Board</w:t>
      </w:r>
      <w:r>
        <w:rPr>
          <w:rFonts w:ascii="Arial" w:cs="Arial" w:eastAsia="Arial" w:hAnsi="Arial"/>
          <w:sz w:val="18"/>
          <w:szCs w:val="18"/>
          <w:color w:val="auto"/>
        </w:rPr>
        <w:t>. 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1" w:lineRule="exact"/>
        <w:rPr>
          <w:rFonts w:ascii="Arial" w:cs="Arial" w:eastAsia="Arial" w:hAnsi="Arial"/>
          <w:sz w:val="18"/>
          <w:szCs w:val="18"/>
          <w:b w:val="1"/>
          <w:bCs w:val="1"/>
          <w:color w:val="auto"/>
        </w:rPr>
      </w:pPr>
    </w:p>
    <w:p>
      <w:pPr>
        <w:ind w:left="1264" w:hanging="273"/>
        <w:spacing w:after="0"/>
        <w:tabs>
          <w:tab w:leader="none" w:pos="1264" w:val="left"/>
        </w:tabs>
        <w:numPr>
          <w:ilvl w:val="2"/>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Board</w:t>
      </w:r>
      <w:r>
        <w:rPr>
          <w:rFonts w:ascii="Arial" w:cs="Arial" w:eastAsia="Arial" w:hAnsi="Arial"/>
          <w:sz w:val="17"/>
          <w:szCs w:val="17"/>
          <w:color w:val="auto"/>
        </w:rPr>
        <w:t>. The Board will have the power, subject to, and within the limitations of, the express provisions of the Plan:</w:t>
      </w:r>
    </w:p>
    <w:p>
      <w:pPr>
        <w:spacing w:after="0" w:line="132" w:lineRule="exact"/>
        <w:rPr>
          <w:rFonts w:ascii="Arial" w:cs="Arial" w:eastAsia="Arial" w:hAnsi="Arial"/>
          <w:sz w:val="17"/>
          <w:szCs w:val="17"/>
          <w:b w:val="1"/>
          <w:bCs w:val="1"/>
          <w:color w:val="auto"/>
        </w:rPr>
      </w:pPr>
    </w:p>
    <w:p>
      <w:pPr>
        <w:ind w:left="4" w:right="40" w:firstLine="1428"/>
        <w:spacing w:after="0" w:line="254" w:lineRule="auto"/>
        <w:tabs>
          <w:tab w:leader="none" w:pos="1651" w:val="left"/>
        </w:tabs>
        <w:numPr>
          <w:ilvl w:val="3"/>
          <w:numId w:val="302"/>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shares of Common Stock under the Award; (E) the number of shares of Common Stock subject to, or the cash value of, an Award; (F) the Fair Market Value applicable to an Award; (G) whether, to which extent and under which circumstances the holder of an Award may designate an Entity owned or controlled by such holder as recipient or beneficiary of his or her Awards; and (H) determine whether, to what extent and under what circumstances cash, shares of Common Stock or other property and other amounts payable with respect to an Award under the Plan shall be deferred either automatically or at the election of the Participant.</w:t>
      </w:r>
    </w:p>
    <w:p>
      <w:pPr>
        <w:spacing w:after="0" w:line="194" w:lineRule="exact"/>
        <w:rPr>
          <w:rFonts w:ascii="Arial" w:cs="Arial" w:eastAsia="Arial" w:hAnsi="Arial"/>
          <w:sz w:val="18"/>
          <w:szCs w:val="18"/>
          <w:b w:val="1"/>
          <w:bCs w:val="1"/>
          <w:color w:val="auto"/>
        </w:rPr>
      </w:pPr>
    </w:p>
    <w:p>
      <w:pPr>
        <w:ind w:left="4" w:right="220" w:firstLine="1428"/>
        <w:spacing w:after="0" w:line="311" w:lineRule="auto"/>
        <w:tabs>
          <w:tab w:leader="none" w:pos="1701" w:val="left"/>
        </w:tabs>
        <w:numPr>
          <w:ilvl w:val="3"/>
          <w:numId w:val="302"/>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spacing w:after="0" w:line="148" w:lineRule="exact"/>
        <w:rPr>
          <w:rFonts w:ascii="Arial" w:cs="Arial" w:eastAsia="Arial" w:hAnsi="Arial"/>
          <w:sz w:val="16"/>
          <w:szCs w:val="16"/>
          <w:b w:val="1"/>
          <w:bCs w:val="1"/>
          <w:color w:val="auto"/>
        </w:rPr>
      </w:pPr>
    </w:p>
    <w:p>
      <w:pPr>
        <w:ind w:left="1744" w:hanging="312"/>
        <w:spacing w:after="0"/>
        <w:tabs>
          <w:tab w:leader="none" w:pos="1744" w:val="left"/>
        </w:tabs>
        <w:numPr>
          <w:ilvl w:val="3"/>
          <w:numId w:val="302"/>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left="1744" w:hanging="312"/>
        <w:spacing w:after="0"/>
        <w:tabs>
          <w:tab w:leader="none" w:pos="1744" w:val="left"/>
        </w:tabs>
        <w:numPr>
          <w:ilvl w:val="3"/>
          <w:numId w:val="302"/>
        </w:numPr>
        <w:rPr>
          <w:rFonts w:ascii="Arial" w:cs="Arial" w:eastAsia="Arial" w:hAnsi="Arial"/>
          <w:sz w:val="16"/>
          <w:szCs w:val="16"/>
          <w:b w:val="1"/>
          <w:bCs w:val="1"/>
          <w:color w:val="auto"/>
        </w:rPr>
      </w:pPr>
      <w:r>
        <w:rPr>
          <w:rFonts w:ascii="Arial" w:cs="Arial" w:eastAsia="Arial" w:hAnsi="Arial"/>
          <w:sz w:val="16"/>
          <w:szCs w:val="16"/>
          <w:color w:val="auto"/>
        </w:rPr>
        <w:t>To accelerate, in whole or in part, the time at which an Award may be exercised or vest (or at which cash or shares of Common</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Stock may be issued).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67" w:name="page368"/>
    <w:bookmarkEnd w:id="367"/>
    <w:p>
      <w:pPr>
        <w:ind w:left="-60" w:right="180" w:firstLine="1428"/>
        <w:spacing w:after="0" w:line="263" w:lineRule="auto"/>
        <w:tabs>
          <w:tab w:leader="none" w:pos="1627"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suspend or terminate the Plan at any time. Except as otherwise provided in the Plan or an Award Agreement, suspension or termination of the Plan will not impair a Participant’s rights under his or her then-outstanding Award without his or her written consent except as provided in subsection (viii) below.</w:t>
      </w:r>
    </w:p>
    <w:p>
      <w:pPr>
        <w:spacing w:after="0" w:line="183" w:lineRule="exact"/>
        <w:rPr>
          <w:rFonts w:ascii="Arial" w:cs="Arial" w:eastAsia="Arial" w:hAnsi="Arial"/>
          <w:sz w:val="18"/>
          <w:szCs w:val="18"/>
          <w:b w:val="1"/>
          <w:bCs w:val="1"/>
          <w:color w:val="auto"/>
        </w:rPr>
      </w:pPr>
    </w:p>
    <w:p>
      <w:pPr>
        <w:ind w:left="-60" w:right="20" w:firstLine="1428"/>
        <w:spacing w:after="0" w:line="288" w:lineRule="auto"/>
        <w:tabs>
          <w:tab w:leader="none" w:pos="1677" w:val="left"/>
        </w:tabs>
        <w:numPr>
          <w:ilvl w:val="0"/>
          <w:numId w:val="303"/>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(including, if required by Applicable Law, seek approval of the General Meeting)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unless (1) the Company requests the consent of the affected Participant, and (2) such Participant consents in writing.</w:t>
      </w:r>
    </w:p>
    <w:p>
      <w:pPr>
        <w:spacing w:after="0" w:line="168" w:lineRule="exact"/>
        <w:rPr>
          <w:rFonts w:ascii="Arial" w:cs="Arial" w:eastAsia="Arial" w:hAnsi="Arial"/>
          <w:sz w:val="16"/>
          <w:szCs w:val="16"/>
          <w:b w:val="1"/>
          <w:bCs w:val="1"/>
          <w:color w:val="auto"/>
        </w:rPr>
      </w:pPr>
    </w:p>
    <w:p>
      <w:pPr>
        <w:ind w:left="1720" w:hanging="352"/>
        <w:spacing w:after="0"/>
        <w:tabs>
          <w:tab w:leader="none" w:pos="1720"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approval of the General Meeting when required by Applicable Law.</w:t>
      </w:r>
    </w:p>
    <w:p>
      <w:pPr>
        <w:spacing w:after="0" w:line="225" w:lineRule="exact"/>
        <w:rPr>
          <w:rFonts w:ascii="Arial" w:cs="Arial" w:eastAsia="Arial" w:hAnsi="Arial"/>
          <w:sz w:val="18"/>
          <w:szCs w:val="18"/>
          <w:b w:val="1"/>
          <w:bCs w:val="1"/>
          <w:color w:val="auto"/>
        </w:rPr>
      </w:pPr>
    </w:p>
    <w:p>
      <w:pPr>
        <w:ind w:left="-60" w:right="20" w:firstLine="1428"/>
        <w:spacing w:after="0" w:line="287" w:lineRule="auto"/>
        <w:tabs>
          <w:tab w:leader="none" w:pos="1777" w:val="left"/>
        </w:tabs>
        <w:numPr>
          <w:ilvl w:val="0"/>
          <w:numId w:val="303"/>
        </w:numPr>
        <w:rPr>
          <w:rFonts w:ascii="Arial" w:cs="Arial" w:eastAsia="Arial" w:hAnsi="Arial"/>
          <w:sz w:val="16"/>
          <w:szCs w:val="16"/>
          <w:b w:val="1"/>
          <w:bCs w:val="1"/>
          <w:color w:val="auto"/>
        </w:rPr>
      </w:pPr>
      <w:r>
        <w:rPr>
          <w:rFonts w:ascii="Arial" w:cs="Arial" w:eastAsia="Arial" w:hAnsi="Arial"/>
          <w:sz w:val="16"/>
          <w:szCs w:val="16"/>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Award into compliance with, Section 409A of the Code; or (D) to comply with other Applicable Laws, generally accepted accounting principles or listing requirements.</w:t>
      </w:r>
    </w:p>
    <w:p>
      <w:pPr>
        <w:spacing w:after="0" w:line="171" w:lineRule="exact"/>
        <w:rPr>
          <w:rFonts w:ascii="Arial" w:cs="Arial" w:eastAsia="Arial" w:hAnsi="Arial"/>
          <w:sz w:val="16"/>
          <w:szCs w:val="16"/>
          <w:b w:val="1"/>
          <w:bCs w:val="1"/>
          <w:color w:val="auto"/>
        </w:rPr>
      </w:pPr>
    </w:p>
    <w:p>
      <w:pPr>
        <w:ind w:left="-60" w:right="340" w:firstLine="1428"/>
        <w:spacing w:after="0" w:line="277" w:lineRule="auto"/>
        <w:tabs>
          <w:tab w:leader="none" w:pos="1677"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ind w:left="-60" w:firstLine="1428"/>
        <w:spacing w:after="0" w:line="257" w:lineRule="auto"/>
        <w:tabs>
          <w:tab w:leader="none" w:pos="1627"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To adopt, alter and repeal such administrative rules, guidelines, practices, procedures and sub-plans as are necessary or appropriate to permit or facilitate participation in the Plan by Employees, Directors or Consultants who are foreign nationals or employed outside the United States or to satisfy or accommodate applicable foreign laws or to qualify for preferred tax treatment of any such domestic or foreign jurisdiction. (provided that Board approval will not be necessary for immaterial modifications to the Plan or any Award Agreement that are required for compliance with the laws of the relevant foreign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74" w:right="519" w:bottom="1440" w:gutter="0" w:footer="0" w:header="0"/>
        </w:sectPr>
      </w:pPr>
    </w:p>
    <w:bookmarkStart w:id="368" w:name="page369"/>
    <w:bookmarkEnd w:id="368"/>
    <w:p>
      <w:pPr>
        <w:ind w:left="4" w:right="300" w:firstLine="1428"/>
        <w:spacing w:after="0" w:line="291" w:lineRule="auto"/>
        <w:tabs>
          <w:tab w:leader="none" w:pos="1741" w:val="left"/>
        </w:tabs>
        <w:numPr>
          <w:ilvl w:val="2"/>
          <w:numId w:val="30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effect, with the consent of any adversely affected Participant, (A) the reduction of the exercise, purchase or strike price of any outstanding Award; (B) the cancellation of any outstanding Stock Award and the grant in substitution therefor of a new (1) Option or SAR,</w:t>
      </w:r>
    </w:p>
    <w:p>
      <w:pPr>
        <w:ind w:left="4" w:right="20" w:hanging="4"/>
        <w:spacing w:after="0" w:line="253" w:lineRule="auto"/>
        <w:tabs>
          <w:tab w:leader="none" w:pos="25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296" w:lineRule="exact"/>
        <w:rPr>
          <w:rFonts w:ascii="Arial" w:cs="Arial" w:eastAsia="Arial" w:hAnsi="Arial"/>
          <w:sz w:val="18"/>
          <w:szCs w:val="18"/>
          <w:color w:val="auto"/>
        </w:rPr>
      </w:pPr>
    </w:p>
    <w:p>
      <w:pPr>
        <w:ind w:left="1244" w:hanging="253"/>
        <w:spacing w:after="0"/>
        <w:tabs>
          <w:tab w:leader="none" w:pos="1244"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40" w:firstLine="1428"/>
        <w:spacing w:after="0" w:line="273" w:lineRule="auto"/>
        <w:tabs>
          <w:tab w:leader="none" w:pos="1651" w:val="left"/>
        </w:tabs>
        <w:numPr>
          <w:ilvl w:val="2"/>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Notwithstanding any delegation of powers to a Committee, the Board retains the authority to concurrently administer the Plan with the Committee.</w:t>
      </w:r>
    </w:p>
    <w:p>
      <w:pPr>
        <w:spacing w:after="0" w:line="171" w:lineRule="exact"/>
        <w:rPr>
          <w:rFonts w:ascii="Arial" w:cs="Arial" w:eastAsia="Arial" w:hAnsi="Arial"/>
          <w:sz w:val="17"/>
          <w:szCs w:val="17"/>
          <w:b w:val="1"/>
          <w:bCs w:val="1"/>
          <w:color w:val="auto"/>
        </w:rPr>
      </w:pPr>
    </w:p>
    <w:p>
      <w:pPr>
        <w:ind w:left="4" w:right="160" w:firstLine="1428"/>
        <w:spacing w:after="0" w:line="282" w:lineRule="auto"/>
        <w:tabs>
          <w:tab w:leader="none" w:pos="1701" w:val="left"/>
        </w:tabs>
        <w:numPr>
          <w:ilvl w:val="2"/>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 16b-3 Compliance. </w:t>
      </w:r>
      <w:r>
        <w:rPr>
          <w:rFonts w:ascii="Arial" w:cs="Arial" w:eastAsia="Arial" w:hAnsi="Arial"/>
          <w:sz w:val="18"/>
          <w:szCs w:val="18"/>
          <w:color w:val="auto"/>
        </w:rPr>
        <w:t>The Committee may consist solely of two or more Non-Employee Directors, to the extent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Rule 16b-3.</w:t>
      </w:r>
    </w:p>
    <w:p>
      <w:pPr>
        <w:spacing w:after="0" w:line="161" w:lineRule="exact"/>
        <w:rPr>
          <w:rFonts w:ascii="Arial" w:cs="Arial" w:eastAsia="Arial" w:hAnsi="Arial"/>
          <w:sz w:val="18"/>
          <w:szCs w:val="18"/>
          <w:b w:val="1"/>
          <w:bCs w:val="1"/>
          <w:color w:val="auto"/>
        </w:rPr>
      </w:pPr>
    </w:p>
    <w:p>
      <w:pPr>
        <w:ind w:left="1264" w:hanging="273"/>
        <w:spacing w:after="0"/>
        <w:tabs>
          <w:tab w:leader="none" w:pos="1264" w:val="left"/>
        </w:tabs>
        <w:numPr>
          <w:ilvl w:val="1"/>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Delegation to an Officer</w:t>
      </w:r>
      <w:r>
        <w:rPr>
          <w:rFonts w:ascii="Arial" w:cs="Arial" w:eastAsia="Arial" w:hAnsi="Arial"/>
          <w:sz w:val="17"/>
          <w:szCs w:val="17"/>
          <w:color w:val="auto"/>
        </w:rPr>
        <w:t>. The Board may delegate to one (1) or more Officers the authority to do one or both of the following:</w:t>
      </w:r>
    </w:p>
    <w:p>
      <w:pPr>
        <w:spacing w:after="0" w:line="39" w:lineRule="exact"/>
        <w:rPr>
          <w:sz w:val="20"/>
          <w:szCs w:val="20"/>
          <w:color w:val="auto"/>
        </w:rPr>
      </w:pPr>
    </w:p>
    <w:p>
      <w:pPr>
        <w:ind w:left="4" w:right="20" w:hanging="4"/>
        <w:spacing w:after="0" w:line="269" w:lineRule="auto"/>
        <w:tabs>
          <w:tab w:leader="none" w:pos="219" w:val="left"/>
        </w:tabs>
        <w:numPr>
          <w:ilvl w:val="0"/>
          <w:numId w:val="306"/>
        </w:numPr>
        <w:rPr>
          <w:rFonts w:ascii="Arial" w:cs="Arial" w:eastAsia="Arial" w:hAnsi="Arial"/>
          <w:sz w:val="17"/>
          <w:szCs w:val="17"/>
          <w:color w:val="auto"/>
        </w:rPr>
      </w:pPr>
      <w:r>
        <w:rPr>
          <w:rFonts w:ascii="Arial" w:cs="Arial" w:eastAsia="Arial" w:hAnsi="Arial"/>
          <w:sz w:val="17"/>
          <w:szCs w:val="17"/>
          <w:color w:val="auto"/>
        </w:rPr>
        <w:t>designate 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provided, however, it does not violate Applicable Law or result in the loss of an exemption under Rule 16b-3(d)(1) for Awards granted to Participants subject to Section 16 of the Exchange Act in respect of the Company.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176" w:lineRule="exact"/>
        <w:rPr>
          <w:rFonts w:ascii="Arial" w:cs="Arial" w:eastAsia="Arial" w:hAnsi="Arial"/>
          <w:sz w:val="17"/>
          <w:szCs w:val="17"/>
          <w:color w:val="auto"/>
        </w:rPr>
      </w:pPr>
    </w:p>
    <w:p>
      <w:pPr>
        <w:ind w:left="4" w:right="180" w:firstLine="987"/>
        <w:spacing w:after="0" w:line="282" w:lineRule="auto"/>
        <w:tabs>
          <w:tab w:leader="none" w:pos="1240" w:val="left"/>
        </w:tabs>
        <w:numPr>
          <w:ilvl w:val="2"/>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will not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review by any person and will be final, binding and conclusive on all persons.</w:t>
      </w:r>
    </w:p>
    <w:p>
      <w:pPr>
        <w:spacing w:after="0" w:line="269" w:lineRule="exact"/>
        <w:rPr>
          <w:rFonts w:ascii="Arial" w:cs="Arial" w:eastAsia="Arial" w:hAnsi="Arial"/>
          <w:sz w:val="18"/>
          <w:szCs w:val="18"/>
          <w:b w:val="1"/>
          <w:bCs w:val="1"/>
          <w:color w:val="auto"/>
        </w:rPr>
      </w:pPr>
    </w:p>
    <w:p>
      <w:pPr>
        <w:ind w:left="624" w:hanging="184"/>
        <w:spacing w:after="0"/>
        <w:tabs>
          <w:tab w:leader="none" w:pos="62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1428"/>
        <w:spacing w:after="0" w:line="257" w:lineRule="auto"/>
        <w:tabs>
          <w:tab w:leader="none" w:pos="1651" w:val="left"/>
        </w:tabs>
        <w:numPr>
          <w:ilvl w:val="3"/>
          <w:numId w:val="307"/>
        </w:numPr>
        <w:rPr>
          <w:rFonts w:ascii="Arial" w:cs="Arial" w:eastAsia="Arial" w:hAnsi="Arial"/>
          <w:sz w:val="18"/>
          <w:szCs w:val="18"/>
          <w:b w:val="1"/>
          <w:bCs w:val="1"/>
          <w:color w:val="auto"/>
        </w:rPr>
      </w:pPr>
      <w:r>
        <w:rPr>
          <w:rFonts w:ascii="Arial" w:cs="Arial" w:eastAsia="Arial" w:hAnsi="Arial"/>
          <w:sz w:val="18"/>
          <w:szCs w:val="18"/>
          <w:color w:val="auto"/>
        </w:rPr>
        <w:t>Subject to Section 9(a) relating to Capitalization Adjustments, the aggregate number of shares of Common Stock that may be issued pursuant to Stock Awards from and after the Effective Date will not exceed 9% of the Company’s issued share capital as of the date of consummation of the initial public offering by the Company of shares of Common Stock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provided that, as of January 1, 2022 and on each anniversary thereof, the Share Reserve Shall increase by 4% of the Company’s issued share capital as of that date, unless the Board decides either not to increase the Share Reserve or to increase the Share Reserve by a lower amount.</w:t>
      </w:r>
    </w:p>
    <w:p>
      <w:pPr>
        <w:spacing w:after="0" w:line="187" w:lineRule="exact"/>
        <w:rPr>
          <w:rFonts w:ascii="Arial" w:cs="Arial" w:eastAsia="Arial" w:hAnsi="Arial"/>
          <w:sz w:val="18"/>
          <w:szCs w:val="18"/>
          <w:b w:val="1"/>
          <w:bCs w:val="1"/>
          <w:color w:val="auto"/>
        </w:rPr>
      </w:pPr>
    </w:p>
    <w:p>
      <w:pPr>
        <w:ind w:left="4" w:right="240" w:firstLine="1428"/>
        <w:spacing w:after="0" w:line="308" w:lineRule="auto"/>
        <w:tabs>
          <w:tab w:leader="none" w:pos="1701" w:val="left"/>
        </w:tabs>
        <w:numPr>
          <w:ilvl w:val="3"/>
          <w:numId w:val="307"/>
        </w:numPr>
        <w:rPr>
          <w:rFonts w:ascii="Arial" w:cs="Arial" w:eastAsia="Arial" w:hAnsi="Arial"/>
          <w:sz w:val="17"/>
          <w:szCs w:val="17"/>
          <w:b w:val="1"/>
          <w:bCs w:val="1"/>
          <w:color w:val="auto"/>
        </w:rPr>
      </w:pPr>
      <w:r>
        <w:rPr>
          <w:rFonts w:ascii="Arial" w:cs="Arial" w:eastAsia="Arial" w:hAnsi="Arial"/>
          <w:sz w:val="17"/>
          <w:szCs w:val="17"/>
          <w:color w:val="auto"/>
        </w:rPr>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69" w:name="page370"/>
    <w:bookmarkEnd w:id="369"/>
    <w:p>
      <w:pPr>
        <w:ind w:right="380" w:firstLine="1428"/>
        <w:spacing w:after="0" w:line="263" w:lineRule="auto"/>
        <w:tabs>
          <w:tab w:leader="none" w:pos="1747"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of Common Stock may be issued in connection with a merger or acquisition as permitted by NASDAQ Listing Rule 5635(c) or, if applicable, NYSE Listed Company Manual Section 303A.08, AMEX Company Guide Section 711 or other applicable rule, and such issuance will not reduce the number of shares of Common Stock available for issuance under the Plan.</w:t>
      </w:r>
    </w:p>
    <w:p>
      <w:pPr>
        <w:spacing w:after="0" w:line="179" w:lineRule="exact"/>
        <w:rPr>
          <w:rFonts w:ascii="Arial" w:cs="Arial" w:eastAsia="Arial" w:hAnsi="Arial"/>
          <w:sz w:val="18"/>
          <w:szCs w:val="18"/>
          <w:b w:val="1"/>
          <w:bCs w:val="1"/>
          <w:color w:val="auto"/>
        </w:rPr>
      </w:pPr>
    </w:p>
    <w:p>
      <w:pPr>
        <w:ind w:right="20" w:firstLine="987"/>
        <w:spacing w:after="0" w:line="268" w:lineRule="auto"/>
        <w:tabs>
          <w:tab w:leader="none" w:pos="1256"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Substitute Awards</w:t>
      </w:r>
      <w:r>
        <w:rPr>
          <w:rFonts w:ascii="Arial" w:cs="Arial" w:eastAsia="Arial" w:hAnsi="Arial"/>
          <w:sz w:val="17"/>
          <w:szCs w:val="17"/>
          <w:color w:val="auto"/>
        </w:rPr>
        <w:t>. In connection with an entity’s merger or consolidation with the Company or the Company’s acquisition of an</w:t>
      </w:r>
      <w:r>
        <w:rPr>
          <w:rFonts w:ascii="Arial" w:cs="Arial" w:eastAsia="Arial" w:hAnsi="Arial"/>
          <w:sz w:val="17"/>
          <w:szCs w:val="17"/>
          <w:b w:val="1"/>
          <w:bCs w:val="1"/>
          <w:color w:val="auto"/>
        </w:rPr>
        <w:t xml:space="preserve"> </w:t>
      </w:r>
      <w:r>
        <w:rPr>
          <w:rFonts w:ascii="Arial" w:cs="Arial" w:eastAsia="Arial" w:hAnsi="Arial"/>
          <w:sz w:val="17"/>
          <w:szCs w:val="17"/>
          <w:color w:val="auto"/>
        </w:rPr>
        <w:t>entity’s property or stock, the Board may grant Awards in substitution for any options or other stock or stock-based awards granted before such merger or consolidation by such entity or its affiliate (“</w:t>
      </w:r>
      <w:r>
        <w:rPr>
          <w:rFonts w:ascii="Arial" w:cs="Arial" w:eastAsia="Arial" w:hAnsi="Arial"/>
          <w:sz w:val="17"/>
          <w:szCs w:val="17"/>
          <w:u w:val="single" w:color="auto"/>
          <w:color w:val="auto"/>
        </w:rPr>
        <w:t>Substitute Awards</w:t>
      </w:r>
      <w:r>
        <w:rPr>
          <w:rFonts w:ascii="Arial" w:cs="Arial" w:eastAsia="Arial" w:hAnsi="Arial"/>
          <w:sz w:val="17"/>
          <w:szCs w:val="17"/>
          <w:color w:val="auto"/>
        </w:rPr>
        <w:t>”). Substitute Awards may be granted on such terms as the Board deems appropriate, notwithstanding limitations on Awards in the Plan. Substitute Awards will not count against the overall Share Reserve (nor shall shares of Common Stock subject to a Substitute Award be added to the shares available for Awards under the Plan), except that shares of Common Stock acquired by exercise of substitute Incentive Stock Options will count against the maximum number of shares of Common Stock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(and shares of Common Stock subject to such Awards shall not be added to the Share Reserve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1" w:lineRule="exact"/>
        <w:rPr>
          <w:rFonts w:ascii="Arial" w:cs="Arial" w:eastAsia="Arial" w:hAnsi="Arial"/>
          <w:sz w:val="17"/>
          <w:szCs w:val="17"/>
          <w:b w:val="1"/>
          <w:bCs w:val="1"/>
          <w:color w:val="auto"/>
        </w:rPr>
      </w:pPr>
    </w:p>
    <w:p>
      <w:pPr>
        <w:ind w:firstLine="987"/>
        <w:spacing w:after="0" w:line="292" w:lineRule="auto"/>
        <w:tabs>
          <w:tab w:leader="none" w:pos="1236"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 Stock Award or any portion thereof (i) expires or otherwise terminates without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covered by such Stock Award having been issued or (ii) is settled in cash (i.e.,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1" w:lineRule="exact"/>
        <w:rPr>
          <w:rFonts w:ascii="Arial" w:cs="Arial" w:eastAsia="Arial" w:hAnsi="Arial"/>
          <w:sz w:val="16"/>
          <w:szCs w:val="16"/>
          <w:b w:val="1"/>
          <w:bCs w:val="1"/>
          <w:color w:val="auto"/>
        </w:rPr>
      </w:pPr>
    </w:p>
    <w:p>
      <w:pPr>
        <w:ind w:right="160" w:firstLine="987"/>
        <w:spacing w:after="0" w:line="261" w:lineRule="auto"/>
        <w:tabs>
          <w:tab w:leader="none" w:pos="1256"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w:t>
      </w:r>
      <w:r>
        <w:rPr>
          <w:rFonts w:ascii="Arial" w:cs="Arial" w:eastAsia="Arial" w:hAnsi="Arial"/>
          <w:sz w:val="18"/>
          <w:szCs w:val="18"/>
          <w:color w:val="auto"/>
        </w:rPr>
        <w:t>. Subject to the provisions of Section 9(a) relating to Capitalization Adjustments,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of Common Stock that may be issued out of the Share Reserve pursuant to the exercise of Incentive Stock Options will be 9% of the Company’s issued share capital as of the date of consummation of the initial public offering by the Company of shares of Common Stock multiplied 1.480244285.</w:t>
      </w:r>
    </w:p>
    <w:p>
      <w:pPr>
        <w:spacing w:after="0" w:line="179" w:lineRule="exact"/>
        <w:rPr>
          <w:rFonts w:ascii="Arial" w:cs="Arial" w:eastAsia="Arial" w:hAnsi="Arial"/>
          <w:sz w:val="18"/>
          <w:szCs w:val="18"/>
          <w:b w:val="1"/>
          <w:bCs w:val="1"/>
          <w:color w:val="auto"/>
        </w:rPr>
      </w:pPr>
    </w:p>
    <w:p>
      <w:pPr>
        <w:ind w:right="420" w:firstLine="987"/>
        <w:spacing w:after="0" w:line="282" w:lineRule="auto"/>
        <w:tabs>
          <w:tab w:leader="none" w:pos="1236"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will be shares of Common Stock, including newly issued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shares of Common Stock repurchased by the Company on the open market or otherwise.</w:t>
      </w:r>
    </w:p>
    <w:p>
      <w:pPr>
        <w:spacing w:after="0" w:line="161" w:lineRule="exact"/>
        <w:rPr>
          <w:rFonts w:ascii="Arial" w:cs="Arial" w:eastAsia="Arial" w:hAnsi="Arial"/>
          <w:sz w:val="18"/>
          <w:szCs w:val="18"/>
          <w:b w:val="1"/>
          <w:bCs w:val="1"/>
          <w:color w:val="auto"/>
        </w:rPr>
      </w:pPr>
    </w:p>
    <w:p>
      <w:pPr>
        <w:ind w:right="20" w:firstLine="987"/>
        <w:spacing w:after="0" w:line="258" w:lineRule="auto"/>
        <w:tabs>
          <w:tab w:leader="none" w:pos="1216"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settled in Shares. </w:t>
      </w:r>
      <w:r>
        <w:rPr>
          <w:rFonts w:ascii="Arial" w:cs="Arial" w:eastAsia="Arial" w:hAnsi="Arial"/>
          <w:sz w:val="18"/>
          <w:szCs w:val="18"/>
          <w:color w:val="auto"/>
        </w:rPr>
        <w:t>Shares of Common Stock covered by Awards shall be delivered in such form(s) as may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and shall be subject to such stop transfer orders and other restrictions as the Board may deem required or advisable. The Board may determine that certificates for such shares of Common Stock shall bear an appropriate legend referring to the terms, conditions and restrictions applicable thereto. To the extent permitted by Applicable Law, the nominal value of any newly issued Shares pursuant to Stock Awards may be paid up to the charge of the Company’s reserves, at the discretion of the Board.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70" w:name="page371"/>
    <w:bookmarkEnd w:id="370"/>
    <w:p>
      <w:pPr>
        <w:ind w:right="80" w:firstLine="436"/>
        <w:spacing w:after="0" w:line="258" w:lineRule="auto"/>
        <w:tabs>
          <w:tab w:leader="none" w:pos="62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LIGIBILITY FOR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PECIFIC</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color w:val="auto"/>
        </w:rPr>
        <w:t>. Incentive Stock Options may be granted only to Employees of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“subsidiary corporation” thereof (as such terms are defined in Sections 424(e) and 424(f) of the Code). Stock Awards other than Incentive Stock Options may be granted to Employees, Directors and Consultants. A Ten Percent Shareholder will not be granted an Incentive Stock Option unless the exercise price of such Option is at least one hundred ten percent (110%) of the Fair Market Value on the date of grant and the Option is not exercisable after the expiration of five (5) years from the date of grant.</w:t>
      </w:r>
    </w:p>
    <w:p>
      <w:pPr>
        <w:spacing w:after="0" w:line="291" w:lineRule="exact"/>
        <w:rPr>
          <w:rFonts w:ascii="Arial" w:cs="Arial" w:eastAsia="Arial" w:hAnsi="Arial"/>
          <w:sz w:val="18"/>
          <w:szCs w:val="18"/>
          <w:b w:val="1"/>
          <w:bCs w:val="1"/>
          <w:color w:val="auto"/>
        </w:rPr>
      </w:pPr>
    </w:p>
    <w:p>
      <w:pPr>
        <w:ind w:left="620" w:hanging="184"/>
        <w:spacing w:after="0"/>
        <w:tabs>
          <w:tab w:leader="none" w:pos="62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Award Agreement will conform to (through incorporation of provisions hereof by reference in the applicable Stock Award Agreement or otherwise) the substance of each of the following provisions:</w:t>
      </w:r>
    </w:p>
    <w:p>
      <w:pPr>
        <w:spacing w:after="0" w:line="54" w:lineRule="exact"/>
        <w:rPr>
          <w:sz w:val="20"/>
          <w:szCs w:val="20"/>
          <w:color w:val="auto"/>
        </w:rPr>
      </w:pPr>
    </w:p>
    <w:p>
      <w:pPr>
        <w:ind w:right="440" w:firstLine="987"/>
        <w:spacing w:after="0" w:line="312" w:lineRule="auto"/>
        <w:tabs>
          <w:tab w:leader="none" w:pos="1246"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4 regarding Ten Percent Shareholders, no Option or SAR will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ten (10) years from the Date of Grant or such shorter period specified in the Stock Award Agreement.</w:t>
      </w:r>
    </w:p>
    <w:p>
      <w:pPr>
        <w:spacing w:after="0" w:line="139" w:lineRule="exact"/>
        <w:rPr>
          <w:rFonts w:ascii="Arial" w:cs="Arial" w:eastAsia="Arial" w:hAnsi="Arial"/>
          <w:sz w:val="17"/>
          <w:szCs w:val="17"/>
          <w:b w:val="1"/>
          <w:bCs w:val="1"/>
          <w:color w:val="auto"/>
        </w:rPr>
      </w:pPr>
    </w:p>
    <w:p>
      <w:pPr>
        <w:ind w:firstLine="987"/>
        <w:spacing w:after="0" w:line="292" w:lineRule="auto"/>
        <w:tabs>
          <w:tab w:leader="none" w:pos="1256"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Price</w:t>
      </w:r>
      <w:r>
        <w:rPr>
          <w:rFonts w:ascii="Arial" w:cs="Arial" w:eastAsia="Arial" w:hAnsi="Arial"/>
          <w:sz w:val="16"/>
          <w:szCs w:val="16"/>
          <w:color w:val="auto"/>
        </w:rPr>
        <w:t>. Subject to the provisions of Section 4(b) regarding Ten Percent Shareholders, the exercise or strike price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or SAR will be not less than one hundred percent (100%) of the Fair Market Value of the Common Stock subject to the Option or SAR on the Date of Grant of the Stock Award. Notwithstanding the foregoing, an Option or SAR may be granted with an exercise or strike price lower than one hundred percent (100%) of the Fair Market Value of the Common Stock subject to the Stock Award (but no lower than the nominal value of the shares of Common Stock covered by the Stock Award) if such Stock Award is granted pursuant to an assumption of or substitution for another option or stock appreciation right pursuant to a Change in Control and in a manner consistent with the provisions of any Applicable Law, including Section 409A of the Code and, if applicable, Section 424(a) of the Code. Each SAR will be denominated in shares of Common Stock equivalents.</w:t>
      </w:r>
    </w:p>
    <w:p>
      <w:pPr>
        <w:spacing w:after="0" w:line="161" w:lineRule="exact"/>
        <w:rPr>
          <w:rFonts w:ascii="Arial" w:cs="Arial" w:eastAsia="Arial" w:hAnsi="Arial"/>
          <w:sz w:val="16"/>
          <w:szCs w:val="16"/>
          <w:b w:val="1"/>
          <w:bCs w:val="1"/>
          <w:color w:val="auto"/>
        </w:rPr>
      </w:pPr>
    </w:p>
    <w:p>
      <w:pPr>
        <w:ind w:right="120" w:firstLine="987"/>
        <w:spacing w:after="0" w:line="303" w:lineRule="auto"/>
        <w:tabs>
          <w:tab w:leader="none" w:pos="1236"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 for Options</w:t>
      </w:r>
      <w:r>
        <w:rPr>
          <w:rFonts w:ascii="Arial" w:cs="Arial" w:eastAsia="Arial" w:hAnsi="Arial"/>
          <w:sz w:val="16"/>
          <w:szCs w:val="16"/>
          <w:color w:val="auto"/>
        </w:rPr>
        <w:t>. The exercise or strike price of an exercised Option may be paid, to the extent permitted by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upon such terms and conditions set forth in the applicable Award Agreement. Without limiting the foregoing, the Board will have the authority to grant Options that do not permit certain methods of payment (or otherwise restrict the ability to use certain methods) and to grant Options that require the consent of the Company to use a particular method of payment. Such permitted methods of payment may include the following:</w:t>
      </w:r>
    </w:p>
    <w:p>
      <w:pPr>
        <w:spacing w:after="0" w:line="46" w:lineRule="exact"/>
        <w:rPr>
          <w:rFonts w:ascii="Arial" w:cs="Arial" w:eastAsia="Arial" w:hAnsi="Arial"/>
          <w:sz w:val="16"/>
          <w:szCs w:val="16"/>
          <w:b w:val="1"/>
          <w:bCs w:val="1"/>
          <w:color w:val="auto"/>
        </w:rPr>
      </w:pPr>
    </w:p>
    <w:p>
      <w:pPr>
        <w:ind w:left="1640" w:hanging="212"/>
        <w:spacing w:after="0"/>
        <w:tabs>
          <w:tab w:leader="none" w:pos="1640"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by cash, check, bank draft, wire transfer or money order payable to the Company;</w:t>
      </w:r>
    </w:p>
    <w:p>
      <w:pPr>
        <w:spacing w:after="0" w:line="225" w:lineRule="exact"/>
        <w:rPr>
          <w:rFonts w:ascii="Arial" w:cs="Arial" w:eastAsia="Arial" w:hAnsi="Arial"/>
          <w:sz w:val="18"/>
          <w:szCs w:val="18"/>
          <w:b w:val="1"/>
          <w:bCs w:val="1"/>
          <w:color w:val="auto"/>
        </w:rPr>
      </w:pPr>
    </w:p>
    <w:p>
      <w:pPr>
        <w:ind w:right="200" w:firstLine="1428"/>
        <w:spacing w:after="0" w:line="259" w:lineRule="auto"/>
        <w:tabs>
          <w:tab w:leader="none" w:pos="1697"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by means of an immediate sale by or on behalf of the relevant Participant of part of the shares of Common Stock issuable pursuant to the Award, with sale proceeds equal to the Exercise Price being remitted to the Company and any remaining net sale proceeds (less applicable costs, if any) being paid to such Participant, including pursuant to a program developed under Regulation T as promulgated by the Federal Reserve Board;</w:t>
      </w:r>
    </w:p>
    <w:p>
      <w:pPr>
        <w:spacing w:after="0" w:line="186" w:lineRule="exact"/>
        <w:rPr>
          <w:rFonts w:ascii="Arial" w:cs="Arial" w:eastAsia="Arial" w:hAnsi="Arial"/>
          <w:sz w:val="18"/>
          <w:szCs w:val="18"/>
          <w:b w:val="1"/>
          <w:bCs w:val="1"/>
          <w:color w:val="auto"/>
        </w:rPr>
      </w:pPr>
    </w:p>
    <w:p>
      <w:pPr>
        <w:ind w:left="1740" w:hanging="312"/>
        <w:spacing w:after="0"/>
        <w:tabs>
          <w:tab w:leader="none" w:pos="1740"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by delivery to the Company or its designee (either by actual delivery or attestation) of shares of Common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0" w:right="519" w:bottom="1440" w:gutter="0" w:footer="0" w:header="0"/>
        </w:sectPr>
      </w:pPr>
    </w:p>
    <w:bookmarkStart w:id="371" w:name="page372"/>
    <w:bookmarkEnd w:id="371"/>
    <w:p>
      <w:pPr>
        <w:ind w:right="180" w:firstLine="1428"/>
        <w:spacing w:after="0" w:line="254" w:lineRule="auto"/>
        <w:tabs>
          <w:tab w:leader="none" w:pos="1737"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94" w:lineRule="exact"/>
        <w:rPr>
          <w:rFonts w:ascii="Arial" w:cs="Arial" w:eastAsia="Arial" w:hAnsi="Arial"/>
          <w:sz w:val="18"/>
          <w:szCs w:val="18"/>
          <w:b w:val="1"/>
          <w:bCs w:val="1"/>
          <w:color w:val="auto"/>
        </w:rPr>
      </w:pPr>
    </w:p>
    <w:p>
      <w:pPr>
        <w:ind w:left="1680" w:hanging="252"/>
        <w:spacing w:after="0"/>
        <w:tabs>
          <w:tab w:leader="none" w:pos="1680" w:val="left"/>
        </w:tabs>
        <w:numPr>
          <w:ilvl w:val="1"/>
          <w:numId w:val="312"/>
        </w:numPr>
        <w:rPr>
          <w:rFonts w:ascii="Arial" w:cs="Arial" w:eastAsia="Arial" w:hAnsi="Arial"/>
          <w:sz w:val="17"/>
          <w:szCs w:val="17"/>
          <w:b w:val="1"/>
          <w:bCs w:val="1"/>
          <w:color w:val="auto"/>
        </w:rPr>
      </w:pPr>
      <w:r>
        <w:rPr>
          <w:rFonts w:ascii="Arial" w:cs="Arial" w:eastAsia="Arial" w:hAnsi="Arial"/>
          <w:sz w:val="17"/>
          <w:szCs w:val="17"/>
          <w:color w:val="auto"/>
        </w:rPr>
        <w:t>in any other form of legal consideration that may be acceptable to the Board and specified in the applicable Stock Award</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06" w:lineRule="exact"/>
        <w:rPr>
          <w:rFonts w:ascii="Arial" w:cs="Arial" w:eastAsia="Arial" w:hAnsi="Arial"/>
          <w:sz w:val="17"/>
          <w:szCs w:val="17"/>
          <w:b w:val="1"/>
          <w:bCs w:val="1"/>
          <w:color w:val="auto"/>
        </w:rPr>
      </w:pPr>
    </w:p>
    <w:p>
      <w:pPr>
        <w:ind w:right="20" w:firstLine="987"/>
        <w:spacing w:after="0" w:line="254" w:lineRule="auto"/>
        <w:tabs>
          <w:tab w:leader="none" w:pos="1256"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Payment of a SAR</w:t>
      </w:r>
      <w:r>
        <w:rPr>
          <w:rFonts w:ascii="Arial" w:cs="Arial" w:eastAsia="Arial" w:hAnsi="Arial"/>
          <w:sz w:val="18"/>
          <w:szCs w:val="18"/>
          <w:color w:val="auto"/>
        </w:rPr>
        <w:t>. To exercise any outstanding SAR, the Participant must provide written notice of exercise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91" w:lineRule="exact"/>
        <w:rPr>
          <w:rFonts w:ascii="Arial" w:cs="Arial" w:eastAsia="Arial" w:hAnsi="Arial"/>
          <w:sz w:val="18"/>
          <w:szCs w:val="18"/>
          <w:b w:val="1"/>
          <w:bCs w:val="1"/>
          <w:color w:val="auto"/>
        </w:rPr>
      </w:pPr>
    </w:p>
    <w:p>
      <w:pPr>
        <w:ind w:right="60" w:firstLine="987"/>
        <w:spacing w:after="0" w:line="266" w:lineRule="auto"/>
        <w:tabs>
          <w:tab w:leader="none" w:pos="1236"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of Options and SARs</w:t>
      </w:r>
      <w:r>
        <w:rPr>
          <w:rFonts w:ascii="Arial" w:cs="Arial" w:eastAsia="Arial" w:hAnsi="Arial"/>
          <w:sz w:val="18"/>
          <w:szCs w:val="18"/>
          <w:color w:val="auto"/>
        </w:rPr>
        <w:t>. The Board may, in its sole discretion, impose such limitations on the transferability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SARs as the Board will determine. In the absence of such a determination by the Board to the contrary, the following restrictions on the transferability of Options and SARs will apply:</w:t>
      </w:r>
    </w:p>
    <w:p>
      <w:pPr>
        <w:spacing w:after="0" w:line="67" w:lineRule="exact"/>
        <w:rPr>
          <w:rFonts w:ascii="Arial" w:cs="Arial" w:eastAsia="Arial" w:hAnsi="Arial"/>
          <w:sz w:val="18"/>
          <w:szCs w:val="18"/>
          <w:b w:val="1"/>
          <w:bCs w:val="1"/>
          <w:color w:val="auto"/>
        </w:rPr>
      </w:pPr>
    </w:p>
    <w:p>
      <w:pPr>
        <w:ind w:firstLine="1428"/>
        <w:spacing w:after="0" w:line="261" w:lineRule="auto"/>
        <w:tabs>
          <w:tab w:leader="none" w:pos="1647"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9" w:lineRule="exact"/>
        <w:rPr>
          <w:rFonts w:ascii="Arial" w:cs="Arial" w:eastAsia="Arial" w:hAnsi="Arial"/>
          <w:sz w:val="18"/>
          <w:szCs w:val="18"/>
          <w:b w:val="1"/>
          <w:bCs w:val="1"/>
          <w:color w:val="auto"/>
        </w:rPr>
      </w:pPr>
    </w:p>
    <w:p>
      <w:pPr>
        <w:ind w:right="400" w:firstLine="1428"/>
        <w:spacing w:after="0" w:line="261" w:lineRule="auto"/>
        <w:tabs>
          <w:tab w:leader="none" w:pos="1697"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 Option or SAR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79" w:lineRule="exact"/>
        <w:rPr>
          <w:rFonts w:ascii="Arial" w:cs="Arial" w:eastAsia="Arial" w:hAnsi="Arial"/>
          <w:sz w:val="18"/>
          <w:szCs w:val="18"/>
          <w:b w:val="1"/>
          <w:bCs w:val="1"/>
          <w:color w:val="auto"/>
        </w:rPr>
      </w:pPr>
    </w:p>
    <w:p>
      <w:pPr>
        <w:ind w:firstLine="1428"/>
        <w:spacing w:after="0" w:line="255" w:lineRule="auto"/>
        <w:tabs>
          <w:tab w:leader="none" w:pos="1747"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the approval of the Board or a duly authorized Officer, a Participant may, by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could be inconsistent with the provisions of Applicable Laws.</w:t>
      </w:r>
    </w:p>
    <w:p>
      <w:pPr>
        <w:spacing w:after="0" w:line="188" w:lineRule="exact"/>
        <w:rPr>
          <w:rFonts w:ascii="Arial" w:cs="Arial" w:eastAsia="Arial" w:hAnsi="Arial"/>
          <w:sz w:val="18"/>
          <w:szCs w:val="18"/>
          <w:b w:val="1"/>
          <w:bCs w:val="1"/>
          <w:color w:val="auto"/>
        </w:rPr>
      </w:pPr>
    </w:p>
    <w:p>
      <w:pPr>
        <w:ind w:right="140" w:firstLine="987"/>
        <w:spacing w:after="0" w:line="277" w:lineRule="auto"/>
        <w:tabs>
          <w:tab w:leader="none" w:pos="1216"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The total number of shares of Common Stock subject to an Option or SAR may vest and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72" w:name="page373"/>
    <w:bookmarkEnd w:id="372"/>
    <w:p>
      <w:pPr>
        <w:ind w:right="100" w:firstLine="987"/>
        <w:spacing w:after="0" w:line="292" w:lineRule="auto"/>
        <w:tabs>
          <w:tab w:leader="none" w:pos="1246" w:val="left"/>
        </w:tabs>
        <w:numPr>
          <w:ilvl w:val="0"/>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Continuous Service</w:t>
      </w:r>
      <w:r>
        <w:rPr>
          <w:rFonts w:ascii="Arial" w:cs="Arial" w:eastAsia="Arial" w:hAnsi="Arial"/>
          <w:sz w:val="16"/>
          <w:szCs w:val="16"/>
          <w:color w:val="auto"/>
        </w:rPr>
        <w:t>. Except as otherwise provided in the applicable Stock Award Agreement or other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(3) months following the termination of the Participant’s Continuous Service (or such longer or shorter period specified in the applicable Stock Award Agreement),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61" w:lineRule="exact"/>
        <w:rPr>
          <w:rFonts w:ascii="Arial" w:cs="Arial" w:eastAsia="Arial" w:hAnsi="Arial"/>
          <w:sz w:val="16"/>
          <w:szCs w:val="16"/>
          <w:b w:val="1"/>
          <w:bCs w:val="1"/>
          <w:color w:val="auto"/>
        </w:rPr>
      </w:pPr>
    </w:p>
    <w:p>
      <w:pPr>
        <w:ind w:firstLine="987"/>
        <w:spacing w:after="0" w:line="269" w:lineRule="auto"/>
        <w:tabs>
          <w:tab w:leader="none" w:pos="1256"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If the exercise of an Option or SAR following the termination of the Participant’s Continuous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178" w:lineRule="exact"/>
        <w:rPr>
          <w:rFonts w:ascii="Arial" w:cs="Arial" w:eastAsia="Arial" w:hAnsi="Arial"/>
          <w:sz w:val="17"/>
          <w:szCs w:val="17"/>
          <w:b w:val="1"/>
          <w:bCs w:val="1"/>
          <w:color w:val="auto"/>
        </w:rPr>
      </w:pPr>
    </w:p>
    <w:p>
      <w:pPr>
        <w:ind w:right="120" w:firstLine="987"/>
        <w:spacing w:after="0" w:line="255" w:lineRule="auto"/>
        <w:tabs>
          <w:tab w:leader="none" w:pos="1206"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 of Participant</w:t>
      </w:r>
      <w:r>
        <w:rPr>
          <w:rFonts w:ascii="Arial" w:cs="Arial" w:eastAsia="Arial" w:hAnsi="Arial"/>
          <w:sz w:val="18"/>
          <w:szCs w:val="18"/>
          <w:color w:val="auto"/>
        </w:rPr>
        <w:t>. 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88" w:lineRule="exact"/>
        <w:rPr>
          <w:rFonts w:ascii="Arial" w:cs="Arial" w:eastAsia="Arial" w:hAnsi="Arial"/>
          <w:sz w:val="18"/>
          <w:szCs w:val="18"/>
          <w:b w:val="1"/>
          <w:bCs w:val="1"/>
          <w:color w:val="auto"/>
        </w:rPr>
      </w:pPr>
    </w:p>
    <w:p>
      <w:pPr>
        <w:ind w:right="60" w:firstLine="987"/>
        <w:spacing w:after="0" w:line="271" w:lineRule="auto"/>
        <w:tabs>
          <w:tab w:leader="none" w:pos="1216"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Death of Participant</w:t>
      </w:r>
      <w:r>
        <w:rPr>
          <w:rFonts w:ascii="Arial" w:cs="Arial" w:eastAsia="Arial" w:hAnsi="Arial"/>
          <w:sz w:val="17"/>
          <w:szCs w:val="17"/>
          <w:color w:val="auto"/>
        </w:rPr>
        <w:t>. 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Stock Award Agreement),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373" w:name="page374"/>
    <w:bookmarkEnd w:id="373"/>
    <w:p>
      <w:pPr>
        <w:ind w:left="4" w:right="60" w:firstLine="987"/>
        <w:spacing w:after="0" w:line="261" w:lineRule="auto"/>
        <w:tabs>
          <w:tab w:leader="none" w:pos="1260" w:val="left"/>
        </w:tabs>
        <w:numPr>
          <w:ilvl w:val="2"/>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for Cause</w:t>
      </w:r>
      <w:r>
        <w:rPr>
          <w:rFonts w:ascii="Arial" w:cs="Arial" w:eastAsia="Arial" w:hAnsi="Arial"/>
          <w:sz w:val="18"/>
          <w:szCs w:val="18"/>
          <w:color w:val="auto"/>
        </w:rPr>
        <w:t>. Except as explicitly provided otherwise in a Participant’s Stock Award Agreement or other individual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9" w:lineRule="exact"/>
        <w:rPr>
          <w:rFonts w:ascii="Arial" w:cs="Arial" w:eastAsia="Arial" w:hAnsi="Arial"/>
          <w:sz w:val="18"/>
          <w:szCs w:val="18"/>
          <w:b w:val="1"/>
          <w:bCs w:val="1"/>
          <w:color w:val="auto"/>
        </w:rPr>
      </w:pPr>
    </w:p>
    <w:p>
      <w:pPr>
        <w:ind w:left="4" w:right="80" w:firstLine="987"/>
        <w:spacing w:after="0" w:line="285" w:lineRule="auto"/>
        <w:tabs>
          <w:tab w:leader="none" w:pos="1210" w:val="left"/>
        </w:tabs>
        <w:numPr>
          <w:ilvl w:val="2"/>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If an Option or SAR is granted to an Employee who is a non-exempt employee for purposes of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Labor Standards Act of 1938, as amended, the Option or SAR will not be first exercisable for any shares of Common Stock until at least six (6)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w:t>
      </w:r>
    </w:p>
    <w:p>
      <w:pPr>
        <w:ind w:left="4" w:right="140" w:hanging="4"/>
        <w:spacing w:after="0" w:line="271" w:lineRule="auto"/>
        <w:tabs>
          <w:tab w:leader="none" w:pos="259" w:val="left"/>
        </w:tabs>
        <w:numPr>
          <w:ilvl w:val="0"/>
          <w:numId w:val="316"/>
        </w:numPr>
        <w:rPr>
          <w:rFonts w:ascii="Arial" w:cs="Arial" w:eastAsia="Arial" w:hAnsi="Arial"/>
          <w:sz w:val="17"/>
          <w:szCs w:val="17"/>
          <w:color w:val="auto"/>
        </w:rPr>
      </w:pPr>
      <w:r>
        <w:rPr>
          <w:rFonts w:ascii="Arial" w:cs="Arial" w:eastAsia="Arial" w:hAnsi="Arial"/>
          <w:sz w:val="17"/>
          <w:szCs w:val="17"/>
          <w:color w:val="auto"/>
        </w:rPr>
        <w:t>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282" w:lineRule="exact"/>
        <w:rPr>
          <w:rFonts w:ascii="Arial" w:cs="Arial" w:eastAsia="Arial" w:hAnsi="Arial"/>
          <w:sz w:val="17"/>
          <w:szCs w:val="17"/>
          <w:color w:val="auto"/>
        </w:rPr>
      </w:pPr>
    </w:p>
    <w:p>
      <w:pPr>
        <w:ind w:left="624" w:hanging="184"/>
        <w:spacing w:after="0"/>
        <w:tabs>
          <w:tab w:leader="none" w:pos="624" w:val="left"/>
        </w:tabs>
        <w:numPr>
          <w:ilvl w:val="1"/>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firstLine="987"/>
        <w:spacing w:after="0" w:line="292" w:lineRule="auto"/>
        <w:tabs>
          <w:tab w:leader="none" w:pos="1250" w:val="left"/>
        </w:tabs>
        <w:numPr>
          <w:ilvl w:val="2"/>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Each Restricted Stock Award Agreement will be in such form and will contain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deems appropriate. To the extent consistent with the Company’s articles of association and Applicable Law,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53" w:lineRule="exact"/>
        <w:rPr>
          <w:rFonts w:ascii="Arial" w:cs="Arial" w:eastAsia="Arial" w:hAnsi="Arial"/>
          <w:sz w:val="16"/>
          <w:szCs w:val="16"/>
          <w:b w:val="1"/>
          <w:bCs w:val="1"/>
          <w:color w:val="auto"/>
        </w:rPr>
      </w:pPr>
    </w:p>
    <w:p>
      <w:pPr>
        <w:ind w:left="4" w:right="340" w:firstLine="1428"/>
        <w:spacing w:after="0" w:line="266" w:lineRule="auto"/>
        <w:tabs>
          <w:tab w:leader="none" w:pos="1651" w:val="left"/>
        </w:tabs>
        <w:numPr>
          <w:ilvl w:val="3"/>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check, bank draft or money order</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the Company, (B) past services to the Company or an Affiliate, or (C) any other form of legal consideration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4" w:right="360" w:firstLine="1428"/>
        <w:spacing w:after="0" w:line="282" w:lineRule="auto"/>
        <w:tabs>
          <w:tab w:leader="none" w:pos="1701" w:val="left"/>
        </w:tabs>
        <w:numPr>
          <w:ilvl w:val="3"/>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its designee in accordance with a vesting schedule to be determined by the Board.</w:t>
      </w:r>
    </w:p>
    <w:p>
      <w:pPr>
        <w:spacing w:after="0" w:line="161" w:lineRule="exact"/>
        <w:rPr>
          <w:rFonts w:ascii="Arial" w:cs="Arial" w:eastAsia="Arial" w:hAnsi="Arial"/>
          <w:sz w:val="18"/>
          <w:szCs w:val="18"/>
          <w:b w:val="1"/>
          <w:bCs w:val="1"/>
          <w:color w:val="auto"/>
        </w:rPr>
      </w:pPr>
    </w:p>
    <w:p>
      <w:pPr>
        <w:ind w:left="4" w:firstLine="1428"/>
        <w:spacing w:after="0" w:line="266" w:lineRule="auto"/>
        <w:tabs>
          <w:tab w:leader="none" w:pos="1751" w:val="left"/>
        </w:tabs>
        <w:numPr>
          <w:ilvl w:val="3"/>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If a Participant’s Continuous Service terminates,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may receive through a forfeiture condition or a repurchase right, any or all of the shares of Common Stock held by the Participant as of the date of termination of Continuous Service under the terms of the Restricted Stock Award Agreement.</w:t>
      </w:r>
    </w:p>
    <w:p>
      <w:pPr>
        <w:spacing w:after="0" w:line="175" w:lineRule="exact"/>
        <w:rPr>
          <w:rFonts w:ascii="Arial" w:cs="Arial" w:eastAsia="Arial" w:hAnsi="Arial"/>
          <w:sz w:val="18"/>
          <w:szCs w:val="18"/>
          <w:b w:val="1"/>
          <w:bCs w:val="1"/>
          <w:color w:val="auto"/>
        </w:rPr>
      </w:pPr>
    </w:p>
    <w:p>
      <w:pPr>
        <w:ind w:left="4" w:right="80" w:firstLine="1428"/>
        <w:spacing w:after="0" w:line="261" w:lineRule="auto"/>
        <w:tabs>
          <w:tab w:leader="none" w:pos="1741" w:val="left"/>
        </w:tabs>
        <w:numPr>
          <w:ilvl w:val="3"/>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will be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374" w:name="page375"/>
    <w:bookmarkEnd w:id="374"/>
    <w:p>
      <w:pPr>
        <w:ind w:right="80" w:firstLine="1428"/>
        <w:spacing w:after="0" w:line="266" w:lineRule="auto"/>
        <w:tabs>
          <w:tab w:leader="none" w:pos="1687"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 and Distributions</w:t>
      </w:r>
      <w:r>
        <w:rPr>
          <w:rFonts w:ascii="Arial" w:cs="Arial" w:eastAsia="Arial" w:hAnsi="Arial"/>
          <w:sz w:val="18"/>
          <w:szCs w:val="18"/>
          <w:color w:val="auto"/>
        </w:rPr>
        <w:t>. A Restricted Stock Award Agreement may provide that any dividends and distributions paid on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will be subject to the same vesting and forfeiture restrictions as apply to the shares subject to the Restricted Stock Award to which they relate.</w:t>
      </w:r>
    </w:p>
    <w:p>
      <w:pPr>
        <w:spacing w:after="0" w:line="175" w:lineRule="exact"/>
        <w:rPr>
          <w:rFonts w:ascii="Arial" w:cs="Arial" w:eastAsia="Arial" w:hAnsi="Arial"/>
          <w:sz w:val="18"/>
          <w:szCs w:val="18"/>
          <w:b w:val="1"/>
          <w:bCs w:val="1"/>
          <w:color w:val="auto"/>
        </w:rPr>
      </w:pPr>
    </w:p>
    <w:p>
      <w:pPr>
        <w:ind w:right="140" w:firstLine="987"/>
        <w:spacing w:after="0" w:line="258" w:lineRule="auto"/>
        <w:tabs>
          <w:tab w:leader="none" w:pos="1256"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 Awards</w:t>
      </w:r>
      <w:r>
        <w:rPr>
          <w:rFonts w:ascii="Arial" w:cs="Arial" w:eastAsia="Arial" w:hAnsi="Arial"/>
          <w:sz w:val="18"/>
          <w:szCs w:val="18"/>
          <w:color w:val="auto"/>
        </w:rPr>
        <w:t>. 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75" w:lineRule="exact"/>
        <w:rPr>
          <w:rFonts w:ascii="Arial" w:cs="Arial" w:eastAsia="Arial" w:hAnsi="Arial"/>
          <w:sz w:val="18"/>
          <w:szCs w:val="18"/>
          <w:b w:val="1"/>
          <w:bCs w:val="1"/>
          <w:color w:val="auto"/>
        </w:rPr>
      </w:pPr>
    </w:p>
    <w:p>
      <w:pPr>
        <w:ind w:right="60" w:firstLine="1428"/>
        <w:spacing w:after="0" w:line="261" w:lineRule="auto"/>
        <w:tabs>
          <w:tab w:leader="none" w:pos="1647" w:val="left"/>
        </w:tabs>
        <w:numPr>
          <w:ilvl w:val="1"/>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grant of a Restricted Stock Unit Award, the Board will determine the consideration, if any,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0" w:lineRule="exact"/>
        <w:rPr>
          <w:sz w:val="20"/>
          <w:szCs w:val="20"/>
          <w:color w:val="auto"/>
        </w:rPr>
      </w:pPr>
    </w:p>
    <w:p>
      <w:pPr>
        <w:ind w:right="220" w:firstLine="1428"/>
        <w:spacing w:after="0" w:line="282" w:lineRule="auto"/>
        <w:tabs>
          <w:tab w:leader="none" w:pos="1697" w:val="left"/>
        </w:tabs>
        <w:numPr>
          <w:ilvl w:val="1"/>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Restricted Stock Unit Award, the Board may impose such restrictions on or conditions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of the Restricted Stock Unit Award as it, in its sole discretion, deems appropriate.</w:t>
      </w:r>
    </w:p>
    <w:p>
      <w:pPr>
        <w:spacing w:after="0" w:line="161" w:lineRule="exact"/>
        <w:rPr>
          <w:rFonts w:ascii="Arial" w:cs="Arial" w:eastAsia="Arial" w:hAnsi="Arial"/>
          <w:sz w:val="18"/>
          <w:szCs w:val="18"/>
          <w:b w:val="1"/>
          <w:bCs w:val="1"/>
          <w:color w:val="auto"/>
        </w:rPr>
      </w:pPr>
    </w:p>
    <w:p>
      <w:pPr>
        <w:ind w:right="80" w:firstLine="1428"/>
        <w:spacing w:after="0" w:line="347" w:lineRule="auto"/>
        <w:tabs>
          <w:tab w:leader="none" w:pos="1747" w:val="left"/>
        </w:tabs>
        <w:numPr>
          <w:ilvl w:val="1"/>
          <w:numId w:val="319"/>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right="20" w:firstLine="1428"/>
        <w:spacing w:after="0" w:line="266" w:lineRule="auto"/>
        <w:tabs>
          <w:tab w:leader="none" w:pos="1737" w:val="left"/>
        </w:tabs>
        <w:numPr>
          <w:ilvl w:val="1"/>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Restrictions</w:t>
      </w:r>
      <w:r>
        <w:rPr>
          <w:rFonts w:ascii="Arial" w:cs="Arial" w:eastAsia="Arial" w:hAnsi="Arial"/>
          <w:sz w:val="18"/>
          <w:szCs w:val="18"/>
          <w:color w:val="auto"/>
        </w:rPr>
        <w:t>. At the time of the grant of a Restricted Stock Unit Award, the Board, as it deems appropriate, may</w:t>
      </w:r>
      <w:r>
        <w:rPr>
          <w:rFonts w:ascii="Arial" w:cs="Arial" w:eastAsia="Arial" w:hAnsi="Arial"/>
          <w:sz w:val="18"/>
          <w:szCs w:val="18"/>
          <w:b w:val="1"/>
          <w:bCs w:val="1"/>
          <w:color w:val="auto"/>
        </w:rPr>
        <w:t xml:space="preserve"> </w:t>
      </w:r>
      <w:r>
        <w:rPr>
          <w:rFonts w:ascii="Arial" w:cs="Arial" w:eastAsia="Arial" w:hAnsi="Arial"/>
          <w:sz w:val="18"/>
          <w:szCs w:val="18"/>
          <w:color w:val="auto"/>
        </w:rPr>
        <w:t>impose 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right="40" w:firstLine="1428"/>
        <w:spacing w:after="0" w:line="258" w:lineRule="auto"/>
        <w:tabs>
          <w:tab w:leader="none" w:pos="1687" w:val="left"/>
        </w:tabs>
        <w:numPr>
          <w:ilvl w:val="1"/>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Dividend equivalents may be credited in respect of shares of Common Stock covered by a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Award, as determined by the Board and contained in the Restricted Stock Unit Award Agreement. At the sole discretion of the Board, such dividend equivalents may be paid currently or credited to an account for the Participant, settled in cash or shares of Common Stock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83" w:lineRule="exact"/>
        <w:rPr>
          <w:rFonts w:ascii="Arial" w:cs="Arial" w:eastAsia="Arial" w:hAnsi="Arial"/>
          <w:sz w:val="18"/>
          <w:szCs w:val="18"/>
          <w:b w:val="1"/>
          <w:bCs w:val="1"/>
          <w:color w:val="auto"/>
        </w:rPr>
      </w:pPr>
    </w:p>
    <w:p>
      <w:pPr>
        <w:ind w:firstLine="1428"/>
        <w:spacing w:after="0" w:line="266" w:lineRule="auto"/>
        <w:tabs>
          <w:tab w:leader="none" w:pos="1737" w:val="left"/>
        </w:tabs>
        <w:numPr>
          <w:ilvl w:val="1"/>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Except as otherwise provided in the applicable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such portion of the Restricted Stock Unit Award that has not vested will be forfeited upon the Participant’s termination of Continuous Service.</w:t>
      </w:r>
    </w:p>
    <w:p>
      <w:pPr>
        <w:spacing w:after="0" w:line="283"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1428"/>
        <w:spacing w:after="0" w:line="274" w:lineRule="auto"/>
        <w:tabs>
          <w:tab w:leader="none" w:pos="1647" w:val="left"/>
        </w:tabs>
        <w:numPr>
          <w:ilvl w:val="1"/>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Stock Awards</w:t>
      </w:r>
      <w:r>
        <w:rPr>
          <w:rFonts w:ascii="Arial" w:cs="Arial" w:eastAsia="Arial" w:hAnsi="Arial"/>
          <w:sz w:val="17"/>
          <w:szCs w:val="17"/>
          <w:color w:val="auto"/>
        </w:rPr>
        <w:t>. A Performance Stock Award is a Stock Award that is payable or that may be granted, may vest or</w:t>
      </w:r>
      <w:r>
        <w:rPr>
          <w:rFonts w:ascii="Arial" w:cs="Arial" w:eastAsia="Arial" w:hAnsi="Arial"/>
          <w:sz w:val="17"/>
          <w:szCs w:val="17"/>
          <w:b w:val="1"/>
          <w:bCs w:val="1"/>
          <w:color w:val="auto"/>
        </w:rPr>
        <w:t xml:space="preserve"> </w:t>
      </w:r>
      <w:r>
        <w:rPr>
          <w:rFonts w:ascii="Arial" w:cs="Arial" w:eastAsia="Arial" w:hAnsi="Arial"/>
          <w:sz w:val="17"/>
          <w:szCs w:val="17"/>
          <w:color w:val="auto"/>
        </w:rPr>
        <w:t>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Award Agreement, the Board may determine that cash may be used in payment of Performance Stock Awards.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375" w:name="page376"/>
    <w:bookmarkEnd w:id="375"/>
    <w:p>
      <w:pPr>
        <w:ind w:firstLine="1428"/>
        <w:spacing w:after="0" w:line="292" w:lineRule="auto"/>
        <w:tabs>
          <w:tab w:leader="none" w:pos="1697" w:val="left"/>
        </w:tabs>
        <w:numPr>
          <w:ilvl w:val="2"/>
          <w:numId w:val="32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Cash Awards</w:t>
      </w:r>
      <w:r>
        <w:rPr>
          <w:rFonts w:ascii="Arial" w:cs="Arial" w:eastAsia="Arial" w:hAnsi="Arial"/>
          <w:sz w:val="16"/>
          <w:szCs w:val="16"/>
          <w:color w:val="auto"/>
        </w:rPr>
        <w:t>. A Performance Cash Award is a cash award that is payable contingent upon the attainment during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in its sole discretion. The Board may specify the form of payment of Performance Cash Awards, which may be cash or other property (other than shares of Common Stock), or may provide for a Participant to have the option for his or her Performance Cash Award, or such portion thereof as the Board may specify, to be paid in whole or in part in cash or other property (other than shares of Common Stock).</w:t>
      </w:r>
    </w:p>
    <w:p>
      <w:pPr>
        <w:spacing w:after="0" w:line="161" w:lineRule="exact"/>
        <w:rPr>
          <w:rFonts w:ascii="Arial" w:cs="Arial" w:eastAsia="Arial" w:hAnsi="Arial"/>
          <w:sz w:val="16"/>
          <w:szCs w:val="16"/>
          <w:b w:val="1"/>
          <w:bCs w:val="1"/>
          <w:color w:val="auto"/>
        </w:rPr>
      </w:pPr>
    </w:p>
    <w:p>
      <w:pPr>
        <w:jc w:val="both"/>
        <w:ind w:right="200" w:firstLine="1428"/>
        <w:spacing w:after="0" w:line="261" w:lineRule="auto"/>
        <w:tabs>
          <w:tab w:leader="none" w:pos="1747" w:val="left"/>
        </w:tabs>
        <w:numPr>
          <w:ilvl w:val="2"/>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Board Discretion</w:t>
      </w:r>
      <w:r>
        <w:rPr>
          <w:rFonts w:ascii="Arial" w:cs="Arial" w:eastAsia="Arial" w:hAnsi="Arial"/>
          <w:sz w:val="18"/>
          <w:szCs w:val="18"/>
          <w:color w:val="auto"/>
        </w:rPr>
        <w:t>. The Board retains the discretion to reduce or eliminate the compensation or economic benefit due upon</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79" w:lineRule="exact"/>
        <w:rPr>
          <w:rFonts w:ascii="Arial" w:cs="Arial" w:eastAsia="Arial" w:hAnsi="Arial"/>
          <w:sz w:val="18"/>
          <w:szCs w:val="18"/>
          <w:b w:val="1"/>
          <w:bCs w:val="1"/>
          <w:color w:val="auto"/>
        </w:rPr>
      </w:pPr>
    </w:p>
    <w:p>
      <w:pPr>
        <w:ind w:firstLine="987"/>
        <w:spacing w:after="0" w:line="294" w:lineRule="auto"/>
        <w:tabs>
          <w:tab w:leader="none" w:pos="1256" w:val="left"/>
        </w:tabs>
        <w:numPr>
          <w:ilvl w:val="1"/>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t>Other Stock Awards</w:t>
      </w:r>
      <w:r>
        <w:rPr>
          <w:rFonts w:ascii="Arial" w:cs="Arial" w:eastAsia="Arial" w:hAnsi="Arial"/>
          <w:sz w:val="16"/>
          <w:szCs w:val="16"/>
          <w:color w:val="auto"/>
        </w:rPr>
        <w:t>. Other forms of Stock Awards valued in whole or in part by reference to, or otherwise based on,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appreciation in value thereof (e.g., options or stock rights with an exercise price or strike price less than one hundred percent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267" w:lineRule="exact"/>
        <w:rPr>
          <w:rFonts w:ascii="Arial" w:cs="Arial" w:eastAsia="Arial" w:hAnsi="Arial"/>
          <w:sz w:val="16"/>
          <w:szCs w:val="16"/>
          <w:b w:val="1"/>
          <w:bCs w:val="1"/>
          <w:color w:val="auto"/>
        </w:rPr>
      </w:pPr>
    </w:p>
    <w:p>
      <w:pPr>
        <w:ind w:left="620" w:hanging="184"/>
        <w:spacing w:after="0"/>
        <w:tabs>
          <w:tab w:leader="none" w:pos="62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00" w:firstLine="987"/>
        <w:spacing w:after="0" w:line="282" w:lineRule="auto"/>
        <w:tabs>
          <w:tab w:leader="none" w:pos="1246"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The Company will keep available at all times the number of shares of Common Stock reasonably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then-outstanding Stock Awards.</w:t>
      </w:r>
    </w:p>
    <w:p>
      <w:pPr>
        <w:spacing w:after="0" w:line="161" w:lineRule="exact"/>
        <w:rPr>
          <w:rFonts w:ascii="Arial" w:cs="Arial" w:eastAsia="Arial" w:hAnsi="Arial"/>
          <w:sz w:val="18"/>
          <w:szCs w:val="18"/>
          <w:b w:val="1"/>
          <w:bCs w:val="1"/>
          <w:color w:val="auto"/>
        </w:rPr>
      </w:pPr>
    </w:p>
    <w:p>
      <w:pPr>
        <w:ind w:right="180" w:firstLine="987"/>
        <w:spacing w:after="0" w:line="291" w:lineRule="auto"/>
        <w:tabs>
          <w:tab w:leader="none" w:pos="1256" w:val="left"/>
        </w:tabs>
        <w:numPr>
          <w:ilvl w:val="1"/>
          <w:numId w:val="323"/>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The Company will seek to obtain from each regulatory commission or agency having jurisdiction over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Plan such authority as may be required to grant Stock Awards and to issue and sell shares of Common Stock upon exercise of the Stock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will not require the Company to register under the Securities Act the Plan, any Stock Award or 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59" w:lineRule="exact"/>
        <w:rPr>
          <w:rFonts w:ascii="Arial" w:cs="Arial" w:eastAsia="Arial" w:hAnsi="Arial"/>
          <w:sz w:val="16"/>
          <w:szCs w:val="16"/>
          <w:b w:val="1"/>
          <w:bCs w:val="1"/>
          <w:color w:val="auto"/>
        </w:rPr>
      </w:pPr>
    </w:p>
    <w:p>
      <w:pPr>
        <w:ind w:right="40" w:firstLine="987"/>
        <w:spacing w:after="0" w:line="261" w:lineRule="auto"/>
        <w:tabs>
          <w:tab w:leader="none" w:pos="1236"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No Obligation to Notify or Minimize Taxes</w:t>
      </w:r>
      <w:r>
        <w:rPr>
          <w:rFonts w:ascii="Arial" w:cs="Arial" w:eastAsia="Arial" w:hAnsi="Arial"/>
          <w:sz w:val="18"/>
          <w:szCs w:val="18"/>
          <w:color w:val="auto"/>
        </w:rPr>
        <w:t>. The Company will have no duty or obligation to any Participant to advise such holder as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76" w:name="page377"/>
    <w:bookmarkEnd w:id="376"/>
    <w:p>
      <w:pPr>
        <w:ind w:left="620" w:hanging="184"/>
        <w:spacing w:after="0"/>
        <w:tabs>
          <w:tab w:leader="none" w:pos="62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300" w:firstLine="987"/>
        <w:spacing w:after="0" w:line="282" w:lineRule="auto"/>
        <w:tabs>
          <w:tab w:leader="none" w:pos="1246"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1" w:lineRule="exact"/>
        <w:rPr>
          <w:rFonts w:ascii="Arial" w:cs="Arial" w:eastAsia="Arial" w:hAnsi="Arial"/>
          <w:sz w:val="18"/>
          <w:szCs w:val="18"/>
          <w:b w:val="1"/>
          <w:bCs w:val="1"/>
          <w:color w:val="auto"/>
        </w:rPr>
      </w:pPr>
    </w:p>
    <w:p>
      <w:pPr>
        <w:ind w:firstLine="987"/>
        <w:spacing w:after="0" w:line="294" w:lineRule="auto"/>
        <w:tabs>
          <w:tab w:leader="none" w:pos="1256" w:val="left"/>
        </w:tabs>
        <w:numPr>
          <w:ilvl w:val="1"/>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Awards. </w:t>
      </w:r>
      <w:r>
        <w:rPr>
          <w:rFonts w:ascii="Arial" w:cs="Arial" w:eastAsia="Arial" w:hAnsi="Arial"/>
          <w:sz w:val="16"/>
          <w:szCs w:val="16"/>
          <w:color w:val="auto"/>
        </w:rPr>
        <w:t>Corporate action constituting a grant by the Company of an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as a result of a clerical error in the papering of the Award Agreement, the corporate records will control and the Participant will have no legally binding right to the incorrect term in the Award Agreement.</w:t>
      </w:r>
    </w:p>
    <w:p>
      <w:pPr>
        <w:spacing w:after="0" w:line="159" w:lineRule="exact"/>
        <w:rPr>
          <w:rFonts w:ascii="Arial" w:cs="Arial" w:eastAsia="Arial" w:hAnsi="Arial"/>
          <w:sz w:val="16"/>
          <w:szCs w:val="16"/>
          <w:b w:val="1"/>
          <w:bCs w:val="1"/>
          <w:color w:val="auto"/>
        </w:rPr>
      </w:pPr>
    </w:p>
    <w:p>
      <w:pPr>
        <w:ind w:right="100" w:firstLine="987"/>
        <w:spacing w:after="0" w:line="261" w:lineRule="auto"/>
        <w:tabs>
          <w:tab w:leader="none" w:pos="1236"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Rights</w:t>
      </w:r>
      <w:r>
        <w:rPr>
          <w:rFonts w:ascii="Arial" w:cs="Arial" w:eastAsia="Arial" w:hAnsi="Arial"/>
          <w:sz w:val="18"/>
          <w:szCs w:val="18"/>
          <w:color w:val="auto"/>
        </w:rPr>
        <w:t>. Other than with respect to Restricted Stock Awards, no Participant will be deemed to be the holder of, or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the Award has been entered into the books and records of the Company.</w:t>
      </w:r>
    </w:p>
    <w:p>
      <w:pPr>
        <w:spacing w:after="0" w:line="179" w:lineRule="exact"/>
        <w:rPr>
          <w:rFonts w:ascii="Arial" w:cs="Arial" w:eastAsia="Arial" w:hAnsi="Arial"/>
          <w:sz w:val="18"/>
          <w:szCs w:val="18"/>
          <w:b w:val="1"/>
          <w:bCs w:val="1"/>
          <w:color w:val="auto"/>
        </w:rPr>
      </w:pPr>
    </w:p>
    <w:p>
      <w:pPr>
        <w:jc w:val="both"/>
        <w:ind w:right="20" w:firstLine="987"/>
        <w:spacing w:after="0" w:line="258" w:lineRule="auto"/>
        <w:tabs>
          <w:tab w:leader="none" w:pos="1256"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or Other Service Rights</w:t>
      </w:r>
      <w:r>
        <w:rPr>
          <w:rFonts w:ascii="Arial" w:cs="Arial" w:eastAsia="Arial" w:hAnsi="Arial"/>
          <w:sz w:val="18"/>
          <w:szCs w:val="18"/>
          <w:color w:val="auto"/>
        </w:rPr>
        <w:t>. Nothing in the Plan, any Award Agreement or any other instrument executed thereunder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Stock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agreement of a Director.</w:t>
      </w:r>
    </w:p>
    <w:p>
      <w:pPr>
        <w:spacing w:after="0" w:line="183" w:lineRule="exact"/>
        <w:rPr>
          <w:rFonts w:ascii="Arial" w:cs="Arial" w:eastAsia="Arial" w:hAnsi="Arial"/>
          <w:sz w:val="18"/>
          <w:szCs w:val="18"/>
          <w:b w:val="1"/>
          <w:bCs w:val="1"/>
          <w:color w:val="auto"/>
        </w:rPr>
      </w:pPr>
    </w:p>
    <w:p>
      <w:pPr>
        <w:ind w:right="40" w:firstLine="987"/>
        <w:spacing w:after="0" w:line="273" w:lineRule="auto"/>
        <w:tabs>
          <w:tab w:leader="none" w:pos="1236" w:val="left"/>
        </w:tabs>
        <w:numPr>
          <w:ilvl w:val="1"/>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Time Commitment</w:t>
      </w:r>
      <w:r>
        <w:rPr>
          <w:rFonts w:ascii="Arial" w:cs="Arial" w:eastAsia="Arial" w:hAnsi="Arial"/>
          <w:sz w:val="17"/>
          <w:szCs w:val="17"/>
          <w:color w:val="auto"/>
        </w:rPr>
        <w:t>. In the event a Participant’s regular level of time commitment in the performance of his or her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Company and any Affiliates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 (x) make a corresponding reduction in the number of shares subject to any portion of such Award that is scheduled to vest or become payable after the date of such change in time commitment, and (y) subject to the requirements of Section 409A of the Code,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1" w:lineRule="exact"/>
        <w:rPr>
          <w:rFonts w:ascii="Arial" w:cs="Arial" w:eastAsia="Arial" w:hAnsi="Arial"/>
          <w:sz w:val="17"/>
          <w:szCs w:val="17"/>
          <w:b w:val="1"/>
          <w:bCs w:val="1"/>
          <w:color w:val="auto"/>
        </w:rPr>
      </w:pPr>
    </w:p>
    <w:p>
      <w:pPr>
        <w:ind w:right="40" w:firstLine="987"/>
        <w:spacing w:after="0" w:line="256" w:lineRule="auto"/>
        <w:tabs>
          <w:tab w:leader="none" w:pos="1216"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Limitations</w:t>
      </w:r>
      <w:r>
        <w:rPr>
          <w:rFonts w:ascii="Arial" w:cs="Arial" w:eastAsia="Arial" w:hAnsi="Arial"/>
          <w:sz w:val="18"/>
          <w:szCs w:val="18"/>
          <w:color w:val="auto"/>
        </w:rPr>
        <w:t>. To the extent that the aggregate Fair Market Value (determined at the Date of Grant)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with 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7" w:lineRule="exact"/>
        <w:rPr>
          <w:rFonts w:ascii="Arial" w:cs="Arial" w:eastAsia="Arial" w:hAnsi="Arial"/>
          <w:sz w:val="18"/>
          <w:szCs w:val="18"/>
          <w:b w:val="1"/>
          <w:bCs w:val="1"/>
          <w:color w:val="auto"/>
        </w:rPr>
      </w:pPr>
    </w:p>
    <w:p>
      <w:pPr>
        <w:ind w:right="20" w:firstLine="987"/>
        <w:spacing w:after="0" w:line="254" w:lineRule="auto"/>
        <w:tabs>
          <w:tab w:leader="none" w:pos="1246"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Assurances</w:t>
      </w:r>
      <w:r>
        <w:rPr>
          <w:rFonts w:ascii="Arial" w:cs="Arial" w:eastAsia="Arial" w:hAnsi="Arial"/>
          <w:sz w:val="18"/>
          <w:szCs w:val="18"/>
          <w:color w:val="auto"/>
        </w:rPr>
        <w:t>. The Company may require a Participant, as a condition of exercising or acquiring Common Stock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to represent to and agree with the Company in writing that the Participant is acquiring shares of Common Stock without a view to distribution thereof. In addition to any legend required by the Plan, the certificates for such shares may include any legend that the Board deems appropriate to reflect any restrictions on transfer. All certificates for shares of Common Stock delivered under the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any Applicable Law, and the Committee may cause a legend or legends to be put on any such certificates to make appropriate reference to such restrictions.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377" w:name="page378"/>
    <w:bookmarkEnd w:id="377"/>
    <w:p>
      <w:pPr>
        <w:ind w:left="4" w:firstLine="987"/>
        <w:spacing w:after="0" w:line="283" w:lineRule="auto"/>
        <w:tabs>
          <w:tab w:leader="none" w:pos="1260" w:val="left"/>
        </w:tabs>
        <w:numPr>
          <w:ilvl w:val="1"/>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Obligations</w:t>
      </w:r>
      <w:r>
        <w:rPr>
          <w:rFonts w:ascii="Arial" w:cs="Arial" w:eastAsia="Arial" w:hAnsi="Arial"/>
          <w:sz w:val="16"/>
          <w:szCs w:val="16"/>
          <w:color w:val="auto"/>
        </w:rPr>
        <w:t>. The Company or the Participant’s employer may withhold any tax (including dividend tax, wage tax and</w:t>
      </w:r>
      <w:r>
        <w:rPr>
          <w:rFonts w:ascii="Arial" w:cs="Arial" w:eastAsia="Arial" w:hAnsi="Arial"/>
          <w:sz w:val="16"/>
          <w:szCs w:val="16"/>
          <w:b w:val="1"/>
          <w:bCs w:val="1"/>
          <w:color w:val="auto"/>
        </w:rPr>
        <w:t xml:space="preserve"> </w:t>
      </w:r>
      <w:r>
        <w:rPr>
          <w:rFonts w:ascii="Arial" w:cs="Arial" w:eastAsia="Arial" w:hAnsi="Arial"/>
          <w:sz w:val="16"/>
          <w:szCs w:val="16"/>
          <w:color w:val="auto"/>
        </w:rPr>
        <w:t>social security premiums due, if any) due relating to an Award that the Company or such employer is required by Applicable Law to withhold (“</w:t>
      </w:r>
      <w:r>
        <w:rPr>
          <w:rFonts w:ascii="Arial" w:cs="Arial" w:eastAsia="Arial" w:hAnsi="Arial"/>
          <w:sz w:val="16"/>
          <w:szCs w:val="16"/>
          <w:b w:val="1"/>
          <w:b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color w:val="auto"/>
        </w:rPr>
        <w:t>withholding obligations</w:t>
      </w:r>
      <w:r>
        <w:rPr>
          <w:rFonts w:ascii="Arial" w:cs="Arial" w:eastAsia="Arial" w:hAnsi="Arial"/>
          <w:sz w:val="16"/>
          <w:szCs w:val="16"/>
          <w:color w:val="auto"/>
        </w:rPr>
        <w:t>”), as well as any amounts due from such Participant to the Company or the relevant employer relating to an Award (“</w:t>
      </w:r>
      <w:r>
        <w:rPr>
          <w:rFonts w:ascii="Arial" w:cs="Arial" w:eastAsia="Arial" w:hAnsi="Arial"/>
          <w:sz w:val="16"/>
          <w:szCs w:val="16"/>
          <w:b w:val="1"/>
          <w:bCs w:val="1"/>
          <w:color w:val="auto"/>
        </w:rPr>
        <w:t>other obligations</w:t>
      </w:r>
      <w:r>
        <w:rPr>
          <w:rFonts w:ascii="Arial" w:cs="Arial" w:eastAsia="Arial" w:hAnsi="Arial"/>
          <w:sz w:val="16"/>
          <w:szCs w:val="16"/>
          <w:color w:val="auto"/>
        </w:rPr>
        <w:t>”). Such tax withholding obligations and other obligations will be for the account of the Participant, unless explicitly agreed otherwise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terms of an Award Agreement or prohibited by law. Notwithstanding any other provision of an Award Agreement, the Company shall not be required to issue any Common Stock or otherwise settle any Award until such tax withholding obligations and other obligations are satisfied or proper arrangements are made (satisfactory to the Company) to ensure the satisfaction of such tax withholding obligations and other obligations. Unless prohibited by the terms of an Award Agreement, the Company or the Participant’s employer may, in its sole discretion, satisfy any such tax withholding obligation or such other obligations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and selling (or arranging the sale by a broker or other financial intermediary of) such shares on the Participant’s behalf;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shares of Common Stock are withheld with a value exceeding the anticipated maximum amount of tax required to be withheld by law (or such lesser amount as may be necessary to avoid classification of the Award as a liability for financial accounting purposes) as calculated by the Company in good faith; (iii) withholding cash from an Award settled in cash; (iv) withholding payment from any amounts otherwise payable to the Participant; or</w:t>
      </w:r>
    </w:p>
    <w:p>
      <w:pPr>
        <w:spacing w:after="0" w:line="5" w:lineRule="exact"/>
        <w:rPr>
          <w:rFonts w:ascii="Arial" w:cs="Arial" w:eastAsia="Arial" w:hAnsi="Arial"/>
          <w:sz w:val="16"/>
          <w:szCs w:val="16"/>
          <w:b w:val="1"/>
          <w:bCs w:val="1"/>
          <w:color w:val="auto"/>
        </w:rPr>
      </w:pPr>
    </w:p>
    <w:p>
      <w:pPr>
        <w:ind w:left="264" w:hanging="264"/>
        <w:spacing w:after="0"/>
        <w:tabs>
          <w:tab w:leader="none" w:pos="26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by such other method as may be set forth in the Award Agreement.</w:t>
      </w:r>
    </w:p>
    <w:p>
      <w:pPr>
        <w:spacing w:after="0" w:line="206" w:lineRule="exact"/>
        <w:rPr>
          <w:rFonts w:ascii="Arial" w:cs="Arial" w:eastAsia="Arial" w:hAnsi="Arial"/>
          <w:sz w:val="18"/>
          <w:szCs w:val="18"/>
          <w:color w:val="auto"/>
        </w:rPr>
      </w:pPr>
    </w:p>
    <w:p>
      <w:pPr>
        <w:ind w:left="4" w:right="60" w:firstLine="987"/>
        <w:spacing w:after="0" w:line="266" w:lineRule="auto"/>
        <w:tabs>
          <w:tab w:leader="none" w:pos="1210" w:val="left"/>
        </w:tabs>
        <w:numPr>
          <w:ilvl w:val="1"/>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5" w:lineRule="exact"/>
        <w:rPr>
          <w:rFonts w:ascii="Arial" w:cs="Arial" w:eastAsia="Arial" w:hAnsi="Arial"/>
          <w:sz w:val="18"/>
          <w:szCs w:val="18"/>
          <w:b w:val="1"/>
          <w:bCs w:val="1"/>
          <w:color w:val="auto"/>
        </w:rPr>
      </w:pPr>
    </w:p>
    <w:p>
      <w:pPr>
        <w:ind w:left="4" w:right="180" w:firstLine="987"/>
        <w:spacing w:after="0" w:line="292" w:lineRule="auto"/>
        <w:tabs>
          <w:tab w:leader="none" w:pos="1220" w:val="left"/>
        </w:tabs>
        <w:numPr>
          <w:ilvl w:val="1"/>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Deferrals</w:t>
      </w:r>
      <w:r>
        <w:rPr>
          <w:rFonts w:ascii="Arial" w:cs="Arial" w:eastAsia="Arial" w:hAnsi="Arial"/>
          <w:sz w:val="16"/>
          <w:szCs w:val="16"/>
          <w:color w:val="auto"/>
        </w:rPr>
        <w:t>. To the extent permitted by Applicable Law, the Board, in its sole discretion, may determine that the delivery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61" w:lineRule="exact"/>
        <w:rPr>
          <w:rFonts w:ascii="Arial" w:cs="Arial" w:eastAsia="Arial" w:hAnsi="Arial"/>
          <w:sz w:val="16"/>
          <w:szCs w:val="16"/>
          <w:b w:val="1"/>
          <w:bCs w:val="1"/>
          <w:color w:val="auto"/>
        </w:rPr>
      </w:pPr>
    </w:p>
    <w:p>
      <w:pPr>
        <w:ind w:left="4" w:right="220" w:firstLine="987"/>
        <w:spacing w:after="0" w:line="289" w:lineRule="auto"/>
        <w:tabs>
          <w:tab w:leader="none" w:pos="1260" w:val="left"/>
        </w:tabs>
        <w:numPr>
          <w:ilvl w:val="1"/>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Section 409A of the Code</w:t>
      </w:r>
      <w:r>
        <w:rPr>
          <w:rFonts w:ascii="Arial" w:cs="Arial" w:eastAsia="Arial" w:hAnsi="Arial"/>
          <w:sz w:val="16"/>
          <w:szCs w:val="16"/>
          <w:color w:val="auto"/>
        </w:rPr>
        <w:t>. Unless otherwise expressly provided for in an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378" w:name="page379"/>
    <w:bookmarkEnd w:id="378"/>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w:t>
      </w:r>
    </w:p>
    <w:p>
      <w:pPr>
        <w:ind w:left="264" w:hanging="264"/>
        <w:spacing w:after="0"/>
        <w:tabs>
          <w:tab w:leader="none" w:pos="26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month period elapses, with the balance paid thereafter on the original schedule.</w:t>
      </w:r>
    </w:p>
    <w:p>
      <w:pPr>
        <w:spacing w:after="0" w:line="206" w:lineRule="exact"/>
        <w:rPr>
          <w:rFonts w:ascii="Arial" w:cs="Arial" w:eastAsia="Arial" w:hAnsi="Arial"/>
          <w:sz w:val="18"/>
          <w:szCs w:val="18"/>
          <w:color w:val="auto"/>
        </w:rPr>
      </w:pPr>
    </w:p>
    <w:p>
      <w:pPr>
        <w:ind w:left="4" w:firstLine="987"/>
        <w:spacing w:after="0" w:line="292" w:lineRule="auto"/>
        <w:tabs>
          <w:tab w:leader="none" w:pos="1210" w:val="left"/>
        </w:tabs>
        <w:numPr>
          <w:ilvl w:val="2"/>
          <w:numId w:val="327"/>
        </w:numPr>
        <w:rPr>
          <w:rFonts w:ascii="Arial" w:cs="Arial" w:eastAsia="Arial" w:hAnsi="Arial"/>
          <w:sz w:val="16"/>
          <w:szCs w:val="16"/>
          <w:b w:val="1"/>
          <w:bCs w:val="1"/>
          <w:color w:val="auto"/>
        </w:rPr>
      </w:pPr>
      <w:r>
        <w:rPr>
          <w:rFonts w:ascii="Arial" w:cs="Arial" w:eastAsia="Arial" w:hAnsi="Arial"/>
          <w:sz w:val="16"/>
          <w:szCs w:val="16"/>
          <w:b w:val="1"/>
          <w:bCs w:val="1"/>
          <w:color w:val="auto"/>
        </w:rPr>
        <w:t>Clawback/Recovery</w:t>
      </w:r>
      <w:r>
        <w:rPr>
          <w:rFonts w:ascii="Arial" w:cs="Arial" w:eastAsia="Arial" w:hAnsi="Arial"/>
          <w:sz w:val="16"/>
          <w:szCs w:val="16"/>
          <w:color w:val="auto"/>
        </w:rPr>
        <w:t>. 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 or an Affiliate.</w:t>
      </w:r>
    </w:p>
    <w:p>
      <w:pPr>
        <w:spacing w:after="0" w:line="269" w:lineRule="exact"/>
        <w:rPr>
          <w:rFonts w:ascii="Arial" w:cs="Arial" w:eastAsia="Arial" w:hAnsi="Arial"/>
          <w:sz w:val="16"/>
          <w:szCs w:val="16"/>
          <w:b w:val="1"/>
          <w:bCs w:val="1"/>
          <w:color w:val="auto"/>
        </w:rPr>
      </w:pPr>
    </w:p>
    <w:p>
      <w:pPr>
        <w:ind w:left="624" w:hanging="184"/>
        <w:spacing w:after="0"/>
        <w:tabs>
          <w:tab w:leader="none" w:pos="624" w:val="left"/>
        </w:tabs>
        <w:numPr>
          <w:ilvl w:val="1"/>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2"/>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w:t>
      </w:r>
    </w:p>
    <w:p>
      <w:pPr>
        <w:spacing w:after="0" w:line="39" w:lineRule="exact"/>
        <w:rPr>
          <w:sz w:val="20"/>
          <w:szCs w:val="20"/>
          <w:color w:val="auto"/>
        </w:rPr>
      </w:pPr>
    </w:p>
    <w:p>
      <w:pPr>
        <w:ind w:left="4" w:right="20" w:hanging="4"/>
        <w:spacing w:after="0" w:line="253" w:lineRule="auto"/>
        <w:tabs>
          <w:tab w:leader="none" w:pos="219"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class(es) and maximum number of securities subject to the Plan pursuant to Section 3(a), (ii) the class(es) and maximum number of securities that may be issued pursuant to the exercise of Incentive Stock Options pursuant to Section 3(c), (iii) the class(es) and number of securities and price per share of Common Stock subject to outstanding Stock Awards, and (iv) and any repurchase price that applies to shares of Common Stock granted under the Plan pursuant to the terms of a Company repurchase right under the applicable Stock Award Agreement. The Board will make such adjustments, and its determination will be final, binding and conclusive.</w:t>
      </w:r>
    </w:p>
    <w:p>
      <w:pPr>
        <w:spacing w:after="0" w:line="186" w:lineRule="exact"/>
        <w:rPr>
          <w:rFonts w:ascii="Arial" w:cs="Arial" w:eastAsia="Arial" w:hAnsi="Arial"/>
          <w:sz w:val="18"/>
          <w:szCs w:val="18"/>
          <w:color w:val="auto"/>
        </w:rPr>
      </w:pPr>
    </w:p>
    <w:p>
      <w:pPr>
        <w:ind w:left="4" w:right="100" w:firstLine="987"/>
        <w:spacing w:after="0" w:line="292" w:lineRule="auto"/>
        <w:tabs>
          <w:tab w:leader="none" w:pos="1260" w:val="left"/>
        </w:tabs>
        <w:numPr>
          <w:ilvl w:val="1"/>
          <w:numId w:val="329"/>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w:t>
      </w:r>
      <w:r>
        <w:rPr>
          <w:rFonts w:ascii="Arial" w:cs="Arial" w:eastAsia="Arial" w:hAnsi="Arial"/>
          <w:sz w:val="16"/>
          <w:szCs w:val="16"/>
          <w:color w:val="auto"/>
        </w:rPr>
        <w:t>. Except as otherwise provided in the Stock Award Agreement, in the event of a Dissolution of the Company,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or its designee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61" w:lineRule="exact"/>
        <w:rPr>
          <w:rFonts w:ascii="Arial" w:cs="Arial" w:eastAsia="Arial" w:hAnsi="Arial"/>
          <w:sz w:val="16"/>
          <w:szCs w:val="16"/>
          <w:b w:val="1"/>
          <w:bCs w:val="1"/>
          <w:color w:val="auto"/>
        </w:rPr>
      </w:pPr>
    </w:p>
    <w:p>
      <w:pPr>
        <w:ind w:left="4" w:right="40" w:firstLine="987"/>
        <w:spacing w:after="0" w:line="258" w:lineRule="auto"/>
        <w:tabs>
          <w:tab w:leader="none" w:pos="1240" w:val="left"/>
        </w:tabs>
        <w:numPr>
          <w:ilvl w:val="1"/>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The following provisions will apply to Stock Awards in the event of a Change in Control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Stock Award Agreement or any other written agreement between the Company or any Affiliate and the Participant or unless otherwise expressly provided by the Board at the time of grant of a Stock Award. In the event of a Change in Control, then, notwithstanding any other provision of the Plan, the Board may take one or more of the following actions with respect to Stock Awards, contingent upon the closing or completion of the Change in Control:</w:t>
      </w:r>
    </w:p>
    <w:p>
      <w:pPr>
        <w:spacing w:after="0" w:line="79" w:lineRule="exact"/>
        <w:rPr>
          <w:rFonts w:ascii="Arial" w:cs="Arial" w:eastAsia="Arial" w:hAnsi="Arial"/>
          <w:sz w:val="18"/>
          <w:szCs w:val="18"/>
          <w:b w:val="1"/>
          <w:bCs w:val="1"/>
          <w:color w:val="auto"/>
        </w:rPr>
      </w:pPr>
    </w:p>
    <w:p>
      <w:pPr>
        <w:jc w:val="both"/>
        <w:ind w:left="4" w:right="300" w:firstLine="1428"/>
        <w:spacing w:after="0" w:line="263" w:lineRule="auto"/>
        <w:tabs>
          <w:tab w:leader="none" w:pos="1651" w:val="left"/>
        </w:tabs>
        <w:numPr>
          <w:ilvl w:val="2"/>
          <w:numId w:val="329"/>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shareholders of the Company pursuant to the Change in Control);</w:t>
      </w:r>
    </w:p>
    <w:p>
      <w:pPr>
        <w:spacing w:after="0" w:line="183" w:lineRule="exact"/>
        <w:rPr>
          <w:rFonts w:ascii="Arial" w:cs="Arial" w:eastAsia="Arial" w:hAnsi="Arial"/>
          <w:sz w:val="18"/>
          <w:szCs w:val="18"/>
          <w:b w:val="1"/>
          <w:bCs w:val="1"/>
          <w:color w:val="auto"/>
        </w:rPr>
      </w:pPr>
    </w:p>
    <w:p>
      <w:pPr>
        <w:ind w:left="4" w:right="260" w:firstLine="1428"/>
        <w:spacing w:after="0" w:line="342" w:lineRule="auto"/>
        <w:tabs>
          <w:tab w:leader="none" w:pos="1701" w:val="left"/>
        </w:tabs>
        <w:numPr>
          <w:ilvl w:val="2"/>
          <w:numId w:val="329"/>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79" w:name="page380"/>
    <w:bookmarkEnd w:id="379"/>
    <w:p>
      <w:pPr>
        <w:ind w:right="60" w:firstLine="1428"/>
        <w:spacing w:after="0" w:line="296" w:lineRule="auto"/>
        <w:tabs>
          <w:tab w:leader="none" w:pos="1747" w:val="left"/>
        </w:tabs>
        <w:numPr>
          <w:ilvl w:val="0"/>
          <w:numId w:val="33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accelerate the vesting, in whole or in part, of the Stock Award (and, if applicable, the time at which the Stock Award may be exercised) to a date prior to the effective time of such Change in Control as the Board determines (or, if the Board does not determine such a date, to the date that is five (5) days prior to the effective date of the Change in Control), with such Stock Award terminating if not exercised (if applicable) at or prior to the effective time of the Change in Control; provided, however, that the Board may require Participants to complete and deliver to the Company a notice of exercise before the effective date of a Change in Control, which exercise is contingent upon the effectiveness of such Change in Control;</w:t>
      </w:r>
    </w:p>
    <w:p>
      <w:pPr>
        <w:spacing w:after="0" w:line="161" w:lineRule="exact"/>
        <w:rPr>
          <w:rFonts w:ascii="Arial" w:cs="Arial" w:eastAsia="Arial" w:hAnsi="Arial"/>
          <w:sz w:val="16"/>
          <w:szCs w:val="16"/>
          <w:b w:val="1"/>
          <w:bCs w:val="1"/>
          <w:color w:val="auto"/>
        </w:rPr>
      </w:pPr>
    </w:p>
    <w:p>
      <w:pPr>
        <w:ind w:left="1740" w:hanging="312"/>
        <w:spacing w:after="0"/>
        <w:tabs>
          <w:tab w:leader="none" w:pos="1740"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arrange for the lapse, in whole or in part, of any reacquisition or repurchase rights held by the Company with respect to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Stock Award;</w:t>
      </w:r>
    </w:p>
    <w:p>
      <w:pPr>
        <w:spacing w:after="0" w:line="210" w:lineRule="exact"/>
        <w:rPr>
          <w:rFonts w:ascii="Arial" w:cs="Arial" w:eastAsia="Arial" w:hAnsi="Arial"/>
          <w:sz w:val="17"/>
          <w:szCs w:val="17"/>
          <w:b w:val="1"/>
          <w:bCs w:val="1"/>
          <w:color w:val="auto"/>
        </w:rPr>
      </w:pPr>
    </w:p>
    <w:p>
      <w:pPr>
        <w:ind w:right="180" w:firstLine="1428"/>
        <w:spacing w:after="0" w:line="308" w:lineRule="auto"/>
        <w:tabs>
          <w:tab w:leader="none" w:pos="1687"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46" w:lineRule="exact"/>
        <w:rPr>
          <w:rFonts w:ascii="Arial" w:cs="Arial" w:eastAsia="Arial" w:hAnsi="Arial"/>
          <w:sz w:val="17"/>
          <w:szCs w:val="17"/>
          <w:b w:val="1"/>
          <w:bCs w:val="1"/>
          <w:color w:val="auto"/>
        </w:rPr>
      </w:pPr>
    </w:p>
    <w:p>
      <w:pPr>
        <w:ind w:firstLine="1428"/>
        <w:spacing w:after="0" w:line="296" w:lineRule="auto"/>
        <w:tabs>
          <w:tab w:leader="none" w:pos="1737" w:val="left"/>
        </w:tabs>
        <w:numPr>
          <w:ilvl w:val="0"/>
          <w:numId w:val="330"/>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Stock Award immediately prior to the effective time of the Change in Control,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shares of Common Stock in connection with the Change in Control is delayed as a result of escrows, earn outs, holdbacks or any other contingencies.</w:t>
      </w:r>
    </w:p>
    <w:p>
      <w:pPr>
        <w:spacing w:after="0" w:line="16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Board needs not take the same action or actions with respect to all Stock Awards or portions thereof or with respect to all Participants. The Board may take different actions with respect to the vested and unvested portions of a Stock Award.</w:t>
      </w:r>
    </w:p>
    <w:p>
      <w:pPr>
        <w:spacing w:after="0" w:line="274" w:lineRule="exact"/>
        <w:rPr>
          <w:sz w:val="20"/>
          <w:szCs w:val="20"/>
          <w:color w:val="auto"/>
        </w:rPr>
      </w:pPr>
    </w:p>
    <w:p>
      <w:pPr>
        <w:ind w:left="700" w:hanging="264"/>
        <w:spacing w:after="0"/>
        <w:tabs>
          <w:tab w:leader="none" w:pos="70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20" w:firstLine="987"/>
        <w:spacing w:after="0" w:line="314" w:lineRule="auto"/>
        <w:tabs>
          <w:tab w:leader="none" w:pos="1246" w:val="left"/>
        </w:tabs>
        <w:numPr>
          <w:ilvl w:val="1"/>
          <w:numId w:val="331"/>
        </w:numPr>
        <w:rPr>
          <w:rFonts w:ascii="Arial" w:cs="Arial" w:eastAsia="Arial" w:hAnsi="Arial"/>
          <w:sz w:val="16"/>
          <w:szCs w:val="16"/>
          <w:b w:val="1"/>
          <w:bCs w:val="1"/>
          <w:color w:val="auto"/>
        </w:rPr>
      </w:pPr>
      <w:r>
        <w:rPr>
          <w:rFonts w:ascii="Arial" w:cs="Arial" w:eastAsia="Arial" w:hAnsi="Arial"/>
          <w:sz w:val="16"/>
          <w:szCs w:val="16"/>
          <w:b w:val="1"/>
          <w:bCs w:val="1"/>
          <w:color w:val="auto"/>
        </w:rPr>
        <w:t>Plan Term</w:t>
      </w:r>
      <w:r>
        <w:rPr>
          <w:rFonts w:ascii="Arial" w:cs="Arial" w:eastAsia="Arial" w:hAnsi="Arial"/>
          <w:sz w:val="16"/>
          <w:szCs w:val="16"/>
          <w:color w:val="auto"/>
        </w:rPr>
        <w:t>. The Board may suspend or terminate the Plan at any time. Unless terminated sooner by the Board, the Plan will</w:t>
      </w:r>
      <w:r>
        <w:rPr>
          <w:rFonts w:ascii="Arial" w:cs="Arial" w:eastAsia="Arial" w:hAnsi="Arial"/>
          <w:sz w:val="16"/>
          <w:szCs w:val="16"/>
          <w:b w:val="1"/>
          <w:bCs w:val="1"/>
          <w:color w:val="auto"/>
        </w:rPr>
        <w:t xml:space="preserve"> </w:t>
      </w:r>
      <w:r>
        <w:rPr>
          <w:rFonts w:ascii="Arial" w:cs="Arial" w:eastAsia="Arial" w:hAnsi="Arial"/>
          <w:sz w:val="16"/>
          <w:szCs w:val="16"/>
          <w:color w:val="auto"/>
        </w:rPr>
        <w:t>automatically terminate on the day before the tenth (10th) anniversary of the earlier of (i) the date the Plan is adopted by the Board, or (ii) the date the Plan is approved by the General Meeting. No Stock Awards may be granted under the Plan while the Plan is suspended or after it is terminated.</w:t>
      </w:r>
    </w:p>
    <w:p>
      <w:pPr>
        <w:spacing w:after="0" w:line="249" w:lineRule="exact"/>
        <w:rPr>
          <w:rFonts w:ascii="Arial" w:cs="Arial" w:eastAsia="Arial" w:hAnsi="Arial"/>
          <w:sz w:val="16"/>
          <w:szCs w:val="16"/>
          <w:b w:val="1"/>
          <w:bCs w:val="1"/>
          <w:color w:val="auto"/>
        </w:rPr>
      </w:pPr>
    </w:p>
    <w:p>
      <w:pPr>
        <w:ind w:left="700" w:hanging="264"/>
        <w:spacing w:after="0"/>
        <w:tabs>
          <w:tab w:leader="none" w:pos="70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Plan will become effective on the Effective Date.</w:t>
      </w:r>
    </w:p>
    <w:p>
      <w:pPr>
        <w:spacing w:after="0" w:line="329" w:lineRule="exact"/>
        <w:rPr>
          <w:sz w:val="20"/>
          <w:szCs w:val="20"/>
          <w:color w:val="auto"/>
        </w:rPr>
      </w:pPr>
    </w:p>
    <w:p>
      <w:pPr>
        <w:ind w:left="700" w:hanging="264"/>
        <w:spacing w:after="0"/>
        <w:tabs>
          <w:tab w:leader="none" w:pos="70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color w:val="auto"/>
        </w:rPr>
        <w:t>.</w:t>
      </w:r>
    </w:p>
    <w:p>
      <w:pPr>
        <w:spacing w:after="0" w:line="121"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To the extent that United States federal laws do not otherwise control, this Plan and all determinations made and actions taken pursuant to this Plan shall be governed by New York law, without giving effect to principles of conflicts of laws, and construed accordingly.</w:t>
      </w:r>
    </w:p>
    <w:p>
      <w:pPr>
        <w:spacing w:after="0" w:line="142" w:lineRule="exact"/>
        <w:rPr>
          <w:sz w:val="20"/>
          <w:szCs w:val="20"/>
          <w:color w:val="auto"/>
        </w:rPr>
      </w:pPr>
    </w:p>
    <w:p>
      <w:pPr>
        <w:ind w:left="700" w:hanging="264"/>
        <w:spacing w:after="0"/>
        <w:tabs>
          <w:tab w:leader="none" w:pos="70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color w:val="auto"/>
        </w:rPr>
        <w:t>. As used in the Plan, the following definitions will apply to the capitalized terms indicated below:</w:t>
      </w:r>
    </w:p>
    <w:p>
      <w:pPr>
        <w:spacing w:after="0" w:line="117" w:lineRule="exact"/>
        <w:rPr>
          <w:rFonts w:ascii="Arial" w:cs="Arial" w:eastAsia="Arial" w:hAnsi="Arial"/>
          <w:sz w:val="18"/>
          <w:szCs w:val="18"/>
          <w:b w:val="1"/>
          <w:bCs w:val="1"/>
          <w:color w:val="auto"/>
        </w:rPr>
      </w:pPr>
    </w:p>
    <w:p>
      <w:pPr>
        <w:ind w:firstLine="987"/>
        <w:spacing w:after="0" w:line="298" w:lineRule="auto"/>
        <w:tabs>
          <w:tab w:leader="none" w:pos="1246" w:val="left"/>
        </w:tabs>
        <w:numPr>
          <w:ilvl w:val="1"/>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at the time of determination, each of the following: (i) any “parent” of the Company, as such term is defined in Rule</w:t>
      </w:r>
      <w:r>
        <w:rPr>
          <w:rFonts w:ascii="Arial" w:cs="Arial" w:eastAsia="Arial" w:hAnsi="Arial"/>
          <w:sz w:val="16"/>
          <w:szCs w:val="16"/>
          <w:b w:val="1"/>
          <w:bCs w:val="1"/>
          <w:color w:val="auto"/>
        </w:rPr>
        <w:t xml:space="preserve"> </w:t>
      </w:r>
      <w:r>
        <w:rPr>
          <w:rFonts w:ascii="Arial" w:cs="Arial" w:eastAsia="Arial" w:hAnsi="Arial"/>
          <w:sz w:val="16"/>
          <w:szCs w:val="16"/>
          <w:color w:val="auto"/>
        </w:rPr>
        <w:t>405; (ii) any “subsidiary” of the Company, as such term is defined in Rule 405; and (iii) any other Entity in which the Company or any of its Affiliates has a material equity interest or control relationship unless otherwise designated by the Board. An Entity will be deemed an Affiliate of the Company for purposes of this definition only for such periods as the requisite ownership or control relationship is maintained. The Board will have the authority to determine the time or times at which “parent” or “majority-owned subsidiary” status is determined within the definitions set forth in Rule 405.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80" w:name="page381"/>
    <w:bookmarkEnd w:id="380"/>
    <w:p>
      <w:pPr>
        <w:ind w:firstLine="987"/>
        <w:spacing w:after="0" w:line="314" w:lineRule="auto"/>
        <w:tabs>
          <w:tab w:leader="none" w:pos="1256"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Law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requirements relating to the administration of equity-based awards and the related shares under U.S.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law, U.S. federal and state securities laws, the rules of any stock exchange or quotation system on which the shares are listed or quoted and any other applicable laws, including tax laws, of any U.S. or non-U.S. jurisdictions where Awards are, or will be, granted under the Plan.</w:t>
      </w:r>
    </w:p>
    <w:p>
      <w:pPr>
        <w:spacing w:after="0" w:line="141" w:lineRule="exact"/>
        <w:rPr>
          <w:rFonts w:ascii="Arial" w:cs="Arial" w:eastAsia="Arial" w:hAnsi="Arial"/>
          <w:sz w:val="16"/>
          <w:szCs w:val="16"/>
          <w:b w:val="1"/>
          <w:bCs w:val="1"/>
          <w:color w:val="auto"/>
        </w:rPr>
      </w:pPr>
    </w:p>
    <w:p>
      <w:pPr>
        <w:ind w:left="1240" w:hanging="253"/>
        <w:spacing w:after="0"/>
        <w:tabs>
          <w:tab w:leader="none" w:pos="124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Stock Award or a Performance Cash Award.</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agreement between the Company and a Participant evidencing the terms and conditions of an</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06" w:lineRule="exact"/>
        <w:rPr>
          <w:rFonts w:ascii="Arial" w:cs="Arial" w:eastAsia="Arial" w:hAnsi="Arial"/>
          <w:sz w:val="16"/>
          <w:szCs w:val="16"/>
          <w:b w:val="1"/>
          <w:bCs w:val="1"/>
          <w:color w:val="auto"/>
        </w:rPr>
      </w:pPr>
    </w:p>
    <w:p>
      <w:pPr>
        <w:ind w:left="1240" w:hanging="253"/>
        <w:spacing w:after="0"/>
        <w:tabs>
          <w:tab w:leader="none" w:pos="124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b w:val="1"/>
          <w:bCs w:val="1"/>
          <w:color w:val="auto"/>
        </w:rPr>
      </w:pPr>
    </w:p>
    <w:p>
      <w:pPr>
        <w:ind w:right="140" w:firstLine="987"/>
        <w:spacing w:after="0" w:line="255" w:lineRule="auto"/>
        <w:tabs>
          <w:tab w:leader="none" w:pos="1216"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change that is made in, or other events that occur with respect to, the Common Stock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Plan or subject to any Stock Award after the Effective Date without the receipt of consideration by the Company through merger, demerger,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8" w:lineRule="exact"/>
        <w:rPr>
          <w:rFonts w:ascii="Arial" w:cs="Arial" w:eastAsia="Arial" w:hAnsi="Arial"/>
          <w:sz w:val="18"/>
          <w:szCs w:val="18"/>
          <w:b w:val="1"/>
          <w:bCs w:val="1"/>
          <w:color w:val="auto"/>
        </w:rPr>
      </w:pPr>
    </w:p>
    <w:p>
      <w:pPr>
        <w:ind w:right="60" w:firstLine="987"/>
        <w:spacing w:after="0" w:line="268" w:lineRule="auto"/>
        <w:tabs>
          <w:tab w:leader="none" w:pos="1246" w:val="left"/>
        </w:tabs>
        <w:numPr>
          <w:ilvl w:val="0"/>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have the meaning ascribed to such term in any written agreement between the Participant and the Company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Affiliate defining such term and, in the absence of such agreement, such term means, with respect to a Participant, the occurrence of any of the following events: (i) such Participant’s willful failure substantially to perform his or her duties and responsibilities to the Company or the applicable Affiliate(s) or deliberate violation of a Company policy; (ii) such Participant’s commission of any act of fraud, embezzlement, dishonesty, market manipulation, insider trading, the unlawful dissemination of material non-public information or any other gross negligence or willful misconduct that has caused or is reasonably expected to result in material injury to the Company or any of its Affiliates; (iii) unauthorized use or disclosure by such Participant of any proprietary information or trade secrets of the Company, its Affiliates or any other party to whom the Participant owes an obligation of nondisclosure as a result of his or her relationship with the Company or its Affiliates; (iv) such Participant’s willful breach of any of his or her obligations under any written agreement or covenant with the Company or any of its Affiliates; (v) conduct by such Participant which should be considered as an urgent cause within the meaning of Section 7:678 of the Dutch Civil Code, irrespective of whether that provision applies to such Participant’s relationship with the Company and/or any Affiliate. The determination that a termination of the Participant’s Continuous Service is either for Cause or without Cause will be made by the Board, in its sole discretion. Any determination by the Board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84" w:lineRule="exact"/>
        <w:rPr>
          <w:rFonts w:ascii="Arial" w:cs="Arial" w:eastAsia="Arial" w:hAnsi="Arial"/>
          <w:sz w:val="17"/>
          <w:szCs w:val="17"/>
          <w:b w:val="1"/>
          <w:bCs w:val="1"/>
          <w:color w:val="auto"/>
        </w:rPr>
      </w:pPr>
    </w:p>
    <w:p>
      <w:pPr>
        <w:ind w:right="80" w:firstLine="987"/>
        <w:spacing w:after="0" w:line="266" w:lineRule="auto"/>
        <w:tabs>
          <w:tab w:leader="none" w:pos="1256"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unless otherwise determined by the Board in the applicable Award Agreement or other written agreement with a Participant approved by the Board:</w:t>
      </w:r>
    </w:p>
    <w:p>
      <w:pPr>
        <w:spacing w:after="0" w:line="71" w:lineRule="exact"/>
        <w:rPr>
          <w:rFonts w:ascii="Arial" w:cs="Arial" w:eastAsia="Arial" w:hAnsi="Arial"/>
          <w:sz w:val="18"/>
          <w:szCs w:val="18"/>
          <w:b w:val="1"/>
          <w:bCs w:val="1"/>
          <w:color w:val="auto"/>
        </w:rPr>
      </w:pPr>
    </w:p>
    <w:p>
      <w:pPr>
        <w:jc w:val="both"/>
        <w:ind w:right="240" w:firstLine="1428"/>
        <w:spacing w:after="0" w:line="263" w:lineRule="auto"/>
        <w:tabs>
          <w:tab w:leader="none" w:pos="1647"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 fifty percent (50%) of the combined voting power of the Company’s then outstanding securities other than by virtue of a merger, demerger, consolidation, business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381" w:name="page382"/>
    <w:bookmarkEnd w:id="381"/>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combination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or (C) solely because the level of Ownership held by any Exchange Act Person (the “</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5" w:lineRule="exact"/>
        <w:rPr>
          <w:sz w:val="20"/>
          <w:szCs w:val="20"/>
          <w:color w:val="auto"/>
        </w:rPr>
      </w:pPr>
    </w:p>
    <w:p>
      <w:pPr>
        <w:ind w:left="4" w:right="20" w:firstLine="1428"/>
        <w:spacing w:after="0" w:line="286" w:lineRule="auto"/>
        <w:tabs>
          <w:tab w:leader="none" w:pos="1701" w:val="left"/>
        </w:tabs>
        <w:numPr>
          <w:ilvl w:val="1"/>
          <w:numId w:val="335"/>
        </w:numPr>
        <w:rPr>
          <w:rFonts w:ascii="Arial" w:cs="Arial" w:eastAsia="Arial" w:hAnsi="Arial"/>
          <w:sz w:val="16"/>
          <w:szCs w:val="16"/>
          <w:b w:val="1"/>
          <w:bCs w:val="1"/>
          <w:color w:val="auto"/>
        </w:rPr>
      </w:pPr>
      <w:r>
        <w:rPr>
          <w:rFonts w:ascii="Arial" w:cs="Arial" w:eastAsia="Arial" w:hAnsi="Arial"/>
          <w:sz w:val="16"/>
          <w:szCs w:val="16"/>
          <w:color w:val="auto"/>
        </w:rPr>
        <w:t>there is consummated a merger, demerger, consolidation, business combination or similar transaction involving (directly or indirectly) the Company and, immediately after the consummation of such merger, demerger, consolidation, business combination or similar transaction, the shareholders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w:t>
      </w:r>
    </w:p>
    <w:p>
      <w:pPr>
        <w:spacing w:after="0" w:line="1" w:lineRule="exact"/>
        <w:rPr>
          <w:rFonts w:ascii="Arial" w:cs="Arial" w:eastAsia="Arial" w:hAnsi="Arial"/>
          <w:sz w:val="16"/>
          <w:szCs w:val="16"/>
          <w:b w:val="1"/>
          <w:bCs w:val="1"/>
          <w:color w:val="auto"/>
        </w:rPr>
      </w:pPr>
    </w:p>
    <w:p>
      <w:pPr>
        <w:ind w:left="4" w:right="500" w:hanging="4"/>
        <w:spacing w:after="0" w:line="255" w:lineRule="auto"/>
        <w:tabs>
          <w:tab w:leader="none" w:pos="28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9" w:lineRule="exact"/>
        <w:rPr>
          <w:rFonts w:ascii="Arial" w:cs="Arial" w:eastAsia="Arial" w:hAnsi="Arial"/>
          <w:sz w:val="18"/>
          <w:szCs w:val="18"/>
          <w:color w:val="auto"/>
        </w:rPr>
      </w:pPr>
    </w:p>
    <w:p>
      <w:pPr>
        <w:ind w:left="4" w:right="80" w:firstLine="1428"/>
        <w:spacing w:after="0" w:line="257" w:lineRule="auto"/>
        <w:tabs>
          <w:tab w:leader="none" w:pos="1751" w:val="left"/>
        </w:tabs>
        <w:numPr>
          <w:ilvl w:val="1"/>
          <w:numId w:val="336"/>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w:t>
      </w:r>
    </w:p>
    <w:p>
      <w:pPr>
        <w:spacing w:after="0" w:line="187" w:lineRule="exact"/>
        <w:rPr>
          <w:rFonts w:ascii="Arial" w:cs="Arial" w:eastAsia="Arial" w:hAnsi="Arial"/>
          <w:sz w:val="18"/>
          <w:szCs w:val="18"/>
          <w:b w:val="1"/>
          <w:bCs w:val="1"/>
          <w:color w:val="auto"/>
        </w:rPr>
      </w:pPr>
    </w:p>
    <w:p>
      <w:pPr>
        <w:ind w:left="4" w:right="100" w:firstLine="1428"/>
        <w:spacing w:after="0" w:line="301" w:lineRule="auto"/>
        <w:tabs>
          <w:tab w:leader="none" w:pos="1741" w:val="left"/>
        </w:tabs>
        <w:numPr>
          <w:ilvl w:val="1"/>
          <w:numId w:val="336"/>
        </w:numPr>
        <w:rPr>
          <w:rFonts w:ascii="Arial" w:cs="Arial" w:eastAsia="Arial" w:hAnsi="Arial"/>
          <w:sz w:val="16"/>
          <w:szCs w:val="16"/>
          <w:b w:val="1"/>
          <w:bCs w:val="1"/>
          <w:color w:val="auto"/>
        </w:rPr>
      </w:pPr>
      <w:r>
        <w:rPr>
          <w:rFonts w:ascii="Arial" w:cs="Arial" w:eastAsia="Arial" w:hAnsi="Arial"/>
          <w:sz w:val="16"/>
          <w:szCs w:val="16"/>
          <w:color w:val="auto"/>
        </w:rPr>
        <w:t>there is a sale of all or substantially all of the Company’s assets, or a merger, demerger, consolidation or other capital reorganization or business combination transaction of the Company with or into another Entity or person, or the direct or indirect acquisition (including by way of a tender or exchange offer) by any Entity or person, or Entities or persons acting as a group, of beneficial ownership or a right to acquire beneficial ownership of shares representing a majority of the voting power of the then outstanding shares of capital stock of the Company; or</w:t>
      </w:r>
    </w:p>
    <w:p>
      <w:pPr>
        <w:spacing w:after="0" w:line="157" w:lineRule="exact"/>
        <w:rPr>
          <w:rFonts w:ascii="Arial" w:cs="Arial" w:eastAsia="Arial" w:hAnsi="Arial"/>
          <w:sz w:val="16"/>
          <w:szCs w:val="16"/>
          <w:b w:val="1"/>
          <w:bCs w:val="1"/>
          <w:color w:val="auto"/>
        </w:rPr>
      </w:pPr>
    </w:p>
    <w:p>
      <w:pPr>
        <w:ind w:left="4" w:right="60" w:firstLine="1428"/>
        <w:spacing w:after="0" w:line="259" w:lineRule="auto"/>
        <w:tabs>
          <w:tab w:leader="none" w:pos="1691" w:val="left"/>
        </w:tabs>
        <w:numPr>
          <w:ilvl w:val="1"/>
          <w:numId w:val="336"/>
        </w:numPr>
        <w:rPr>
          <w:rFonts w:ascii="Arial" w:cs="Arial" w:eastAsia="Arial" w:hAnsi="Arial"/>
          <w:sz w:val="18"/>
          <w:szCs w:val="18"/>
          <w:b w:val="1"/>
          <w:bCs w:val="1"/>
          <w:color w:val="auto"/>
        </w:rPr>
      </w:pPr>
      <w:r>
        <w:rPr>
          <w:rFonts w:ascii="Arial" w:cs="Arial" w:eastAsia="Arial" w:hAnsi="Arial"/>
          <w:sz w:val="18"/>
          <w:szCs w:val="18"/>
          <w:color w:val="auto"/>
        </w:rPr>
        <w:t>individuals who, on the Effective Date,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7"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Notwithstanding the foregoing definition or any other provision of the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82" w:name="page383"/>
    <w:bookmarkEnd w:id="382"/>
    <w:p>
      <w:pPr>
        <w:ind w:left="1200" w:hanging="213"/>
        <w:spacing w:after="0"/>
        <w:tabs>
          <w:tab w:leader="none" w:pos="1200"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236" w:lineRule="exact"/>
        <w:rPr>
          <w:rFonts w:ascii="Arial" w:cs="Arial" w:eastAsia="Arial" w:hAnsi="Arial"/>
          <w:sz w:val="17"/>
          <w:szCs w:val="17"/>
          <w:b w:val="1"/>
          <w:bCs w:val="1"/>
          <w:color w:val="auto"/>
        </w:rPr>
      </w:pPr>
    </w:p>
    <w:p>
      <w:pPr>
        <w:ind w:left="1220" w:hanging="233"/>
        <w:spacing w:after="0"/>
        <w:tabs>
          <w:tab w:leader="none" w:pos="122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two (2) or more Directors to whom authority has been delegated by the Board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2(c).</w:t>
      </w:r>
    </w:p>
    <w:p>
      <w:pPr>
        <w:spacing w:after="0" w:line="207" w:lineRule="exact"/>
        <w:rPr>
          <w:sz w:val="20"/>
          <w:szCs w:val="20"/>
          <w:color w:val="auto"/>
        </w:rPr>
      </w:pPr>
    </w:p>
    <w:p>
      <w:pPr>
        <w:ind w:right="100" w:firstLine="987"/>
        <w:spacing w:after="0" w:line="266" w:lineRule="auto"/>
        <w:tabs>
          <w:tab w:leader="none" w:pos="1256"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ordinary shares of the Company or depository receipts issued for such shares by a Dutch foundation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solely for that reason that will hold and administer shares underlying such depository receipts in accordance with the trust conditions to be determined by the Board from time to time.</w:t>
      </w:r>
    </w:p>
    <w:p>
      <w:pPr>
        <w:spacing w:after="0" w:line="175" w:lineRule="exact"/>
        <w:rPr>
          <w:rFonts w:ascii="Arial" w:cs="Arial" w:eastAsia="Arial" w:hAnsi="Arial"/>
          <w:sz w:val="18"/>
          <w:szCs w:val="18"/>
          <w:b w:val="1"/>
          <w:bCs w:val="1"/>
          <w:color w:val="auto"/>
        </w:rPr>
      </w:pPr>
    </w:p>
    <w:p>
      <w:pPr>
        <w:ind w:right="80" w:firstLine="987"/>
        <w:spacing w:after="0" w:line="347" w:lineRule="auto"/>
        <w:tabs>
          <w:tab w:leader="none" w:pos="1206"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means Pharvaris N.V., a public limited liability company incorporated under the laws of the Netherlands, or any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to all or substantially all of its businesses by merger, demerger, amalgamation, consolidation, conversion, purchase of assets, or otherwise.</w:t>
      </w:r>
    </w:p>
    <w:p>
      <w:pPr>
        <w:spacing w:after="0" w:line="115" w:lineRule="exact"/>
        <w:rPr>
          <w:rFonts w:ascii="Arial" w:cs="Arial" w:eastAsia="Arial" w:hAnsi="Arial"/>
          <w:sz w:val="16"/>
          <w:szCs w:val="16"/>
          <w:b w:val="1"/>
          <w:bCs w:val="1"/>
          <w:color w:val="auto"/>
        </w:rPr>
      </w:pPr>
    </w:p>
    <w:p>
      <w:pPr>
        <w:ind w:right="80" w:firstLine="987"/>
        <w:spacing w:after="0" w:line="258" w:lineRule="auto"/>
        <w:tabs>
          <w:tab w:leader="none" w:pos="1306"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engaged by the Company or an Affiliate to render consulting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services and is compensated for such services and who is not an Employee.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83" w:lineRule="exact"/>
        <w:rPr>
          <w:rFonts w:ascii="Arial" w:cs="Arial" w:eastAsia="Arial" w:hAnsi="Arial"/>
          <w:sz w:val="18"/>
          <w:szCs w:val="18"/>
          <w:b w:val="1"/>
          <w:bCs w:val="1"/>
          <w:color w:val="auto"/>
        </w:rPr>
      </w:pPr>
    </w:p>
    <w:p>
      <w:pPr>
        <w:ind w:firstLine="987"/>
        <w:spacing w:after="0" w:line="269" w:lineRule="auto"/>
        <w:tabs>
          <w:tab w:leader="none" w:pos="1256"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that the Participant’s service with the Company or an Affiliate, whether as an Employee, Director or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maternity or paternity leave, military leave or any other personal leave, or (ii) transfers between the Company, an Affiliate, or their successors. Notwithstanding the foregoing, a leave of absence will be treated as Continuous Service for purposes of vesting of an Award only to such extent as may be provided in the Company’s leave of absence policy, in the written terms of any leave of absence agreement or policy applicable to the Participant, or as otherwise approved by the Board or required by law.</w:t>
      </w:r>
    </w:p>
    <w:p>
      <w:pPr>
        <w:spacing w:after="0" w:line="175" w:lineRule="exact"/>
        <w:rPr>
          <w:rFonts w:ascii="Arial" w:cs="Arial" w:eastAsia="Arial" w:hAnsi="Arial"/>
          <w:sz w:val="17"/>
          <w:szCs w:val="17"/>
          <w:b w:val="1"/>
          <w:bCs w:val="1"/>
          <w:color w:val="auto"/>
        </w:rPr>
      </w:pPr>
    </w:p>
    <w:p>
      <w:pPr>
        <w:ind w:right="20" w:firstLine="987"/>
        <w:spacing w:after="0" w:line="282" w:lineRule="auto"/>
        <w:tabs>
          <w:tab w:leader="none" w:pos="1246"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means the date on which the Board decides to grant an Award, or such later effective date applicable to such Award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determined by the Board.</w:t>
      </w:r>
    </w:p>
    <w:p>
      <w:pPr>
        <w:spacing w:after="0" w:line="161"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b w:val="1"/>
          <w:bCs w:val="1"/>
          <w:color w:val="auto"/>
        </w:rPr>
      </w:pPr>
    </w:p>
    <w:p>
      <w:pPr>
        <w:ind w:right="20" w:firstLine="987"/>
        <w:spacing w:after="0" w:line="281" w:lineRule="auto"/>
        <w:tabs>
          <w:tab w:leader="none" w:pos="1256"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means, with respect to a Participant, the inability of such Participant to engage in any substantial gainful activity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83" w:name="page384"/>
    <w:bookmarkEnd w:id="383"/>
    <w:p>
      <w:pPr>
        <w:ind w:left="1240" w:hanging="253"/>
        <w:spacing w:after="0"/>
        <w:tabs>
          <w:tab w:leader="none" w:pos="1240"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Dissolution”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when the Company has completely wound up its affairs and dissolved in accordance with Applicable Law.</w:t>
      </w:r>
    </w:p>
    <w:p>
      <w:pPr>
        <w:spacing w:after="0" w:line="236" w:lineRule="exact"/>
        <w:rPr>
          <w:rFonts w:ascii="Arial" w:cs="Arial" w:eastAsia="Arial" w:hAnsi="Arial"/>
          <w:sz w:val="17"/>
          <w:szCs w:val="17"/>
          <w:b w:val="1"/>
          <w:bCs w:val="1"/>
          <w:color w:val="auto"/>
        </w:rPr>
      </w:pPr>
    </w:p>
    <w:p>
      <w:pPr>
        <w:ind w:left="1220" w:hanging="233"/>
        <w:spacing w:after="0"/>
        <w:tabs>
          <w:tab w:leader="none" w:pos="1220"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date of conversion of the Company into a a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right="60" w:firstLine="987"/>
        <w:spacing w:after="0" w:line="266" w:lineRule="auto"/>
        <w:tabs>
          <w:tab w:leader="none" w:pos="121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(i) employed by the Company or an Affiliate or (ii) serving as a member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board or supervisory board of an Affiliate and is compensated for such services. However, service solely as a Director, or payment of a fee for such services, will not cause a Director to be considered an “Employee” for purposes of the Plan.</w:t>
      </w:r>
    </w:p>
    <w:p>
      <w:pPr>
        <w:spacing w:after="0" w:line="17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39"/>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Securities Exchange Act of 1934, as amended, and the rules and regulations promulgated thereunder.</w:t>
      </w:r>
    </w:p>
    <w:p>
      <w:pPr>
        <w:spacing w:after="0" w:line="248" w:lineRule="exact"/>
        <w:rPr>
          <w:rFonts w:ascii="Arial" w:cs="Arial" w:eastAsia="Arial" w:hAnsi="Arial"/>
          <w:sz w:val="16"/>
          <w:szCs w:val="16"/>
          <w:b w:val="1"/>
          <w:bCs w:val="1"/>
          <w:color w:val="auto"/>
        </w:rPr>
      </w:pPr>
    </w:p>
    <w:p>
      <w:pPr>
        <w:ind w:right="120" w:firstLine="987"/>
        <w:spacing w:after="0" w:line="254" w:lineRule="auto"/>
        <w:tabs>
          <w:tab w:leader="none" w:pos="128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natural person, Entity or “group” (within the meaning of Section 13(d) or 14(d)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shareholders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91"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as of any date, the value of the Common Stock determined as follows:</w:t>
      </w:r>
    </w:p>
    <w:p>
      <w:pPr>
        <w:spacing w:after="0" w:line="121" w:lineRule="exact"/>
        <w:rPr>
          <w:rFonts w:ascii="Arial" w:cs="Arial" w:eastAsia="Arial" w:hAnsi="Arial"/>
          <w:sz w:val="18"/>
          <w:szCs w:val="18"/>
          <w:b w:val="1"/>
          <w:bCs w:val="1"/>
          <w:color w:val="auto"/>
        </w:rPr>
      </w:pPr>
    </w:p>
    <w:p>
      <w:pPr>
        <w:jc w:val="both"/>
        <w:ind w:right="20" w:firstLine="1428"/>
        <w:spacing w:after="0" w:line="259" w:lineRule="auto"/>
        <w:tabs>
          <w:tab w:leader="none" w:pos="1647" w:val="left"/>
        </w:tabs>
        <w:numPr>
          <w:ilvl w:val="1"/>
          <w:numId w:val="339"/>
        </w:numPr>
        <w:rPr>
          <w:rFonts w:ascii="Arial" w:cs="Arial" w:eastAsia="Arial" w:hAnsi="Arial"/>
          <w:sz w:val="18"/>
          <w:szCs w:val="18"/>
          <w:b w:val="1"/>
          <w:bCs w:val="1"/>
          <w:color w:val="auto"/>
        </w:rPr>
      </w:pPr>
      <w:r>
        <w:rPr>
          <w:rFonts w:ascii="Arial" w:cs="Arial" w:eastAsia="Arial" w:hAnsi="Arial"/>
          <w:sz w:val="18"/>
          <w:szCs w:val="18"/>
          <w:color w:val="auto"/>
        </w:rPr>
        <w:t>for as long as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86" w:lineRule="exact"/>
        <w:rPr>
          <w:rFonts w:ascii="Arial" w:cs="Arial" w:eastAsia="Arial" w:hAnsi="Arial"/>
          <w:sz w:val="18"/>
          <w:szCs w:val="18"/>
          <w:b w:val="1"/>
          <w:bCs w:val="1"/>
          <w:color w:val="auto"/>
        </w:rPr>
      </w:pPr>
    </w:p>
    <w:p>
      <w:pPr>
        <w:ind w:right="280" w:firstLine="1428"/>
        <w:spacing w:after="0" w:line="277" w:lineRule="auto"/>
        <w:tabs>
          <w:tab w:leader="none" w:pos="1697" w:val="left"/>
        </w:tabs>
        <w:numPr>
          <w:ilvl w:val="1"/>
          <w:numId w:val="339"/>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 or</w:t>
      </w:r>
    </w:p>
    <w:p>
      <w:pPr>
        <w:spacing w:after="0" w:line="170" w:lineRule="exact"/>
        <w:rPr>
          <w:rFonts w:ascii="Arial" w:cs="Arial" w:eastAsia="Arial" w:hAnsi="Arial"/>
          <w:sz w:val="18"/>
          <w:szCs w:val="18"/>
          <w:b w:val="1"/>
          <w:bCs w:val="1"/>
          <w:color w:val="auto"/>
        </w:rPr>
      </w:pPr>
    </w:p>
    <w:p>
      <w:pPr>
        <w:ind w:right="60" w:firstLine="1428"/>
        <w:spacing w:after="0" w:line="277" w:lineRule="auto"/>
        <w:tabs>
          <w:tab w:leader="none" w:pos="1747" w:val="left"/>
        </w:tabs>
        <w:numPr>
          <w:ilvl w:val="1"/>
          <w:numId w:val="339"/>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166"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General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general meeting of the Company.</w:t>
      </w:r>
    </w:p>
    <w:p>
      <w:pPr>
        <w:spacing w:after="0" w:line="225" w:lineRule="exact"/>
        <w:rPr>
          <w:rFonts w:ascii="Arial" w:cs="Arial" w:eastAsia="Arial" w:hAnsi="Arial"/>
          <w:sz w:val="18"/>
          <w:szCs w:val="18"/>
          <w:b w:val="1"/>
          <w:bCs w:val="1"/>
          <w:color w:val="auto"/>
        </w:rPr>
      </w:pPr>
    </w:p>
    <w:p>
      <w:pPr>
        <w:ind w:firstLine="987"/>
        <w:spacing w:after="0" w:line="282" w:lineRule="auto"/>
        <w:tabs>
          <w:tab w:leader="none" w:pos="123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for shares of Common Stock granted pursuant to Section 5 of the Plan that is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qualifies as, an “incentive stock option” within the meaning of Section 422 of the Code.</w:t>
      </w:r>
    </w:p>
    <w:p>
      <w:pPr>
        <w:spacing w:after="0" w:line="162" w:lineRule="exact"/>
        <w:rPr>
          <w:sz w:val="20"/>
          <w:szCs w:val="20"/>
          <w:color w:val="auto"/>
        </w:rPr>
      </w:pPr>
    </w:p>
    <w:p>
      <w:pPr>
        <w:ind w:firstLine="987"/>
        <w:spacing w:after="0" w:line="256" w:lineRule="auto"/>
        <w:tabs>
          <w:tab w:leader="none" w:pos="1336"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Director who either (i) is not a current Employee, does not receive compensation, either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84" w:name="page385"/>
    <w:bookmarkEnd w:id="384"/>
    <w:p>
      <w:pPr>
        <w:ind w:right="120" w:firstLine="987"/>
        <w:spacing w:after="0" w:line="282" w:lineRule="auto"/>
        <w:tabs>
          <w:tab w:leader="none" w:pos="1356"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option for shares of Common Stock granted pursuant to Section 5 of the Plan that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qualify as an Incentive Stock Option.</w:t>
      </w:r>
    </w:p>
    <w:p>
      <w:pPr>
        <w:spacing w:after="0" w:line="161" w:lineRule="exact"/>
        <w:rPr>
          <w:rFonts w:ascii="Arial" w:cs="Arial" w:eastAsia="Arial" w:hAnsi="Arial"/>
          <w:sz w:val="18"/>
          <w:szCs w:val="18"/>
          <w:b w:val="1"/>
          <w:bCs w:val="1"/>
          <w:color w:val="auto"/>
        </w:rPr>
      </w:pPr>
    </w:p>
    <w:p>
      <w:pPr>
        <w:ind w:left="1320" w:hanging="333"/>
        <w:spacing w:after="0"/>
        <w:tabs>
          <w:tab w:leader="none" w:pos="132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who is an officer of the Company within the meaning of Section 16 of the Exchange Act.</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Incentive Stock Option or a Nonstatutory Stock Option, as applicable.</w:t>
      </w:r>
    </w:p>
    <w:p>
      <w:pPr>
        <w:spacing w:after="0" w:line="225" w:lineRule="exact"/>
        <w:rPr>
          <w:rFonts w:ascii="Arial" w:cs="Arial" w:eastAsia="Arial" w:hAnsi="Arial"/>
          <w:sz w:val="18"/>
          <w:szCs w:val="18"/>
          <w:b w:val="1"/>
          <w:bCs w:val="1"/>
          <w:color w:val="auto"/>
        </w:rPr>
      </w:pPr>
    </w:p>
    <w:p>
      <w:pPr>
        <w:ind w:right="140" w:firstLine="987"/>
        <w:spacing w:after="0" w:line="282" w:lineRule="auto"/>
        <w:tabs>
          <w:tab w:leader="none" w:pos="1316"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an Optionholder evidencing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grant. Each Option Agreement will be subject to the terms and conditions of the Plan.</w:t>
      </w:r>
    </w:p>
    <w:p>
      <w:pPr>
        <w:spacing w:after="0" w:line="161" w:lineRule="exact"/>
        <w:rPr>
          <w:rFonts w:ascii="Arial" w:cs="Arial" w:eastAsia="Arial" w:hAnsi="Arial"/>
          <w:sz w:val="18"/>
          <w:szCs w:val="18"/>
          <w:b w:val="1"/>
          <w:bCs w:val="1"/>
          <w:color w:val="auto"/>
        </w:rPr>
      </w:pPr>
    </w:p>
    <w:p>
      <w:pPr>
        <w:ind w:right="200" w:firstLine="987"/>
        <w:spacing w:after="0" w:line="282" w:lineRule="auto"/>
        <w:tabs>
          <w:tab w:leader="none" w:pos="1276"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161" w:lineRule="exact"/>
        <w:rPr>
          <w:rFonts w:ascii="Arial" w:cs="Arial" w:eastAsia="Arial" w:hAnsi="Arial"/>
          <w:sz w:val="18"/>
          <w:szCs w:val="18"/>
          <w:b w:val="1"/>
          <w:bCs w:val="1"/>
          <w:color w:val="auto"/>
        </w:rPr>
      </w:pPr>
    </w:p>
    <w:p>
      <w:pPr>
        <w:ind w:right="160" w:firstLine="987"/>
        <w:spacing w:after="0" w:line="282" w:lineRule="auto"/>
        <w:tabs>
          <w:tab w:leader="none" w:pos="1336"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Section 6(c) and which is not a Performance Stock Award or a Performance Cash Award.</w:t>
      </w:r>
    </w:p>
    <w:p>
      <w:pPr>
        <w:spacing w:after="0" w:line="161" w:lineRule="exact"/>
        <w:rPr>
          <w:rFonts w:ascii="Arial" w:cs="Arial" w:eastAsia="Arial" w:hAnsi="Arial"/>
          <w:sz w:val="18"/>
          <w:szCs w:val="18"/>
          <w:b w:val="1"/>
          <w:bCs w:val="1"/>
          <w:color w:val="auto"/>
        </w:rPr>
      </w:pPr>
    </w:p>
    <w:p>
      <w:pPr>
        <w:jc w:val="both"/>
        <w:ind w:firstLine="987"/>
        <w:spacing w:after="0" w:line="289" w:lineRule="auto"/>
        <w:tabs>
          <w:tab w:leader="none" w:pos="1356" w:val="left"/>
        </w:tabs>
        <w:numPr>
          <w:ilvl w:val="0"/>
          <w:numId w:val="341"/>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Own</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A person or Entity will be deemed to “Own,” to have “Owned,” to be the “Owner” of, or</w:t>
      </w:r>
      <w:r>
        <w:rPr>
          <w:rFonts w:ascii="Arial" w:cs="Arial" w:eastAsia="Arial" w:hAnsi="Arial"/>
          <w:sz w:val="17"/>
          <w:szCs w:val="17"/>
          <w:b w:val="1"/>
          <w:bCs w:val="1"/>
          <w:color w:val="auto"/>
        </w:rPr>
        <w:t xml:space="preserve"> </w:t>
      </w:r>
      <w:r>
        <w:rPr>
          <w:rFonts w:ascii="Arial" w:cs="Arial" w:eastAsia="Arial" w:hAnsi="Arial"/>
          <w:sz w:val="17"/>
          <w:szCs w:val="17"/>
          <w:color w:val="auto"/>
        </w:rPr>
        <w:t>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7" w:lineRule="exact"/>
        <w:rPr>
          <w:rFonts w:ascii="Arial" w:cs="Arial" w:eastAsia="Arial" w:hAnsi="Arial"/>
          <w:sz w:val="17"/>
          <w:szCs w:val="17"/>
          <w:b w:val="1"/>
          <w:bCs w:val="1"/>
          <w:color w:val="auto"/>
        </w:rPr>
      </w:pPr>
    </w:p>
    <w:p>
      <w:pPr>
        <w:ind w:right="400" w:firstLine="987"/>
        <w:spacing w:after="0" w:line="282" w:lineRule="auto"/>
        <w:tabs>
          <w:tab w:leader="none" w:pos="1256"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an Award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w:t>
      </w:r>
    </w:p>
    <w:p>
      <w:pPr>
        <w:spacing w:after="0" w:line="161" w:lineRule="exact"/>
        <w:rPr>
          <w:rFonts w:ascii="Arial" w:cs="Arial" w:eastAsia="Arial" w:hAnsi="Arial"/>
          <w:sz w:val="18"/>
          <w:szCs w:val="18"/>
          <w:b w:val="1"/>
          <w:bCs w:val="1"/>
          <w:color w:val="auto"/>
        </w:rPr>
      </w:pPr>
    </w:p>
    <w:p>
      <w:pPr>
        <w:ind w:left="1280" w:hanging="293"/>
        <w:spacing w:after="0"/>
        <w:tabs>
          <w:tab w:leader="none" w:pos="128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of cash granted pursuant to the terms and conditions of Section 6(c)(ii).</w:t>
      </w:r>
    </w:p>
    <w:p>
      <w:pPr>
        <w:spacing w:after="0" w:line="225" w:lineRule="exact"/>
        <w:rPr>
          <w:rFonts w:ascii="Arial" w:cs="Arial" w:eastAsia="Arial" w:hAnsi="Arial"/>
          <w:sz w:val="18"/>
          <w:szCs w:val="18"/>
          <w:b w:val="1"/>
          <w:bCs w:val="1"/>
          <w:color w:val="auto"/>
        </w:rPr>
      </w:pPr>
    </w:p>
    <w:p>
      <w:pPr>
        <w:ind w:right="740" w:firstLine="987"/>
        <w:spacing w:after="0" w:line="282" w:lineRule="auto"/>
        <w:tabs>
          <w:tab w:leader="none" w:pos="1356"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or goals as the Board may establish for purposes of establishing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for a Performance Period, as determined by the Board.</w:t>
      </w:r>
    </w:p>
    <w:p>
      <w:pPr>
        <w:spacing w:after="0" w:line="161" w:lineRule="exact"/>
        <w:rPr>
          <w:rFonts w:ascii="Arial" w:cs="Arial" w:eastAsia="Arial" w:hAnsi="Arial"/>
          <w:sz w:val="18"/>
          <w:szCs w:val="18"/>
          <w:b w:val="1"/>
          <w:bCs w:val="1"/>
          <w:color w:val="auto"/>
        </w:rPr>
      </w:pPr>
    </w:p>
    <w:p>
      <w:pPr>
        <w:ind w:right="240" w:firstLine="987"/>
        <w:spacing w:after="0" w:line="282" w:lineRule="auto"/>
        <w:tabs>
          <w:tab w:leader="none" w:pos="1256"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means, for a Performance Period, the one or more goals established by the Board for the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upon the Performance Criteria.</w:t>
      </w:r>
    </w:p>
    <w:p>
      <w:pPr>
        <w:spacing w:after="0" w:line="161" w:lineRule="exact"/>
        <w:rPr>
          <w:rFonts w:ascii="Arial" w:cs="Arial" w:eastAsia="Arial" w:hAnsi="Arial"/>
          <w:sz w:val="18"/>
          <w:szCs w:val="18"/>
          <w:b w:val="1"/>
          <w:bCs w:val="1"/>
          <w:color w:val="auto"/>
        </w:rPr>
      </w:pPr>
    </w:p>
    <w:p>
      <w:pPr>
        <w:ind w:right="440" w:firstLine="987"/>
        <w:spacing w:after="0" w:line="266" w:lineRule="auto"/>
        <w:tabs>
          <w:tab w:leader="none" w:pos="1456"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of time selected by the Board over which the attainment of one or more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will be measured for the purpose of determining a Participant’s right to and the payment of a Stock Award or a Performance Cash Award. Performance Periods may be of varying and overlapping duration, at the sole discretion of the Board.</w:t>
      </w:r>
    </w:p>
    <w:p>
      <w:pPr>
        <w:spacing w:after="0" w:line="17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granted under the terms and conditions of Section 6(c)(i).</w:t>
      </w:r>
    </w:p>
    <w:p>
      <w:pPr>
        <w:spacing w:after="0" w:line="22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Pharvaris N.V. 2021 Equity Incentive Plan.</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341"/>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6(a).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385" w:name="page386"/>
    <w:bookmarkEnd w:id="385"/>
    <w:p>
      <w:pPr>
        <w:ind w:right="280" w:firstLine="987"/>
        <w:spacing w:after="0" w:line="266" w:lineRule="auto"/>
        <w:tabs>
          <w:tab w:leader="none" w:pos="135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Award grant. Each Restricted Stock Award Agreement will be subject to the terms and conditions of the Plan.</w:t>
      </w:r>
    </w:p>
    <w:p>
      <w:pPr>
        <w:spacing w:after="0" w:line="175" w:lineRule="exact"/>
        <w:rPr>
          <w:rFonts w:ascii="Arial" w:cs="Arial" w:eastAsia="Arial" w:hAnsi="Arial"/>
          <w:sz w:val="18"/>
          <w:szCs w:val="18"/>
          <w:b w:val="1"/>
          <w:bCs w:val="1"/>
          <w:color w:val="auto"/>
        </w:rPr>
      </w:pPr>
    </w:p>
    <w:p>
      <w:pPr>
        <w:ind w:right="700" w:firstLine="987"/>
        <w:spacing w:after="0" w:line="282" w:lineRule="auto"/>
        <w:tabs>
          <w:tab w:leader="none" w:pos="131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right to receive shares of Common Stock which is granted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Section 6(b).</w:t>
      </w:r>
    </w:p>
    <w:p>
      <w:pPr>
        <w:spacing w:after="0" w:line="161" w:lineRule="exact"/>
        <w:rPr>
          <w:rFonts w:ascii="Arial" w:cs="Arial" w:eastAsia="Arial" w:hAnsi="Arial"/>
          <w:sz w:val="18"/>
          <w:szCs w:val="18"/>
          <w:b w:val="1"/>
          <w:bCs w:val="1"/>
          <w:color w:val="auto"/>
        </w:rPr>
      </w:pPr>
    </w:p>
    <w:p>
      <w:pPr>
        <w:jc w:val="both"/>
        <w:ind w:right="100" w:firstLine="987"/>
        <w:spacing w:after="0" w:line="289" w:lineRule="auto"/>
        <w:tabs>
          <w:tab w:leader="none" w:pos="1296" w:val="left"/>
        </w:tabs>
        <w:numPr>
          <w:ilvl w:val="0"/>
          <w:numId w:val="342"/>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Restricted Stock Unit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written agreement between the Company and a holder of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evidencing the terms and conditions of a Restricted Stock Unit Award grant. Each Restricted Stock Unit Award Agreement will be subject to the terms and conditions of the Plan.</w:t>
      </w:r>
    </w:p>
    <w:p>
      <w:pPr>
        <w:spacing w:after="0" w:line="157" w:lineRule="exact"/>
        <w:rPr>
          <w:rFonts w:ascii="Arial" w:cs="Arial" w:eastAsia="Arial" w:hAnsi="Arial"/>
          <w:sz w:val="17"/>
          <w:szCs w:val="17"/>
          <w:b w:val="1"/>
          <w:bCs w:val="1"/>
          <w:color w:val="auto"/>
        </w:rPr>
      </w:pPr>
    </w:p>
    <w:p>
      <w:pPr>
        <w:ind w:left="1280" w:hanging="293"/>
        <w:spacing w:after="0"/>
        <w:tabs>
          <w:tab w:leader="none" w:pos="1280"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b w:val="1"/>
          <w:bCs w:val="1"/>
          <w:color w:val="auto"/>
        </w:rPr>
        <w:t xml:space="preserve">” </w:t>
      </w:r>
      <w:r>
        <w:rPr>
          <w:rFonts w:ascii="Arial" w:cs="Arial" w:eastAsia="Arial" w:hAnsi="Arial"/>
          <w:sz w:val="16"/>
          <w:szCs w:val="16"/>
          <w:color w:val="auto"/>
        </w:rPr>
        <w:t>means Rule 16b-3 promulgated under the Exchange Act or any successor to Rule 16b-3, as in effect from time to time.</w:t>
      </w:r>
    </w:p>
    <w:p>
      <w:pPr>
        <w:spacing w:after="0" w:line="248" w:lineRule="exact"/>
        <w:rPr>
          <w:rFonts w:ascii="Arial" w:cs="Arial" w:eastAsia="Arial" w:hAnsi="Arial"/>
          <w:sz w:val="16"/>
          <w:szCs w:val="16"/>
          <w:b w:val="1"/>
          <w:bCs w:val="1"/>
          <w:color w:val="auto"/>
        </w:rPr>
      </w:pPr>
    </w:p>
    <w:p>
      <w:pPr>
        <w:ind w:left="1360" w:hanging="373"/>
        <w:spacing w:after="0"/>
        <w:tabs>
          <w:tab w:leader="none" w:pos="13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b w:val="1"/>
          <w:bCs w:val="1"/>
          <w:color w:val="auto"/>
        </w:rPr>
        <w:t xml:space="preserve">” </w:t>
      </w:r>
      <w:r>
        <w:rPr>
          <w:rFonts w:ascii="Arial" w:cs="Arial" w:eastAsia="Arial" w:hAnsi="Arial"/>
          <w:sz w:val="18"/>
          <w:szCs w:val="18"/>
          <w:color w:val="auto"/>
        </w:rPr>
        <w:t>means Rule 405 promulgated under the Securities Act.</w:t>
      </w:r>
    </w:p>
    <w:p>
      <w:pPr>
        <w:spacing w:after="0" w:line="22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Act of 1933, as amended.</w:t>
      </w:r>
    </w:p>
    <w:p>
      <w:pPr>
        <w:spacing w:after="0" w:line="225" w:lineRule="exact"/>
        <w:rPr>
          <w:rFonts w:ascii="Arial" w:cs="Arial" w:eastAsia="Arial" w:hAnsi="Arial"/>
          <w:sz w:val="18"/>
          <w:szCs w:val="18"/>
          <w:b w:val="1"/>
          <w:bCs w:val="1"/>
          <w:color w:val="auto"/>
        </w:rPr>
      </w:pPr>
    </w:p>
    <w:p>
      <w:pPr>
        <w:ind w:right="260" w:firstLine="987"/>
        <w:spacing w:after="0" w:line="282" w:lineRule="auto"/>
        <w:tabs>
          <w:tab w:leader="none" w:pos="141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Section 5.</w:t>
      </w:r>
    </w:p>
    <w:p>
      <w:pPr>
        <w:spacing w:after="0" w:line="161" w:lineRule="exact"/>
        <w:rPr>
          <w:rFonts w:ascii="Arial" w:cs="Arial" w:eastAsia="Arial" w:hAnsi="Arial"/>
          <w:sz w:val="18"/>
          <w:szCs w:val="18"/>
          <w:b w:val="1"/>
          <w:bCs w:val="1"/>
          <w:color w:val="auto"/>
        </w:rPr>
      </w:pPr>
    </w:p>
    <w:p>
      <w:pPr>
        <w:ind w:firstLine="987"/>
        <w:spacing w:after="0" w:line="266" w:lineRule="auto"/>
        <w:tabs>
          <w:tab w:leader="none" w:pos="133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holder of a 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Stock Appreciation Right grant. Each Stock Appreciation Right Agreement will be subject to the terms and conditions of the Plan.</w:t>
      </w:r>
    </w:p>
    <w:p>
      <w:pPr>
        <w:spacing w:after="0" w:line="175" w:lineRule="exact"/>
        <w:rPr>
          <w:rFonts w:ascii="Arial" w:cs="Arial" w:eastAsia="Arial" w:hAnsi="Arial"/>
          <w:sz w:val="18"/>
          <w:szCs w:val="18"/>
          <w:b w:val="1"/>
          <w:bCs w:val="1"/>
          <w:color w:val="auto"/>
        </w:rPr>
      </w:pPr>
    </w:p>
    <w:p>
      <w:pPr>
        <w:ind w:right="360" w:firstLine="987"/>
        <w:spacing w:after="0" w:line="266" w:lineRule="auto"/>
        <w:tabs>
          <w:tab w:leader="none" w:pos="133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right to receive Common Stock granted under the Plan, including an Incentive Stock Option, a</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 a Restricted Stock Award, a Restricted Stock Unit Award, a Stock Appreciation Right, a Performance Stock Award, any Other Stock Award, or a combination of the foregoing.</w:t>
      </w:r>
    </w:p>
    <w:p>
      <w:pPr>
        <w:spacing w:after="0" w:line="175" w:lineRule="exact"/>
        <w:rPr>
          <w:rFonts w:ascii="Arial" w:cs="Arial" w:eastAsia="Arial" w:hAnsi="Arial"/>
          <w:sz w:val="18"/>
          <w:szCs w:val="18"/>
          <w:b w:val="1"/>
          <w:bCs w:val="1"/>
          <w:color w:val="auto"/>
        </w:rPr>
      </w:pPr>
    </w:p>
    <w:p>
      <w:pPr>
        <w:ind w:firstLine="987"/>
        <w:spacing w:after="0" w:line="282" w:lineRule="auto"/>
        <w:tabs>
          <w:tab w:leader="none" w:pos="131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Participant evidencing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Award grant. Each Stock Award Agreement will be subject to the terms and conditions of the Plan.</w:t>
      </w:r>
    </w:p>
    <w:p>
      <w:pPr>
        <w:spacing w:after="0" w:line="162" w:lineRule="exact"/>
        <w:rPr>
          <w:sz w:val="20"/>
          <w:szCs w:val="20"/>
          <w:color w:val="auto"/>
        </w:rPr>
      </w:pPr>
    </w:p>
    <w:p>
      <w:pPr>
        <w:ind w:right="60" w:firstLine="987"/>
        <w:spacing w:after="0" w:line="258" w:lineRule="auto"/>
        <w:tabs>
          <w:tab w:leader="none" w:pos="1426"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the Company, (i) any corporation of which more than fifty percent (50%)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Entity in which the Company has a direct or indirect interest (whether in the form of voting or participation in profits or capital contribution) of more than fifty percent (50%) .</w:t>
      </w:r>
    </w:p>
    <w:p>
      <w:pPr>
        <w:spacing w:after="0" w:line="183" w:lineRule="exact"/>
        <w:rPr>
          <w:rFonts w:ascii="Arial" w:cs="Arial" w:eastAsia="Arial" w:hAnsi="Arial"/>
          <w:sz w:val="18"/>
          <w:szCs w:val="18"/>
          <w:b w:val="1"/>
          <w:bCs w:val="1"/>
          <w:color w:val="auto"/>
        </w:rPr>
      </w:pPr>
    </w:p>
    <w:p>
      <w:pPr>
        <w:ind w:right="540" w:firstLine="987"/>
        <w:spacing w:after="0" w:line="312" w:lineRule="auto"/>
        <w:tabs>
          <w:tab w:leader="none" w:pos="1456" w:val="left"/>
        </w:tabs>
        <w:numPr>
          <w:ilvl w:val="0"/>
          <w:numId w:val="343"/>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Ten Percent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person who Owns (or is deemed to Own pursuant to Section 424(d) of the Code)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possessing more than ten percent (10%) of the total combined voting power of all classes of shares of the Company or any Affiliate.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color w:val="auto"/>
        </w:rPr>
        <w:t>Exhibit 10.10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tab/>
        <w:t>Potential IPO Opportunity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memorializes the agreement and understanding between [Investor]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on the one hand, and Pharvaris, B.V.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the other hand, regarding the Company’s agreement to make best efforts to recommend to the underwriters of the Company’s initial public offering that an allocation be made to Investor and/or the Company’s agreement to offer additional equity securities of the Company to Investor on the terms, and subject to the conditions, set forth below.</w:t>
      </w:r>
    </w:p>
    <w:p>
      <w:pPr>
        <w:spacing w:after="0" w:line="187" w:lineRule="exact"/>
        <w:rPr>
          <w:sz w:val="20"/>
          <w:szCs w:val="20"/>
          <w:color w:val="auto"/>
        </w:rPr>
      </w:pPr>
    </w:p>
    <w:p>
      <w:pPr>
        <w:ind w:right="480" w:firstLine="440"/>
        <w:spacing w:after="0" w:line="257" w:lineRule="auto"/>
        <w:rPr>
          <w:sz w:val="20"/>
          <w:szCs w:val="20"/>
          <w:color w:val="auto"/>
        </w:rPr>
      </w:pPr>
      <w:r>
        <w:rPr>
          <w:rFonts w:ascii="Arial" w:cs="Arial" w:eastAsia="Arial" w:hAnsi="Arial"/>
          <w:sz w:val="18"/>
          <w:szCs w:val="18"/>
          <w:color w:val="auto"/>
        </w:rPr>
        <w:t>The Company is entering into this Letter Agreement as a material inducement to cause Investor to enter into that certain Series C Share Subscription Agreement, dated as of the date hereof, by and among the Company, Investor and the other purchasers named therein (the “</w:t>
      </w:r>
      <w:r>
        <w:rPr>
          <w:rFonts w:ascii="Arial" w:cs="Arial" w:eastAsia="Arial" w:hAnsi="Arial"/>
          <w:sz w:val="18"/>
          <w:szCs w:val="18"/>
          <w:b w:val="1"/>
          <w:bCs w:val="1"/>
          <w:i w:val="1"/>
          <w:i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Capitalized terms used and not defined herein shall have the meanings ascribed to such terms in the Second Amended and Restated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Agreement, dated as of the date hereof, by and among the Company, Investor and the other parties thereto (the “</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8" w:lineRule="exact"/>
        <w:rPr>
          <w:sz w:val="20"/>
          <w:szCs w:val="20"/>
          <w:color w:val="auto"/>
        </w:rPr>
      </w:pPr>
    </w:p>
    <w:p>
      <w:pPr>
        <w:jc w:val="both"/>
        <w:ind w:right="200" w:firstLine="440"/>
        <w:spacing w:after="0" w:line="342" w:lineRule="auto"/>
        <w:rPr>
          <w:sz w:val="20"/>
          <w:szCs w:val="20"/>
          <w:color w:val="auto"/>
        </w:rPr>
      </w:pPr>
      <w:r>
        <w:rPr>
          <w:rFonts w:ascii="Arial" w:cs="Arial" w:eastAsia="Arial" w:hAnsi="Arial"/>
          <w:sz w:val="16"/>
          <w:szCs w:val="16"/>
          <w:color w:val="auto"/>
        </w:rPr>
        <w:t>In consideration of the foregoing and the mutual promises and covenants hereinafter set forth and for other good and valuable consideration, the receipt and sufficiency of which are hereby acknowledged, by execution of this Letter Agreement, the Company and Investor hereby agree as follows:</w:t>
      </w:r>
    </w:p>
    <w:p>
      <w:pPr>
        <w:spacing w:after="0" w:line="120" w:lineRule="exact"/>
        <w:rPr>
          <w:sz w:val="20"/>
          <w:szCs w:val="20"/>
          <w:color w:val="auto"/>
        </w:rPr>
      </w:pPr>
    </w:p>
    <w:p>
      <w:pPr>
        <w:ind w:right="20" w:firstLine="436"/>
        <w:spacing w:after="0" w:line="268" w:lineRule="auto"/>
        <w:tabs>
          <w:tab w:leader="none" w:pos="755" w:val="left"/>
        </w:tabs>
        <w:numPr>
          <w:ilvl w:val="0"/>
          <w:numId w:val="3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Potential IPO Opportunity</w:t>
      </w:r>
      <w:r>
        <w:rPr>
          <w:rFonts w:ascii="Arial" w:cs="Arial" w:eastAsia="Arial" w:hAnsi="Arial"/>
          <w:sz w:val="17"/>
          <w:szCs w:val="17"/>
          <w:color w:val="auto"/>
        </w:rPr>
        <w:t>. Subject to compliance with all applicable securities laws, rules and regulations, the Company shall use its</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commercially reasonable efforts to advocate to the managing underwriter(s) of the IPO to offer Investor the opportunity to purchase shares of the Company’s ordinary shares or common stock equivalent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as described below (the “</w:t>
      </w:r>
      <w:r>
        <w:rPr>
          <w:rFonts w:ascii="Arial" w:cs="Arial" w:eastAsia="Arial" w:hAnsi="Arial"/>
          <w:sz w:val="17"/>
          <w:szCs w:val="17"/>
          <w:b w:val="1"/>
          <w:bCs w:val="1"/>
          <w:i w:val="1"/>
          <w:iCs w:val="1"/>
          <w:color w:val="auto"/>
        </w:rPr>
        <w:t>Potential IPO Opportunity</w:t>
      </w:r>
      <w:r>
        <w:rPr>
          <w:rFonts w:ascii="Arial" w:cs="Arial" w:eastAsia="Arial" w:hAnsi="Arial"/>
          <w:sz w:val="17"/>
          <w:szCs w:val="17"/>
          <w:color w:val="auto"/>
        </w:rPr>
        <w:t>”) in a future IPO, if any, on the same terms, including, without limitation, at a price equal to the price per share shown in a final prospectus in the IPO and paid by the public for shares of Common Stock (the “</w:t>
      </w:r>
      <w:r>
        <w:rPr>
          <w:rFonts w:ascii="Arial" w:cs="Arial" w:eastAsia="Arial" w:hAnsi="Arial"/>
          <w:sz w:val="17"/>
          <w:szCs w:val="17"/>
          <w:b w:val="1"/>
          <w:bCs w:val="1"/>
          <w:i w:val="1"/>
          <w:iCs w:val="1"/>
          <w:color w:val="auto"/>
        </w:rPr>
        <w:t>IPO Price</w:t>
      </w:r>
      <w:r>
        <w:rPr>
          <w:rFonts w:ascii="Arial" w:cs="Arial" w:eastAsia="Arial" w:hAnsi="Arial"/>
          <w:sz w:val="17"/>
          <w:szCs w:val="17"/>
          <w:color w:val="auto"/>
        </w:rPr>
        <w:t>”), and subject to the same conditions, as are applicable to the public in the IPO. The number of shares subject to the Potential IPO Opportunity shall be equal to the greater of (i) [●]% of the total number of shares of Common Stock offered to the public in the IPO (excluding the exercise of any over-allotment option by the underwriters to the IPO) and (b) a number of shares determined by dividing (1) $[●] by (2) the IPO Price (the “</w:t>
      </w:r>
      <w:r>
        <w:rPr>
          <w:rFonts w:ascii="Arial" w:cs="Arial" w:eastAsia="Arial" w:hAnsi="Arial"/>
          <w:sz w:val="17"/>
          <w:szCs w:val="17"/>
          <w:b w:val="1"/>
          <w:bCs w:val="1"/>
          <w:i w:val="1"/>
          <w:iCs w:val="1"/>
          <w:color w:val="auto"/>
        </w:rPr>
        <w:t>Investor IPO Allocation</w:t>
      </w:r>
      <w:r>
        <w:rPr>
          <w:rFonts w:ascii="Arial" w:cs="Arial" w:eastAsia="Arial" w:hAnsi="Arial"/>
          <w:sz w:val="17"/>
          <w:szCs w:val="17"/>
          <w:color w:val="auto"/>
        </w:rPr>
        <w:t>”). For the purposes of this Section 1, commercially reasonable efforts shall include, without limitation, two attempts with the lead equity capital markets professional of the “lead left” managing underwriter for the IPO to advocate to the underwriters to provide the Potential IPO Opportunity to Investor. Investor and the Company agree that the Potential IPO Opportunity does not constitute an offer to sell securities of the Company and any sale of shares remains at the discretion of the managing underwriter(s) and any purchase of shares remains at the discretion of Investor, as applicable. Notwithstanding anything express or implied in this Letter Agreement, Investor acknowledges and agrees that Investor shall have no recourse against the Company if the managing underwriter(s) do not offer Investor the Potential IPO Opportunity or if no Investor IPO Allocation is granted.</w:t>
      </w:r>
    </w:p>
    <w:p>
      <w:pPr>
        <w:sectPr>
          <w:pgSz w:w="11900" w:h="16838" w:orient="portrait"/>
          <w:cols w:equalWidth="0" w:num="1">
            <w:col w:w="11020"/>
          </w:cols>
          <w:pgMar w:left="440" w:top="125" w:right="439" w:bottom="1440" w:gutter="0" w:footer="0" w:header="0"/>
        </w:sectPr>
      </w:pPr>
    </w:p>
    <w:bookmarkStart w:id="387" w:name="page388"/>
    <w:bookmarkEnd w:id="387"/>
    <w:p>
      <w:pPr>
        <w:ind w:firstLine="436"/>
        <w:spacing w:after="0" w:line="269" w:lineRule="auto"/>
        <w:tabs>
          <w:tab w:leader="none" w:pos="755"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Private Placement Participation Right</w:t>
      </w:r>
      <w:r>
        <w:rPr>
          <w:rFonts w:ascii="Arial" w:cs="Arial" w:eastAsia="Arial" w:hAnsi="Arial"/>
          <w:sz w:val="17"/>
          <w:szCs w:val="17"/>
          <w:color w:val="auto"/>
        </w:rPr>
        <w:t>. Notwithstanding the foregoing Subsection 1(a), in the event that (i) the Company’s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do not offer Investor the Potential IPO Opportunity or (ii) the Company’s managing underwriter(s) reasonably request that the IPO Participation Opportunity held by Investor be cut back such that Investor is not permitted to purchase its entire Investor IPO Allocation in the IPO (“</w:t>
      </w:r>
      <w:r>
        <w:rPr>
          <w:rFonts w:ascii="Arial" w:cs="Arial" w:eastAsia="Arial" w:hAnsi="Arial"/>
          <w:sz w:val="17"/>
          <w:szCs w:val="17"/>
          <w:b w:val="1"/>
          <w:bCs w:val="1"/>
          <w:i w:val="1"/>
          <w:iCs w:val="1"/>
          <w:color w:val="auto"/>
        </w:rPr>
        <w:t>IPO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Allocation Cutback</w:t>
      </w:r>
      <w:r>
        <w:rPr>
          <w:rFonts w:ascii="Arial" w:cs="Arial" w:eastAsia="Arial" w:hAnsi="Arial"/>
          <w:sz w:val="17"/>
          <w:szCs w:val="17"/>
          <w:color w:val="auto"/>
        </w:rPr>
        <w:t>”), then the Company shall offer to Investor the right to purchase in a separate private placement (which shall be conducted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concurrently with the IPO and the closing of which shall be contingent on the closing of the IPO) up to a number of shares of Common Stock equal to the difference between (1) the number of shares of Common Stock that Investor would have been able to purchase pursuant to Section 1 above if the managing underwriter(s) had offered Investor its entire Investor IPO Allocation, and (2) the number of shares of Common Stock that Investor was actually permitted to purchase in the IPO, if any (such right, the “</w:t>
      </w:r>
      <w:r>
        <w:rPr>
          <w:rFonts w:ascii="Arial" w:cs="Arial" w:eastAsia="Arial" w:hAnsi="Arial"/>
          <w:sz w:val="17"/>
          <w:szCs w:val="17"/>
          <w:b w:val="1"/>
          <w:bCs w:val="1"/>
          <w:i w:val="1"/>
          <w:iCs w:val="1"/>
          <w:color w:val="auto"/>
        </w:rPr>
        <w:t>Private Placement Participation Right</w:t>
      </w:r>
      <w:r>
        <w:rPr>
          <w:rFonts w:ascii="Arial" w:cs="Arial" w:eastAsia="Arial" w:hAnsi="Arial"/>
          <w:sz w:val="17"/>
          <w:szCs w:val="17"/>
          <w:color w:val="auto"/>
        </w:rPr>
        <w:t>”). The Common Stock offered to Investor pursuant to the Private Placement Participation Right shall be on the same terms (including the IPO Price) at which Common Stock is offered in the IPO, except that the Common Stock offered under the Private Placement Participation Right shall be exempt from the registration requirements of the Securities Act and other applicable securities laws. If Investor exercises (in whole or in part) the Private Placement Participation Right, the Company and Investor shall execute and deliver such documents that are: (A) customary for a transaction structured as a private placement concurrent with a public offering, and (B) reasonably satisfactory to the Company and Investor.</w:t>
      </w:r>
    </w:p>
    <w:p>
      <w:pPr>
        <w:spacing w:after="0" w:line="175" w:lineRule="exact"/>
        <w:rPr>
          <w:rFonts w:ascii="Arial" w:cs="Arial" w:eastAsia="Arial" w:hAnsi="Arial"/>
          <w:sz w:val="17"/>
          <w:szCs w:val="17"/>
          <w:b w:val="1"/>
          <w:bCs w:val="1"/>
          <w:color w:val="auto"/>
        </w:rPr>
      </w:pPr>
    </w:p>
    <w:p>
      <w:pPr>
        <w:ind w:right="20" w:firstLine="436"/>
        <w:spacing w:after="0" w:line="256" w:lineRule="auto"/>
        <w:tabs>
          <w:tab w:leader="none" w:pos="755"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provisions of this Letter Agreement shall be binding upon and inure to the benefit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the Company nor Investor may assign its rights or obligations under this Letter Agreement without the other party’s prior written consent;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Investor may assign its IPO Participation Opportunity or Private Placement Participation Right (in whole or in part) to an entity or investment fund controlled by one or more general partners, managing members, management companies or investment advisors of, or that is managed or controlled by an affiliated general partner, managing member, management company or investment adviser with, Investor.</w:t>
      </w:r>
    </w:p>
    <w:p>
      <w:pPr>
        <w:spacing w:after="0" w:line="187" w:lineRule="exact"/>
        <w:rPr>
          <w:rFonts w:ascii="Arial" w:cs="Arial" w:eastAsia="Arial" w:hAnsi="Arial"/>
          <w:sz w:val="18"/>
          <w:szCs w:val="18"/>
          <w:b w:val="1"/>
          <w:bCs w:val="1"/>
          <w:color w:val="auto"/>
        </w:rPr>
      </w:pPr>
    </w:p>
    <w:p>
      <w:pPr>
        <w:ind w:right="40" w:firstLine="436"/>
        <w:spacing w:after="0" w:line="271" w:lineRule="auto"/>
        <w:tabs>
          <w:tab w:leader="none" w:pos="755"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 This Letter Agreement constitutes valid and legally binding obligations of the Company, enforceable against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their respective terms. The invalidity or unenforceability of any provision hereof shall in no way affect the validity or enforceability of any other provision. This Letter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 This Letter Agreement shall be governed by and construed in accordance with the laws of the State of New York, without reference to its conflicts of laws provisions. Should legal action arise concerning this Letter Agreement, (i) the parties irrevocably submit to the jurisdiction and venue of the courts of the State of New York and the Federal Courts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88" w:name="page389"/>
    <w:bookmarkEnd w:id="38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United States located in the State of New York to litigate and adjudicate such dispute, and (ii) the prevailing party shall be entitled to recover all reasonable attorneys’ fees and related costs, in addition to any other relief which may be awarded. </w:t>
      </w:r>
      <w:r>
        <w:rPr>
          <w:rFonts w:ascii="Arial" w:cs="Arial" w:eastAsia="Arial" w:hAnsi="Arial"/>
          <w:sz w:val="16"/>
          <w:szCs w:val="16"/>
          <w:b w:val="1"/>
          <w:bCs w:val="1"/>
          <w:color w:val="auto"/>
        </w:rPr>
        <w:t>EACH PARTY HEREBY WAIVES THE RIGHT</w:t>
      </w:r>
    </w:p>
    <w:p>
      <w:pPr>
        <w:ind w:right="280"/>
        <w:spacing w:after="0" w:line="260" w:lineRule="auto"/>
        <w:rPr>
          <w:sz w:val="20"/>
          <w:szCs w:val="20"/>
          <w:color w:val="auto"/>
        </w:rPr>
      </w:pPr>
      <w:r>
        <w:rPr>
          <w:rFonts w:ascii="Arial" w:cs="Arial" w:eastAsia="Arial" w:hAnsi="Arial"/>
          <w:sz w:val="18"/>
          <w:szCs w:val="18"/>
          <w:b w:val="1"/>
          <w:bCs w:val="1"/>
          <w:color w:val="auto"/>
        </w:rPr>
        <w:t>TO A TRIAL BY JURY WITH RESPECT TO ANY DISPUTE OR LITIGATION ARISING OUT OF OR IN CONNECTION WITH THIS LETTER AGREEMENT.</w:t>
      </w:r>
    </w:p>
    <w:p>
      <w:pPr>
        <w:spacing w:after="0" w:line="181" w:lineRule="exact"/>
        <w:rPr>
          <w:sz w:val="20"/>
          <w:szCs w:val="20"/>
          <w:color w:val="auto"/>
        </w:rPr>
      </w:pPr>
    </w:p>
    <w:p>
      <w:pPr>
        <w:jc w:val="both"/>
        <w:ind w:firstLine="436"/>
        <w:spacing w:after="0" w:line="266" w:lineRule="auto"/>
        <w:tabs>
          <w:tab w:leader="none" w:pos="755"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Letter Agreement shall terminate and be of no further force or effect upon the earliest to occur of (a) the satisfaction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IPO Participation Opportunity and/or the Private Placement Participation Right, as the case may be or (b) the date that Investor ceases to hold any equity securities in the Company or any successor entities.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89" w:name="page390"/>
    <w:bookmarkEnd w:id="3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Letter Agreement as of the date first written above.</w:t>
      </w:r>
    </w:p>
    <w:p>
      <w:pPr>
        <w:spacing w:after="0" w:line="3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PHARVARIS, B.V.</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-10160</wp:posOffset>
            </wp:positionV>
            <wp:extent cx="23418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-10160</wp:posOffset>
            </wp:positionV>
            <wp:extent cx="23418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9579"/>
          </w:cols>
          <w:pgMar w:left="880" w:top="274" w:right="1440"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color w:val="auto"/>
        </w:rPr>
        <w:t>Exhibit 10.11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Pharvaris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J.H. Oortweg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2333 CH Leiden,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Waiver of Potential IPO Opportunity and Termination of Letter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Modig:</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Reference is hereby made to the letter agreement, dated [●] (the “Letter Agreement”), executed between [Investor]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on the one hand, and Pharvaris B.V.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Investor’s entry into the Series C Share Subscription Agreement, dated the date of the Letter Agreement, by and among the Company, Investor and the other purchasers named therein. Capitalized terms used and not defined herein shall have the meanings ascribed to such terms in the Letter Agreement.</w:t>
      </w:r>
    </w:p>
    <w:p>
      <w:pPr>
        <w:spacing w:after="0" w:line="18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Pursuant to the Letter Agreement, the Company agreed to use its commercially reasonable efforts to advocate to the managing underwriter(s) of the Company’s initial public offering (“</w:t>
      </w:r>
      <w:r>
        <w:rPr>
          <w:rFonts w:ascii="Arial" w:cs="Arial" w:eastAsia="Arial" w:hAnsi="Arial"/>
          <w:sz w:val="17"/>
          <w:szCs w:val="17"/>
          <w:b w:val="1"/>
          <w:bCs w:val="1"/>
          <w:i w:val="1"/>
          <w:iCs w:val="1"/>
          <w:color w:val="auto"/>
        </w:rPr>
        <w:t>IPO</w:t>
      </w:r>
      <w:r>
        <w:rPr>
          <w:rFonts w:ascii="Arial" w:cs="Arial" w:eastAsia="Arial" w:hAnsi="Arial"/>
          <w:sz w:val="17"/>
          <w:szCs w:val="17"/>
          <w:color w:val="auto"/>
        </w:rPr>
        <w:t>”) to offer Investor the opportunity to purchase shares of the Company’s ordinary shares or Common Stock as described in the Letter Agreement (the “</w:t>
      </w:r>
      <w:r>
        <w:rPr>
          <w:rFonts w:ascii="Arial" w:cs="Arial" w:eastAsia="Arial" w:hAnsi="Arial"/>
          <w:sz w:val="17"/>
          <w:szCs w:val="17"/>
          <w:b w:val="1"/>
          <w:bCs w:val="1"/>
          <w:i w:val="1"/>
          <w:iCs w:val="1"/>
          <w:color w:val="auto"/>
        </w:rPr>
        <w:t>Potential IPO Opportunity</w:t>
      </w:r>
      <w:r>
        <w:rPr>
          <w:rFonts w:ascii="Arial" w:cs="Arial" w:eastAsia="Arial" w:hAnsi="Arial"/>
          <w:sz w:val="17"/>
          <w:szCs w:val="17"/>
          <w:color w:val="auto"/>
        </w:rPr>
        <w:t>”) in a future IPO, if any, on the same terms, including, without limitation, at a price equal to the price per share shown in a final prospectus in the IPO and paid by the public for shares of Common Stock, and subject to the same conditions, as are applicable to the public in the IPO. In the event that (i) the Company’s managing underwriter(s) do not offer Investor the Potential IPO Opportunity or (ii) the Company’s managing underwriter(s) reasonably request that the IPO Participation Opportunity held by Investor be cut back such that Investor is not permitted to purchase its entire Investor IPO Allocation in the IPO (“</w:t>
      </w:r>
      <w:r>
        <w:rPr>
          <w:rFonts w:ascii="Arial" w:cs="Arial" w:eastAsia="Arial" w:hAnsi="Arial"/>
          <w:sz w:val="17"/>
          <w:szCs w:val="17"/>
          <w:b w:val="1"/>
          <w:bCs w:val="1"/>
          <w:i w:val="1"/>
          <w:iCs w:val="1"/>
          <w:color w:val="auto"/>
        </w:rPr>
        <w:t>IPO Allocation Cutback</w:t>
      </w:r>
      <w:r>
        <w:rPr>
          <w:rFonts w:ascii="Arial" w:cs="Arial" w:eastAsia="Arial" w:hAnsi="Arial"/>
          <w:sz w:val="17"/>
          <w:szCs w:val="17"/>
          <w:color w:val="auto"/>
        </w:rPr>
        <w:t>”), then, pursuant to the Letter Agreement, the Company agreed to offer to Investor the right to purchase in a separate private placement as described in the Letter Agreement (such right, the “</w:t>
      </w:r>
      <w:r>
        <w:rPr>
          <w:rFonts w:ascii="Arial" w:cs="Arial" w:eastAsia="Arial" w:hAnsi="Arial"/>
          <w:sz w:val="17"/>
          <w:szCs w:val="17"/>
          <w:b w:val="1"/>
          <w:bCs w:val="1"/>
          <w:i w:val="1"/>
          <w:iCs w:val="1"/>
          <w:color w:val="auto"/>
        </w:rPr>
        <w:t>Private Placement Participation Right</w:t>
      </w:r>
      <w:r>
        <w:rPr>
          <w:rFonts w:ascii="Arial" w:cs="Arial" w:eastAsia="Arial" w:hAnsi="Arial"/>
          <w:sz w:val="17"/>
          <w:szCs w:val="17"/>
          <w:color w:val="auto"/>
        </w:rPr>
        <w:t>”).</w:t>
      </w:r>
    </w:p>
    <w:p>
      <w:pPr>
        <w:spacing w:after="0" w:line="181"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The undersigned hereby agrees to waive any and all rights to the Potential IPO Opportunity and the Private Placement Participation Right on the terms and conditions set forth in the Letter Agreement, or otherwise, effective as of the date hereof. The Letter Agreement is hereby terminated in full and shall be of no further force or effect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0"/>
          </w:cols>
          <w:pgMar w:left="440" w:top="125" w:right="439" w:bottom="1440" w:gutter="0" w:footer="0" w:header="0"/>
        </w:sectPr>
      </w:pPr>
    </w:p>
    <w:bookmarkStart w:id="391" w:name="page392"/>
    <w:bookmarkEnd w:id="39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waiver and termination as of the date first written above.</w:t>
      </w:r>
    </w:p>
    <w:p>
      <w:pPr>
        <w:spacing w:after="0" w:line="260" w:lineRule="exact"/>
        <w:rPr>
          <w:sz w:val="20"/>
          <w:szCs w:val="20"/>
          <w:color w:val="auto"/>
        </w:rPr>
      </w:pPr>
    </w:p>
    <w:p>
      <w:pPr>
        <w:jc w:val="right"/>
        <w:ind w:right="679"/>
        <w:spacing w:after="0"/>
        <w:rPr>
          <w:sz w:val="20"/>
          <w:szCs w:val="20"/>
          <w:color w:val="auto"/>
        </w:rPr>
      </w:pPr>
      <w:r>
        <w:rPr>
          <w:rFonts w:ascii="Arial" w:cs="Arial" w:eastAsia="Arial" w:hAnsi="Arial"/>
          <w:sz w:val="18"/>
          <w:szCs w:val="18"/>
          <w:b w:val="1"/>
          <w:bCs w:val="1"/>
          <w:color w:val="auto"/>
        </w:rPr>
        <w:t>PHARVARIS B.V.,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 as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280035</wp:posOffset>
            </wp:positionV>
            <wp:extent cx="27946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579"/>
          </w:cols>
          <w:pgMar w:left="880" w:top="274" w:right="1440"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hereby consent to the use in this Registration Statement on Form F-1 of Pharvaris B.V. of our report dated November 10, 2020 relating to the financial statements of Pharvaris B.V., which appears in this Registration Statement. We also consent to the reference to us under the heading “Experts” in such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R.M.N. Admiraal 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Accountants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Eindhoven, the Netherlands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February 1,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6AD9BE"/>
    <w:multiLevelType w:val="hybridMultilevel"/>
    <w:lvl w:ilvl="0">
      <w:lvlJc w:val="left"/>
      <w:lvlText w:val="(%1)"/>
      <w:numFmt w:val="decimal"/>
      <w:start w:val="1"/>
    </w:lvl>
  </w:abstractNum>
  <w:abstractNum w:abstractNumId="1">
    <w:nsid w:val="BAAC1B4"/>
    <w:multiLevelType w:val="hybridMultilevel"/>
    <w:lvl w:ilvl="0">
      <w:lvlJc w:val="left"/>
      <w:lvlText w:val="(%1)"/>
      <w:numFmt w:val="decimal"/>
      <w:start w:val="1"/>
    </w:lvl>
  </w:abstractNum>
  <w:abstractNum w:abstractNumId="2">
    <w:nsid w:val="36B2ACBC"/>
    <w:multiLevelType w:val="hybridMultilevel"/>
    <w:lvl w:ilvl="0">
      <w:lvlJc w:val="left"/>
      <w:lvlText w:val="(%1)"/>
      <w:numFmt w:val="decimal"/>
      <w:start w:val="1"/>
    </w:lvl>
  </w:abstractNum>
  <w:abstractNum w:abstractNumId="3">
    <w:nsid w:val="779D8544"/>
    <w:multiLevelType w:val="hybridMultilevel"/>
    <w:lvl w:ilvl="0">
      <w:lvlJc w:val="left"/>
      <w:lvlText w:val="(%1)"/>
      <w:numFmt w:val="lowerRoman"/>
      <w:start w:val="1"/>
    </w:lvl>
  </w:abstractNum>
  <w:abstractNum w:abstractNumId="4">
    <w:nsid w:val="4AB26E78"/>
    <w:multiLevelType w:val="hybridMultilevel"/>
    <w:lvl w:ilvl="0">
      <w:lvlJc w:val="left"/>
      <w:lvlText w:val="•"/>
      <w:numFmt w:val="bullet"/>
      <w:start w:val="1"/>
    </w:lvl>
  </w:abstractNum>
  <w:abstractNum w:abstractNumId="5">
    <w:nsid w:val="21FAA2FA"/>
    <w:multiLevelType w:val="hybridMultilevel"/>
    <w:lvl w:ilvl="0">
      <w:lvlJc w:val="left"/>
      <w:lvlText w:val="•"/>
      <w:numFmt w:val="bullet"/>
      <w:start w:val="1"/>
    </w:lvl>
  </w:abstractNum>
  <w:abstractNum w:abstractNumId="6">
    <w:nsid w:val="5451CF49"/>
    <w:multiLevelType w:val="hybridMultilevel"/>
    <w:lvl w:ilvl="0">
      <w:lvlJc w:val="left"/>
      <w:lvlText w:val="•"/>
      <w:numFmt w:val="bullet"/>
      <w:start w:val="1"/>
    </w:lvl>
  </w:abstractNum>
  <w:abstractNum w:abstractNumId="7">
    <w:nsid w:val="6181EF69"/>
    <w:multiLevelType w:val="hybridMultilevel"/>
    <w:lvl w:ilvl="0">
      <w:lvlJc w:val="left"/>
      <w:lvlText w:val="•"/>
      <w:numFmt w:val="bullet"/>
      <w:start w:val="1"/>
    </w:lvl>
  </w:abstractNum>
  <w:abstractNum w:abstractNumId="8">
    <w:nsid w:val="3E6400E6"/>
    <w:multiLevelType w:val="hybridMultilevel"/>
    <w:lvl w:ilvl="0">
      <w:lvlJc w:val="left"/>
      <w:lvlText w:val="•"/>
      <w:numFmt w:val="bullet"/>
      <w:start w:val="1"/>
    </w:lvl>
  </w:abstractNum>
  <w:abstractNum w:abstractNumId="9">
    <w:nsid w:val="14217E23"/>
    <w:multiLevelType w:val="hybridMultilevel"/>
    <w:lvl w:ilvl="0">
      <w:lvlJc w:val="left"/>
      <w:lvlText w:val="•"/>
      <w:numFmt w:val="bullet"/>
      <w:start w:val="1"/>
    </w:lvl>
  </w:abstractNum>
  <w:abstractNum w:abstractNumId="10">
    <w:nsid w:val="710757D0"/>
    <w:multiLevelType w:val="hybridMultilevel"/>
    <w:lvl w:ilvl="0">
      <w:lvlJc w:val="left"/>
      <w:lvlText w:val="•"/>
      <w:numFmt w:val="bullet"/>
      <w:start w:val="1"/>
    </w:lvl>
  </w:abstractNum>
  <w:abstractNum w:abstractNumId="11">
    <w:nsid w:val="5015CD1A"/>
    <w:multiLevelType w:val="hybridMultilevel"/>
    <w:lvl w:ilvl="0">
      <w:lvlJc w:val="left"/>
      <w:lvlText w:val="•"/>
      <w:numFmt w:val="bullet"/>
      <w:start w:val="1"/>
    </w:lvl>
  </w:abstractNum>
  <w:abstractNum w:abstractNumId="12">
    <w:nsid w:val="424479DA"/>
    <w:multiLevelType w:val="hybridMultilevel"/>
    <w:lvl w:ilvl="0">
      <w:lvlJc w:val="left"/>
      <w:lvlText w:val="(%1)"/>
      <w:numFmt w:val="upperLetter"/>
      <w:start w:val="2"/>
    </w:lvl>
  </w:abstractNum>
  <w:abstractNum w:abstractNumId="13">
    <w:nsid w:val="1A9A9E69"/>
    <w:multiLevelType w:val="hybridMultilevel"/>
    <w:lvl w:ilvl="0">
      <w:lvlJc w:val="left"/>
      <w:lvlText w:val="•"/>
      <w:numFmt w:val="bullet"/>
      <w:start w:val="1"/>
    </w:lvl>
  </w:abstractNum>
  <w:abstractNum w:abstractNumId="14">
    <w:nsid w:val="475E256A"/>
    <w:multiLevelType w:val="hybridMultilevel"/>
    <w:lvl w:ilvl="0">
      <w:lvlJc w:val="left"/>
      <w:lvlText w:val="•"/>
      <w:numFmt w:val="bullet"/>
      <w:start w:val="1"/>
    </w:lvl>
  </w:abstractNum>
  <w:abstractNum w:abstractNumId="15">
    <w:nsid w:val="368DB37E"/>
    <w:multiLevelType w:val="hybridMultilevel"/>
    <w:lvl w:ilvl="0">
      <w:lvlJc w:val="left"/>
      <w:lvlText w:val="•"/>
      <w:numFmt w:val="bullet"/>
      <w:start w:val="1"/>
    </w:lvl>
  </w:abstractNum>
  <w:abstractNum w:abstractNumId="16">
    <w:nsid w:val="6A3B714C"/>
    <w:multiLevelType w:val="hybridMultilevel"/>
    <w:lvl w:ilvl="0">
      <w:lvlJc w:val="left"/>
      <w:lvlText w:val="(%1)"/>
      <w:numFmt w:val="decimal"/>
      <w:start w:val="1"/>
    </w:lvl>
  </w:abstractNum>
  <w:abstractNum w:abstractNumId="17">
    <w:nsid w:val="327B517E"/>
    <w:multiLevelType w:val="hybridMultilevel"/>
    <w:lvl w:ilvl="0">
      <w:lvlJc w:val="left"/>
      <w:lvlText w:val="(%1)"/>
      <w:numFmt w:val="decimal"/>
      <w:start w:val="2"/>
    </w:lvl>
    <w:lvl w:ilvl="1">
      <w:lvlJc w:val="left"/>
      <w:lvlText w:val="•"/>
      <w:numFmt w:val="bullet"/>
      <w:start w:val="1"/>
    </w:lvl>
  </w:abstractNum>
  <w:abstractNum w:abstractNumId="18">
    <w:nsid w:val="1F461B51"/>
    <w:multiLevelType w:val="hybridMultilevel"/>
    <w:lvl w:ilvl="0">
      <w:lvlJc w:val="left"/>
      <w:lvlText w:val="•"/>
      <w:numFmt w:val="bullet"/>
      <w:start w:val="1"/>
    </w:lvl>
  </w:abstractNum>
  <w:abstractNum w:abstractNumId="19">
    <w:nsid w:val="29BACF25"/>
    <w:multiLevelType w:val="hybridMultilevel"/>
    <w:lvl w:ilvl="0">
      <w:lvlJc w:val="left"/>
      <w:lvlText w:val="•"/>
      <w:numFmt w:val="bullet"/>
      <w:start w:val="1"/>
    </w:lvl>
  </w:abstractNum>
  <w:abstractNum w:abstractNumId="20">
    <w:nsid w:val="5D5BABB3"/>
    <w:multiLevelType w:val="hybridMultilevel"/>
    <w:lvl w:ilvl="0">
      <w:lvlJc w:val="left"/>
      <w:lvlText w:val="•"/>
      <w:numFmt w:val="bullet"/>
      <w:start w:val="1"/>
    </w:lvl>
  </w:abstractNum>
  <w:abstractNum w:abstractNumId="21">
    <w:nsid w:val="51BF6B48"/>
    <w:multiLevelType w:val="hybridMultilevel"/>
    <w:lvl w:ilvl="0">
      <w:lvlJc w:val="left"/>
      <w:lvlText w:val="•"/>
      <w:numFmt w:val="bullet"/>
      <w:start w:val="1"/>
    </w:lvl>
  </w:abstractNum>
  <w:abstractNum w:abstractNumId="22">
    <w:nsid w:val="7E0F6384"/>
    <w:multiLevelType w:val="hybridMultilevel"/>
    <w:lvl w:ilvl="0">
      <w:lvlJc w:val="left"/>
      <w:lvlText w:val="•"/>
      <w:numFmt w:val="bullet"/>
      <w:start w:val="1"/>
    </w:lvl>
  </w:abstractNum>
  <w:abstractNum w:abstractNumId="23">
    <w:nsid w:val="2B4B8B53"/>
    <w:multiLevelType w:val="hybridMultilevel"/>
    <w:lvl w:ilvl="0">
      <w:lvlJc w:val="left"/>
      <w:lvlText w:val="•"/>
      <w:numFmt w:val="bullet"/>
      <w:start w:val="1"/>
    </w:lvl>
  </w:abstractNum>
  <w:abstractNum w:abstractNumId="24">
    <w:nsid w:val="72E3413A"/>
    <w:multiLevelType w:val="hybridMultilevel"/>
    <w:lvl w:ilvl="0">
      <w:lvlJc w:val="left"/>
      <w:lvlText w:val="•"/>
      <w:numFmt w:val="bullet"/>
      <w:start w:val="1"/>
    </w:lvl>
  </w:abstractNum>
  <w:abstractNum w:abstractNumId="25">
    <w:nsid w:val="116AE494"/>
    <w:multiLevelType w:val="hybridMultilevel"/>
    <w:lvl w:ilvl="0">
      <w:lvlJc w:val="left"/>
      <w:lvlText w:val="•"/>
      <w:numFmt w:val="bullet"/>
      <w:start w:val="1"/>
    </w:lvl>
  </w:abstractNum>
  <w:abstractNum w:abstractNumId="26">
    <w:nsid w:val="3494B2FB"/>
    <w:multiLevelType w:val="hybridMultilevel"/>
    <w:lvl w:ilvl="0">
      <w:lvlJc w:val="left"/>
      <w:lvlText w:val="•"/>
      <w:numFmt w:val="bullet"/>
      <w:start w:val="1"/>
    </w:lvl>
  </w:abstractNum>
  <w:abstractNum w:abstractNumId="27">
    <w:nsid w:val="B13A31"/>
    <w:multiLevelType w:val="hybridMultilevel"/>
    <w:lvl w:ilvl="0">
      <w:lvlJc w:val="left"/>
      <w:lvlText w:val="•"/>
      <w:numFmt w:val="bullet"/>
      <w:start w:val="1"/>
    </w:lvl>
  </w:abstractNum>
  <w:abstractNum w:abstractNumId="28">
    <w:nsid w:val="64429599"/>
    <w:multiLevelType w:val="hybridMultilevel"/>
    <w:lvl w:ilvl="0">
      <w:lvlJc w:val="left"/>
      <w:lvlText w:val="•"/>
      <w:numFmt w:val="bullet"/>
      <w:start w:val="1"/>
    </w:lvl>
  </w:abstractNum>
  <w:abstractNum w:abstractNumId="29">
    <w:nsid w:val="631F1690"/>
    <w:multiLevelType w:val="hybridMultilevel"/>
    <w:lvl w:ilvl="0">
      <w:lvlJc w:val="left"/>
      <w:lvlText w:val="•"/>
      <w:numFmt w:val="bullet"/>
      <w:start w:val="1"/>
    </w:lvl>
  </w:abstractNum>
  <w:abstractNum w:abstractNumId="30">
    <w:nsid w:val="25973E32"/>
    <w:multiLevelType w:val="hybridMultilevel"/>
    <w:lvl w:ilvl="0">
      <w:lvlJc w:val="left"/>
      <w:lvlText w:val="•"/>
      <w:numFmt w:val="bullet"/>
      <w:start w:val="1"/>
    </w:lvl>
  </w:abstractNum>
  <w:abstractNum w:abstractNumId="31">
    <w:nsid w:val="EAD6F57"/>
    <w:multiLevelType w:val="hybridMultilevel"/>
    <w:lvl w:ilvl="0">
      <w:lvlJc w:val="left"/>
      <w:lvlText w:val="•"/>
      <w:numFmt w:val="bullet"/>
      <w:start w:val="1"/>
    </w:lvl>
  </w:abstractNum>
  <w:abstractNum w:abstractNumId="32">
    <w:nsid w:val="6EC9D844"/>
    <w:multiLevelType w:val="hybridMultilevel"/>
    <w:lvl w:ilvl="0">
      <w:lvlJc w:val="left"/>
      <w:lvlText w:val="•"/>
      <w:numFmt w:val="bullet"/>
      <w:start w:val="1"/>
    </w:lvl>
  </w:abstractNum>
  <w:abstractNum w:abstractNumId="33">
    <w:nsid w:val="5C49EAEE"/>
    <w:multiLevelType w:val="hybridMultilevel"/>
    <w:lvl w:ilvl="0">
      <w:lvlJc w:val="left"/>
      <w:lvlText w:val="•"/>
      <w:numFmt w:val="bullet"/>
      <w:start w:val="1"/>
    </w:lvl>
  </w:abstractNum>
  <w:abstractNum w:abstractNumId="34">
    <w:nsid w:val="64AF49B"/>
    <w:multiLevelType w:val="hybridMultilevel"/>
    <w:lvl w:ilvl="0">
      <w:lvlJc w:val="left"/>
      <w:lvlText w:val="•"/>
      <w:numFmt w:val="bullet"/>
      <w:start w:val="1"/>
    </w:lvl>
  </w:abstractNum>
  <w:abstractNum w:abstractNumId="35">
    <w:nsid w:val="397C46BC"/>
    <w:multiLevelType w:val="hybridMultilevel"/>
    <w:lvl w:ilvl="0">
      <w:lvlJc w:val="left"/>
      <w:lvlText w:val="•"/>
      <w:numFmt w:val="bullet"/>
      <w:start w:val="1"/>
    </w:lvl>
  </w:abstractNum>
  <w:abstractNum w:abstractNumId="36">
    <w:nsid w:val="7E448DE9"/>
    <w:multiLevelType w:val="hybridMultilevel"/>
    <w:lvl w:ilvl="0">
      <w:lvlJc w:val="left"/>
      <w:lvlText w:val="•"/>
      <w:numFmt w:val="bullet"/>
      <w:start w:val="1"/>
    </w:lvl>
  </w:abstractNum>
  <w:abstractNum w:abstractNumId="37">
    <w:nsid w:val="5A9CC3E5"/>
    <w:multiLevelType w:val="hybridMultilevel"/>
    <w:lvl w:ilvl="0">
      <w:lvlJc w:val="left"/>
      <w:lvlText w:val="(%1)"/>
      <w:numFmt w:val="lowerRoman"/>
      <w:start w:val="2"/>
    </w:lvl>
  </w:abstractNum>
  <w:abstractNum w:abstractNumId="38">
    <w:nsid w:val="1AFE3625"/>
    <w:multiLevelType w:val="hybridMultilevel"/>
    <w:lvl w:ilvl="0">
      <w:lvlJc w:val="left"/>
      <w:lvlText w:val="•"/>
      <w:numFmt w:val="bullet"/>
      <w:start w:val="1"/>
    </w:lvl>
  </w:abstractNum>
  <w:abstractNum w:abstractNumId="39">
    <w:nsid w:val="3CA88ECF"/>
    <w:multiLevelType w:val="hybridMultilevel"/>
    <w:lvl w:ilvl="0">
      <w:lvlJc w:val="left"/>
      <w:lvlText w:val="•"/>
      <w:numFmt w:val="bullet"/>
      <w:start w:val="1"/>
    </w:lvl>
  </w:abstractNum>
  <w:abstractNum w:abstractNumId="40">
    <w:nsid w:val="6EBE4208"/>
    <w:multiLevelType w:val="hybridMultilevel"/>
    <w:lvl w:ilvl="0">
      <w:lvlJc w:val="left"/>
      <w:lvlText w:val="•"/>
      <w:numFmt w:val="bullet"/>
      <w:start w:val="1"/>
    </w:lvl>
  </w:abstractNum>
  <w:abstractNum w:abstractNumId="41">
    <w:nsid w:val="C058DF5"/>
    <w:multiLevelType w:val="hybridMultilevel"/>
    <w:lvl w:ilvl="0">
      <w:lvlJc w:val="left"/>
      <w:lvlText w:val="•"/>
      <w:numFmt w:val="bullet"/>
      <w:start w:val="1"/>
    </w:lvl>
  </w:abstractNum>
  <w:abstractNum w:abstractNumId="42">
    <w:nsid w:val="CBE5BE9"/>
    <w:multiLevelType w:val="hybridMultilevel"/>
    <w:lvl w:ilvl="0">
      <w:lvlJc w:val="left"/>
      <w:lvlText w:val="•"/>
      <w:numFmt w:val="bullet"/>
      <w:start w:val="1"/>
    </w:lvl>
  </w:abstractNum>
  <w:abstractNum w:abstractNumId="43">
    <w:nsid w:val="3102BBE2"/>
    <w:multiLevelType w:val="hybridMultilevel"/>
    <w:lvl w:ilvl="0">
      <w:lvlJc w:val="left"/>
      <w:lvlText w:val="•"/>
      <w:numFmt w:val="bullet"/>
      <w:start w:val="1"/>
    </w:lvl>
  </w:abstractNum>
  <w:abstractNum w:abstractNumId="44">
    <w:nsid w:val="26A02C5E"/>
    <w:multiLevelType w:val="hybridMultilevel"/>
    <w:lvl w:ilvl="0">
      <w:lvlJc w:val="left"/>
      <w:lvlText w:val="•"/>
      <w:numFmt w:val="bullet"/>
      <w:start w:val="1"/>
    </w:lvl>
  </w:abstractNum>
  <w:abstractNum w:abstractNumId="45">
    <w:nsid w:val="541C8153"/>
    <w:multiLevelType w:val="hybridMultilevel"/>
    <w:lvl w:ilvl="0">
      <w:lvlJc w:val="left"/>
      <w:lvlText w:val="(%1)"/>
      <w:numFmt w:val="decimal"/>
      <w:start w:val="1"/>
    </w:lvl>
  </w:abstractNum>
  <w:abstractNum w:abstractNumId="46">
    <w:nsid w:val="67906F60"/>
    <w:multiLevelType w:val="hybridMultilevel"/>
    <w:lvl w:ilvl="0">
      <w:lvlJc w:val="left"/>
      <w:lvlText w:val="(%1)"/>
      <w:numFmt w:val="decimal"/>
      <w:start w:val="3"/>
    </w:lvl>
  </w:abstractNum>
  <w:abstractNum w:abstractNumId="47">
    <w:nsid w:val="10DB9DAA"/>
    <w:multiLevelType w:val="hybridMultilevel"/>
    <w:lvl w:ilvl="0">
      <w:lvlJc w:val="left"/>
      <w:lvlText w:val="•"/>
      <w:numFmt w:val="bullet"/>
      <w:start w:val="1"/>
    </w:lvl>
  </w:abstractNum>
  <w:abstractNum w:abstractNumId="48">
    <w:nsid w:val="697D2D2"/>
    <w:multiLevelType w:val="hybridMultilevel"/>
    <w:lvl w:ilvl="0">
      <w:lvlJc w:val="left"/>
      <w:lvlText w:val="(%1)"/>
      <w:numFmt w:val="lowerRoman"/>
      <w:start w:val="2"/>
    </w:lvl>
  </w:abstractNum>
  <w:abstractNum w:abstractNumId="49">
    <w:nsid w:val="6D68AB2"/>
    <w:multiLevelType w:val="hybridMultilevel"/>
    <w:lvl w:ilvl="0">
      <w:lvlJc w:val="left"/>
      <w:lvlText w:val="•"/>
      <w:numFmt w:val="bullet"/>
      <w:start w:val="1"/>
    </w:lvl>
  </w:abstractNum>
  <w:abstractNum w:abstractNumId="50">
    <w:nsid w:val="3A966CD0"/>
    <w:multiLevelType w:val="hybridMultilevel"/>
    <w:lvl w:ilvl="0">
      <w:lvlJc w:val="left"/>
      <w:lvlText w:val="(%1)"/>
      <w:numFmt w:val="decimal"/>
      <w:start w:val="1"/>
    </w:lvl>
  </w:abstractNum>
  <w:abstractNum w:abstractNumId="51">
    <w:nsid w:val="63F37E85"/>
    <w:multiLevelType w:val="hybridMultilevel"/>
    <w:lvl w:ilvl="0">
      <w:lvlJc w:val="left"/>
      <w:lvlText w:val="(%1)"/>
      <w:numFmt w:val="decimal"/>
      <w:start w:val="1"/>
    </w:lvl>
  </w:abstractNum>
  <w:abstractNum w:abstractNumId="52">
    <w:nsid w:val="5895F5FA"/>
    <w:multiLevelType w:val="hybridMultilevel"/>
    <w:lvl w:ilvl="0">
      <w:lvlJc w:val="left"/>
      <w:lvlText w:val="•"/>
      <w:numFmt w:val="bullet"/>
      <w:start w:val="1"/>
    </w:lvl>
  </w:abstractNum>
  <w:abstractNum w:abstractNumId="53">
    <w:nsid w:val="38A5D054"/>
    <w:multiLevelType w:val="hybridMultilevel"/>
    <w:lvl w:ilvl="0">
      <w:lvlJc w:val="left"/>
      <w:lvlText w:val="•"/>
      <w:numFmt w:val="bullet"/>
      <w:start w:val="1"/>
    </w:lvl>
  </w:abstractNum>
  <w:abstractNum w:abstractNumId="54">
    <w:nsid w:val="F3F09D8"/>
    <w:multiLevelType w:val="hybridMultilevel"/>
    <w:lvl w:ilvl="0">
      <w:lvlJc w:val="left"/>
      <w:lvlText w:val="•"/>
      <w:numFmt w:val="bullet"/>
      <w:start w:val="1"/>
    </w:lvl>
  </w:abstractNum>
  <w:abstractNum w:abstractNumId="55">
    <w:nsid w:val="4B793735"/>
    <w:multiLevelType w:val="hybridMultilevel"/>
    <w:lvl w:ilvl="0">
      <w:lvlJc w:val="left"/>
      <w:lvlText w:val="•"/>
      <w:numFmt w:val="bullet"/>
      <w:start w:val="1"/>
    </w:lvl>
  </w:abstractNum>
  <w:abstractNum w:abstractNumId="56">
    <w:nsid w:val="4A10B4E8"/>
    <w:multiLevelType w:val="hybridMultilevel"/>
    <w:lvl w:ilvl="0">
      <w:lvlJc w:val="left"/>
      <w:lvlText w:val="•"/>
      <w:numFmt w:val="bullet"/>
      <w:start w:val="1"/>
    </w:lvl>
  </w:abstractNum>
  <w:abstractNum w:abstractNumId="57">
    <w:nsid w:val="43D3BCD4"/>
    <w:multiLevelType w:val="hybridMultilevel"/>
    <w:lvl w:ilvl="0">
      <w:lvlJc w:val="left"/>
      <w:lvlText w:val="•"/>
      <w:numFmt w:val="bullet"/>
      <w:start w:val="1"/>
    </w:lvl>
  </w:abstractNum>
  <w:abstractNum w:abstractNumId="58">
    <w:nsid w:val="4C2A7166"/>
    <w:multiLevelType w:val="hybridMultilevel"/>
    <w:lvl w:ilvl="0">
      <w:lvlJc w:val="left"/>
      <w:lvlText w:val="•"/>
      <w:numFmt w:val="bullet"/>
      <w:start w:val="1"/>
    </w:lvl>
  </w:abstractNum>
  <w:abstractNum w:abstractNumId="59">
    <w:nsid w:val="2E534A82"/>
    <w:multiLevelType w:val="hybridMultilevel"/>
    <w:lvl w:ilvl="0">
      <w:lvlJc w:val="left"/>
      <w:lvlText w:val="•"/>
      <w:numFmt w:val="bullet"/>
      <w:start w:val="1"/>
    </w:lvl>
  </w:abstractNum>
  <w:abstractNum w:abstractNumId="60">
    <w:nsid w:val="26F2D364"/>
    <w:multiLevelType w:val="hybridMultilevel"/>
    <w:lvl w:ilvl="0">
      <w:lvlJc w:val="left"/>
      <w:lvlText w:val="•"/>
      <w:numFmt w:val="bullet"/>
      <w:start w:val="1"/>
    </w:lvl>
  </w:abstractNum>
  <w:abstractNum w:abstractNumId="61">
    <w:nsid w:val="71C1AF98"/>
    <w:multiLevelType w:val="hybridMultilevel"/>
    <w:lvl w:ilvl="0">
      <w:lvlJc w:val="left"/>
      <w:lvlText w:val="•"/>
      <w:numFmt w:val="bullet"/>
      <w:start w:val="1"/>
    </w:lvl>
  </w:abstractNum>
  <w:abstractNum w:abstractNumId="62">
    <w:nsid w:val="3D00B9D9"/>
    <w:multiLevelType w:val="hybridMultilevel"/>
    <w:lvl w:ilvl="0">
      <w:lvlJc w:val="left"/>
      <w:lvlText w:val="•"/>
      <w:numFmt w:val="bullet"/>
      <w:start w:val="1"/>
    </w:lvl>
  </w:abstractNum>
  <w:abstractNum w:abstractNumId="63">
    <w:nsid w:val="15BCABA8"/>
    <w:multiLevelType w:val="hybridMultilevel"/>
    <w:lvl w:ilvl="0">
      <w:lvlJc w:val="left"/>
      <w:lvlText w:val="•"/>
      <w:numFmt w:val="bullet"/>
      <w:start w:val="1"/>
    </w:lvl>
  </w:abstractNum>
  <w:abstractNum w:abstractNumId="64">
    <w:nsid w:val="4E0B9A87"/>
    <w:multiLevelType w:val="hybridMultilevel"/>
    <w:lvl w:ilvl="0">
      <w:lvlJc w:val="left"/>
      <w:lvlText w:val="•"/>
      <w:numFmt w:val="bullet"/>
      <w:start w:val="1"/>
    </w:lvl>
  </w:abstractNum>
  <w:abstractNum w:abstractNumId="65">
    <w:nsid w:val="434BAE75"/>
    <w:multiLevelType w:val="hybridMultilevel"/>
    <w:lvl w:ilvl="0">
      <w:lvlJc w:val="left"/>
      <w:lvlText w:val="•"/>
      <w:numFmt w:val="bullet"/>
      <w:start w:val="1"/>
    </w:lvl>
  </w:abstractNum>
  <w:abstractNum w:abstractNumId="66">
    <w:nsid w:val="4F38F265"/>
    <w:multiLevelType w:val="hybridMultilevel"/>
    <w:lvl w:ilvl="0">
      <w:lvlJc w:val="left"/>
      <w:lvlText w:val="•"/>
      <w:numFmt w:val="bullet"/>
      <w:start w:val="1"/>
    </w:lvl>
  </w:abstractNum>
  <w:abstractNum w:abstractNumId="67">
    <w:nsid w:val="4C502870"/>
    <w:multiLevelType w:val="hybridMultilevel"/>
    <w:lvl w:ilvl="0">
      <w:lvlJc w:val="left"/>
      <w:lvlText w:val="•"/>
      <w:numFmt w:val="bullet"/>
      <w:start w:val="1"/>
    </w:lvl>
  </w:abstractNum>
  <w:abstractNum w:abstractNumId="68">
    <w:nsid w:val="1DE8725A"/>
    <w:multiLevelType w:val="hybridMultilevel"/>
    <w:lvl w:ilvl="0">
      <w:lvlJc w:val="left"/>
      <w:lvlText w:val="•"/>
      <w:numFmt w:val="bullet"/>
      <w:start w:val="1"/>
    </w:lvl>
  </w:abstractNum>
  <w:abstractNum w:abstractNumId="69">
    <w:nsid w:val="6A37288A"/>
    <w:multiLevelType w:val="hybridMultilevel"/>
    <w:lvl w:ilvl="0">
      <w:lvlJc w:val="left"/>
      <w:lvlText w:val="•"/>
      <w:numFmt w:val="bullet"/>
      <w:start w:val="1"/>
    </w:lvl>
  </w:abstractNum>
  <w:abstractNum w:abstractNumId="70">
    <w:nsid w:val="8F8B73F"/>
    <w:multiLevelType w:val="hybridMultilevel"/>
    <w:lvl w:ilvl="0">
      <w:lvlJc w:val="left"/>
      <w:lvlText w:val="•"/>
      <w:numFmt w:val="bullet"/>
      <w:start w:val="1"/>
    </w:lvl>
  </w:abstractNum>
  <w:abstractNum w:abstractNumId="71">
    <w:nsid w:val="CA6B462"/>
    <w:multiLevelType w:val="hybridMultilevel"/>
    <w:lvl w:ilvl="0">
      <w:lvlJc w:val="left"/>
      <w:lvlText w:val="•"/>
      <w:numFmt w:val="bullet"/>
      <w:start w:val="1"/>
    </w:lvl>
  </w:abstractNum>
  <w:abstractNum w:abstractNumId="72">
    <w:nsid w:val="763CB680"/>
    <w:multiLevelType w:val="hybridMultilevel"/>
    <w:lvl w:ilvl="0">
      <w:lvlJc w:val="left"/>
      <w:lvlText w:val="•"/>
      <w:numFmt w:val="bullet"/>
      <w:start w:val="1"/>
    </w:lvl>
  </w:abstractNum>
  <w:abstractNum w:abstractNumId="73">
    <w:nsid w:val="15B71329"/>
    <w:multiLevelType w:val="hybridMultilevel"/>
    <w:lvl w:ilvl="0">
      <w:lvlJc w:val="left"/>
      <w:lvlText w:val="(%1)"/>
      <w:numFmt w:val="lowerRoman"/>
      <w:start w:val="4"/>
    </w:lvl>
  </w:abstractNum>
  <w:abstractNum w:abstractNumId="74">
    <w:nsid w:val="3DA97044"/>
    <w:multiLevelType w:val="hybridMultilevel"/>
    <w:lvl w:ilvl="0">
      <w:lvlJc w:val="left"/>
      <w:lvlText w:val="•"/>
      <w:numFmt w:val="bullet"/>
      <w:start w:val="1"/>
    </w:lvl>
  </w:abstractNum>
  <w:abstractNum w:abstractNumId="75">
    <w:nsid w:val="1CDCE2DE"/>
    <w:multiLevelType w:val="hybridMultilevel"/>
    <w:lvl w:ilvl="0">
      <w:lvlJc w:val="left"/>
      <w:lvlText w:val="•"/>
      <w:numFmt w:val="bullet"/>
      <w:start w:val="1"/>
    </w:lvl>
  </w:abstractNum>
  <w:abstractNum w:abstractNumId="76">
    <w:nsid w:val="69D3947C"/>
    <w:multiLevelType w:val="hybridMultilevel"/>
    <w:lvl w:ilvl="0">
      <w:lvlJc w:val="left"/>
      <w:lvlText w:val="•"/>
      <w:numFmt w:val="bullet"/>
      <w:start w:val="1"/>
    </w:lvl>
  </w:abstractNum>
  <w:abstractNum w:abstractNumId="77">
    <w:nsid w:val="2539DFA5"/>
    <w:multiLevelType w:val="hybridMultilevel"/>
    <w:lvl w:ilvl="0">
      <w:lvlJc w:val="left"/>
      <w:lvlText w:val="•"/>
      <w:numFmt w:val="bullet"/>
      <w:start w:val="1"/>
    </w:lvl>
  </w:abstractNum>
  <w:abstractNum w:abstractNumId="78">
    <w:nsid w:val="2DB88089"/>
    <w:multiLevelType w:val="hybridMultilevel"/>
    <w:lvl w:ilvl="0">
      <w:lvlJc w:val="left"/>
      <w:lvlText w:val="•"/>
      <w:numFmt w:val="bullet"/>
      <w:start w:val="1"/>
    </w:lvl>
  </w:abstractNum>
  <w:abstractNum w:abstractNumId="79">
    <w:nsid w:val="706B674E"/>
    <w:multiLevelType w:val="hybridMultilevel"/>
    <w:lvl w:ilvl="0">
      <w:lvlJc w:val="left"/>
      <w:lvlText w:val="•"/>
      <w:numFmt w:val="bullet"/>
      <w:start w:val="1"/>
    </w:lvl>
  </w:abstractNum>
  <w:abstractNum w:abstractNumId="80">
    <w:nsid w:val="2C106A57"/>
    <w:multiLevelType w:val="hybridMultilevel"/>
    <w:lvl w:ilvl="0">
      <w:lvlJc w:val="left"/>
      <w:lvlText w:val="•"/>
      <w:numFmt w:val="bullet"/>
      <w:start w:val="1"/>
    </w:lvl>
  </w:abstractNum>
  <w:abstractNum w:abstractNumId="81">
    <w:nsid w:val="684EED59"/>
    <w:multiLevelType w:val="hybridMultilevel"/>
    <w:lvl w:ilvl="0">
      <w:lvlJc w:val="left"/>
      <w:lvlText w:val="•"/>
      <w:numFmt w:val="bullet"/>
      <w:start w:val="1"/>
    </w:lvl>
  </w:abstractNum>
  <w:abstractNum w:abstractNumId="82">
    <w:nsid w:val="545EE5D3"/>
    <w:multiLevelType w:val="hybridMultilevel"/>
    <w:lvl w:ilvl="0">
      <w:lvlJc w:val="left"/>
      <w:lvlText w:val="•"/>
      <w:numFmt w:val="bullet"/>
      <w:start w:val="1"/>
    </w:lvl>
  </w:abstractNum>
  <w:abstractNum w:abstractNumId="83">
    <w:nsid w:val="4A66051"/>
    <w:multiLevelType w:val="hybridMultilevel"/>
    <w:lvl w:ilvl="0">
      <w:lvlJc w:val="left"/>
      <w:lvlText w:val="•"/>
      <w:numFmt w:val="bullet"/>
      <w:start w:val="1"/>
    </w:lvl>
  </w:abstractNum>
  <w:abstractNum w:abstractNumId="84">
    <w:nsid w:val="20F4BDAD"/>
    <w:multiLevelType w:val="hybridMultilevel"/>
    <w:lvl w:ilvl="0">
      <w:lvlJc w:val="left"/>
      <w:lvlText w:val="•"/>
      <w:numFmt w:val="bullet"/>
      <w:start w:val="1"/>
    </w:lvl>
  </w:abstractNum>
  <w:abstractNum w:abstractNumId="85">
    <w:nsid w:val="639DEFAC"/>
    <w:multiLevelType w:val="hybridMultilevel"/>
    <w:lvl w:ilvl="0">
      <w:lvlJc w:val="left"/>
      <w:lvlText w:val="(%1)"/>
      <w:numFmt w:val="decimal"/>
      <w:start w:val="1"/>
    </w:lvl>
  </w:abstractNum>
  <w:abstractNum w:abstractNumId="86">
    <w:nsid w:val="501F9786"/>
    <w:multiLevelType w:val="hybridMultilevel"/>
    <w:lvl w:ilvl="0">
      <w:lvlJc w:val="left"/>
      <w:lvlText w:val="(%1)"/>
      <w:numFmt w:val="lowerRoman"/>
      <w:start w:val="3"/>
    </w:lvl>
  </w:abstractNum>
  <w:abstractNum w:abstractNumId="87">
    <w:nsid w:val="6B057295"/>
    <w:multiLevelType w:val="hybridMultilevel"/>
    <w:lvl w:ilvl="0">
      <w:lvlJc w:val="left"/>
      <w:lvlText w:val="•"/>
      <w:numFmt w:val="bullet"/>
      <w:start w:val="1"/>
    </w:lvl>
  </w:abstractNum>
  <w:abstractNum w:abstractNumId="88">
    <w:nsid w:val="2771AC80"/>
    <w:multiLevelType w:val="hybridMultilevel"/>
    <w:lvl w:ilvl="0">
      <w:lvlJc w:val="left"/>
      <w:lvlText w:val="*"/>
      <w:numFmt w:val="bullet"/>
      <w:start w:val="1"/>
    </w:lvl>
  </w:abstractNum>
  <w:abstractNum w:abstractNumId="89">
    <w:nsid w:val="1C4A08EC"/>
    <w:multiLevelType w:val="hybridMultilevel"/>
    <w:lvl w:ilvl="0">
      <w:lvlJc w:val="left"/>
      <w:lvlText w:val="(%1)"/>
      <w:numFmt w:val="decimal"/>
      <w:start w:val="1"/>
    </w:lvl>
  </w:abstractNum>
  <w:abstractNum w:abstractNumId="90">
    <w:nsid w:val="1958BD17"/>
    <w:multiLevelType w:val="hybridMultilevel"/>
    <w:lvl w:ilvl="0">
      <w:lvlJc w:val="left"/>
      <w:lvlText w:val="(%1)"/>
      <w:numFmt w:val="decimal"/>
      <w:start w:val="4"/>
    </w:lvl>
  </w:abstractNum>
  <w:abstractNum w:abstractNumId="91">
    <w:nsid w:val="4E647FE4"/>
    <w:multiLevelType w:val="hybridMultilevel"/>
    <w:lvl w:ilvl="0">
      <w:lvlJc w:val="left"/>
      <w:lvlText w:val="(%1)"/>
      <w:numFmt w:val="decimal"/>
      <w:start w:val="9"/>
    </w:lvl>
  </w:abstractNum>
  <w:abstractNum w:abstractNumId="92">
    <w:nsid w:val="E0BB885"/>
    <w:multiLevelType w:val="hybridMultilevel"/>
    <w:lvl w:ilvl="0">
      <w:lvlJc w:val="left"/>
      <w:lvlText w:val="•"/>
      <w:numFmt w:val="bullet"/>
      <w:start w:val="1"/>
    </w:lvl>
  </w:abstractNum>
  <w:abstractNum w:abstractNumId="93">
    <w:nsid w:val="565976F1"/>
    <w:multiLevelType w:val="hybridMultilevel"/>
    <w:lvl w:ilvl="0">
      <w:lvlJc w:val="left"/>
      <w:lvlText w:val="•"/>
      <w:numFmt w:val="bullet"/>
      <w:start w:val="1"/>
    </w:lvl>
  </w:abstractNum>
  <w:abstractNum w:abstractNumId="94">
    <w:nsid w:val="64212B8C"/>
    <w:multiLevelType w:val="hybridMultilevel"/>
    <w:lvl w:ilvl="0">
      <w:lvlJc w:val="left"/>
      <w:lvlText w:val="•"/>
      <w:numFmt w:val="bullet"/>
      <w:start w:val="1"/>
    </w:lvl>
  </w:abstractNum>
  <w:abstractNum w:abstractNumId="95">
    <w:nsid w:val="5C17530C"/>
    <w:multiLevelType w:val="hybridMultilevel"/>
    <w:lvl w:ilvl="0">
      <w:lvlJc w:val="left"/>
      <w:lvlText w:val="•"/>
      <w:numFmt w:val="bullet"/>
      <w:start w:val="1"/>
    </w:lvl>
  </w:abstractNum>
  <w:abstractNum w:abstractNumId="96">
    <w:nsid w:val="19A52566"/>
    <w:multiLevelType w:val="hybridMultilevel"/>
    <w:lvl w:ilvl="0">
      <w:lvlJc w:val="left"/>
      <w:lvlText w:val="•"/>
      <w:numFmt w:val="bullet"/>
      <w:start w:val="1"/>
    </w:lvl>
  </w:abstractNum>
  <w:abstractNum w:abstractNumId="97">
    <w:nsid w:val="335A1DF1"/>
    <w:multiLevelType w:val="hybridMultilevel"/>
    <w:lvl w:ilvl="0">
      <w:lvlJc w:val="left"/>
      <w:lvlText w:val="(%1)"/>
      <w:numFmt w:val="lowerRoman"/>
      <w:start w:val="2"/>
    </w:lvl>
  </w:abstractNum>
  <w:abstractNum w:abstractNumId="98">
    <w:nsid w:val="28677B7C"/>
    <w:multiLevelType w:val="hybridMultilevel"/>
    <w:lvl w:ilvl="0">
      <w:lvlJc w:val="left"/>
      <w:lvlText w:val="•"/>
      <w:numFmt w:val="bullet"/>
      <w:start w:val="1"/>
    </w:lvl>
  </w:abstractNum>
  <w:abstractNum w:abstractNumId="99">
    <w:nsid w:val="378D97C0"/>
    <w:multiLevelType w:val="hybridMultilevel"/>
    <w:lvl w:ilvl="0">
      <w:lvlJc w:val="left"/>
      <w:lvlText w:val="•"/>
      <w:numFmt w:val="bullet"/>
      <w:start w:val="1"/>
    </w:lvl>
  </w:abstractNum>
  <w:abstractNum w:abstractNumId="100">
    <w:nsid w:val="1D91467C"/>
    <w:multiLevelType w:val="hybridMultilevel"/>
    <w:lvl w:ilvl="0">
      <w:lvlJc w:val="left"/>
      <w:lvlText w:val="(%1)"/>
      <w:numFmt w:val="lowerRoman"/>
      <w:start w:val="1"/>
    </w:lvl>
  </w:abstractNum>
  <w:abstractNum w:abstractNumId="101">
    <w:nsid w:val="316032BB"/>
    <w:multiLevelType w:val="hybridMultilevel"/>
    <w:lvl w:ilvl="0">
      <w:lvlJc w:val="left"/>
      <w:lvlText w:val="•"/>
      <w:numFmt w:val="bullet"/>
      <w:start w:val="1"/>
    </w:lvl>
  </w:abstractNum>
  <w:abstractNum w:abstractNumId="102">
    <w:nsid w:val="44344C22"/>
    <w:multiLevelType w:val="hybridMultilevel"/>
    <w:lvl w:ilvl="0">
      <w:lvlJc w:val="left"/>
      <w:lvlText w:val="•"/>
      <w:numFmt w:val="bullet"/>
      <w:start w:val="1"/>
    </w:lvl>
  </w:abstractNum>
  <w:abstractNum w:abstractNumId="103">
    <w:nsid w:val="13CDFCFC"/>
    <w:multiLevelType w:val="hybridMultilevel"/>
    <w:lvl w:ilvl="0">
      <w:lvlJc w:val="left"/>
      <w:lvlText w:val="•"/>
      <w:numFmt w:val="bullet"/>
      <w:start w:val="1"/>
    </w:lvl>
  </w:abstractNum>
  <w:abstractNum w:abstractNumId="104">
    <w:nsid w:val="471745E4"/>
    <w:multiLevelType w:val="hybridMultilevel"/>
    <w:lvl w:ilvl="0">
      <w:lvlJc w:val="left"/>
      <w:lvlText w:val="•"/>
      <w:numFmt w:val="bullet"/>
      <w:start w:val="1"/>
    </w:lvl>
  </w:abstractNum>
  <w:abstractNum w:abstractNumId="105">
    <w:nsid w:val="1DDBC66"/>
    <w:multiLevelType w:val="hybridMultilevel"/>
    <w:lvl w:ilvl="0">
      <w:lvlJc w:val="left"/>
      <w:lvlText w:val="(%1)"/>
      <w:numFmt w:val="lowerRoman"/>
      <w:start w:val="2"/>
    </w:lvl>
  </w:abstractNum>
  <w:abstractNum w:abstractNumId="106">
    <w:nsid w:val="30AADFDA"/>
    <w:multiLevelType w:val="hybridMultilevel"/>
    <w:lvl w:ilvl="0">
      <w:lvlJc w:val="left"/>
      <w:lvlText w:val="•"/>
      <w:numFmt w:val="bullet"/>
      <w:start w:val="1"/>
    </w:lvl>
  </w:abstractNum>
  <w:abstractNum w:abstractNumId="107">
    <w:nsid w:val="30EADA61"/>
    <w:multiLevelType w:val="hybridMultilevel"/>
    <w:lvl w:ilvl="0">
      <w:lvlJc w:val="left"/>
      <w:lvlText w:val="•"/>
      <w:numFmt w:val="bullet"/>
      <w:start w:val="1"/>
    </w:lvl>
  </w:abstractNum>
  <w:abstractNum w:abstractNumId="108">
    <w:nsid w:val="27179C0B"/>
    <w:multiLevelType w:val="hybridMultilevel"/>
    <w:lvl w:ilvl="0">
      <w:lvlJc w:val="left"/>
      <w:lvlText w:val="•"/>
      <w:numFmt w:val="bullet"/>
      <w:start w:val="1"/>
    </w:lvl>
  </w:abstractNum>
  <w:abstractNum w:abstractNumId="109">
    <w:nsid w:val="5E636063"/>
    <w:multiLevelType w:val="hybridMultilevel"/>
    <w:lvl w:ilvl="0">
      <w:lvlJc w:val="left"/>
      <w:lvlText w:val="•"/>
      <w:numFmt w:val="bullet"/>
      <w:start w:val="1"/>
    </w:lvl>
  </w:abstractNum>
  <w:abstractNum w:abstractNumId="110">
    <w:nsid w:val="215641AF"/>
    <w:multiLevelType w:val="hybridMultilevel"/>
    <w:lvl w:ilvl="0">
      <w:lvlJc w:val="left"/>
      <w:lvlText w:val="•"/>
      <w:numFmt w:val="bullet"/>
      <w:start w:val="1"/>
    </w:lvl>
  </w:abstractNum>
  <w:abstractNum w:abstractNumId="111">
    <w:nsid w:val="53280662"/>
    <w:multiLevelType w:val="hybridMultilevel"/>
    <w:lvl w:ilvl="0">
      <w:lvlJc w:val="left"/>
      <w:lvlText w:val="•"/>
      <w:numFmt w:val="bullet"/>
      <w:start w:val="1"/>
    </w:lvl>
  </w:abstractNum>
  <w:abstractNum w:abstractNumId="112">
    <w:nsid w:val="46B24DBC"/>
    <w:multiLevelType w:val="hybridMultilevel"/>
    <w:lvl w:ilvl="0">
      <w:lvlJc w:val="left"/>
      <w:lvlText w:val="(%1)"/>
      <w:numFmt w:val="lowerRoman"/>
      <w:start w:val="2"/>
    </w:lvl>
  </w:abstractNum>
  <w:abstractNum w:abstractNumId="113">
    <w:nsid w:val="75B52783"/>
    <w:multiLevelType w:val="hybridMultilevel"/>
    <w:lvl w:ilvl="0">
      <w:lvlJc w:val="left"/>
      <w:lvlText w:val="(%1)"/>
      <w:numFmt w:val="lowerRoman"/>
      <w:start w:val="2"/>
    </w:lvl>
  </w:abstractNum>
  <w:abstractNum w:abstractNumId="114">
    <w:nsid w:val="57CE66B4"/>
    <w:multiLevelType w:val="hybridMultilevel"/>
    <w:lvl w:ilvl="0">
      <w:lvlJc w:val="left"/>
      <w:lvlText w:val="%1."/>
      <w:numFmt w:val="lowerRoman"/>
      <w:start w:val="1"/>
    </w:lvl>
  </w:abstractNum>
  <w:abstractNum w:abstractNumId="115">
    <w:nsid w:val="67A70B69"/>
    <w:multiLevelType w:val="hybridMultilevel"/>
    <w:lvl w:ilvl="0">
      <w:lvlJc w:val="left"/>
      <w:lvlText w:val="%1."/>
      <w:numFmt w:val="lowerRoman"/>
      <w:start w:val="4"/>
    </w:lvl>
  </w:abstractNum>
  <w:abstractNum w:abstractNumId="116">
    <w:nsid w:val="5953172F"/>
    <w:multiLevelType w:val="hybridMultilevel"/>
    <w:lvl w:ilvl="0">
      <w:lvlJc w:val="left"/>
      <w:lvlText w:val="•"/>
      <w:numFmt w:val="bullet"/>
      <w:start w:val="1"/>
    </w:lvl>
  </w:abstractNum>
  <w:abstractNum w:abstractNumId="117">
    <w:nsid w:val="27EDFE3A"/>
    <w:multiLevelType w:val="hybridMultilevel"/>
    <w:lvl w:ilvl="0">
      <w:lvlJc w:val="left"/>
      <w:lvlText w:val="•"/>
      <w:numFmt w:val="bullet"/>
      <w:start w:val="1"/>
    </w:lvl>
  </w:abstractNum>
  <w:abstractNum w:abstractNumId="118">
    <w:nsid w:val="52AC7DFF"/>
    <w:multiLevelType w:val="hybridMultilevel"/>
    <w:lvl w:ilvl="0">
      <w:lvlJc w:val="left"/>
      <w:lvlText w:val="•"/>
      <w:numFmt w:val="bullet"/>
      <w:start w:val="1"/>
    </w:lvl>
  </w:abstractNum>
  <w:abstractNum w:abstractNumId="119">
    <w:nsid w:val="C4C3AF"/>
    <w:multiLevelType w:val="hybridMultilevel"/>
    <w:lvl w:ilvl="0">
      <w:lvlJc w:val="left"/>
      <w:lvlText w:val="%1."/>
      <w:numFmt w:val="lowerRoman"/>
      <w:start w:val="1"/>
    </w:lvl>
  </w:abstractNum>
  <w:abstractNum w:abstractNumId="120">
    <w:nsid w:val="44380727"/>
    <w:multiLevelType w:val="hybridMultilevel"/>
    <w:lvl w:ilvl="0">
      <w:lvlJc w:val="left"/>
      <w:lvlText w:val="%1."/>
      <w:numFmt w:val="lowerRoman"/>
      <w:start w:val="1"/>
    </w:lvl>
  </w:abstractNum>
  <w:abstractNum w:abstractNumId="121">
    <w:nsid w:val="6C053B16"/>
    <w:multiLevelType w:val="hybridMultilevel"/>
    <w:lvl w:ilvl="0">
      <w:lvlJc w:val="left"/>
      <w:lvlText w:val="%1."/>
      <w:numFmt w:val="lowerRoman"/>
      <w:start w:val="1"/>
    </w:lvl>
  </w:abstractNum>
  <w:abstractNum w:abstractNumId="122">
    <w:nsid w:val="4F294393"/>
    <w:multiLevelType w:val="hybridMultilevel"/>
    <w:lvl w:ilvl="0">
      <w:lvlJc w:val="left"/>
      <w:lvlText w:val="•"/>
      <w:numFmt w:val="bullet"/>
      <w:start w:val="1"/>
    </w:lvl>
  </w:abstractNum>
  <w:abstractNum w:abstractNumId="123">
    <w:nsid w:val="5243BFAC"/>
    <w:multiLevelType w:val="hybridMultilevel"/>
    <w:lvl w:ilvl="0">
      <w:lvlJc w:val="left"/>
      <w:lvlText w:val="%1)"/>
      <w:numFmt w:val="lowerLetter"/>
      <w:start w:val="1"/>
    </w:lvl>
  </w:abstractNum>
  <w:abstractNum w:abstractNumId="124">
    <w:nsid w:val="425EB207"/>
    <w:multiLevelType w:val="hybridMultilevel"/>
    <w:lvl w:ilvl="0">
      <w:lvlJc w:val="left"/>
      <w:lvlText w:val="%1)"/>
      <w:numFmt w:val="lowerLetter"/>
      <w:start w:val="1"/>
    </w:lvl>
  </w:abstractNum>
  <w:abstractNum w:abstractNumId="125">
    <w:nsid w:val="334A6F1F"/>
    <w:multiLevelType w:val="hybridMultilevel"/>
    <w:lvl w:ilvl="0">
      <w:lvlJc w:val="left"/>
      <w:lvlText w:val="%1)"/>
      <w:numFmt w:val="lowerLetter"/>
      <w:start w:val="11"/>
    </w:lvl>
  </w:abstractNum>
  <w:abstractNum w:abstractNumId="126">
    <w:nsid w:val="2E5B12B8"/>
    <w:multiLevelType w:val="hybridMultilevel"/>
    <w:lvl w:ilvl="0">
      <w:lvlJc w:val="left"/>
      <w:lvlText w:val="(%1)"/>
      <w:numFmt w:val="lowerLetter"/>
      <w:start w:val="1"/>
    </w:lvl>
  </w:abstractNum>
  <w:abstractNum w:abstractNumId="127">
    <w:nsid w:val="5C03D76D"/>
    <w:multiLevelType w:val="hybridMultilevel"/>
    <w:lvl w:ilvl="0">
      <w:lvlJc w:val="left"/>
      <w:lvlText w:val="(%1)"/>
      <w:numFmt w:val="lowerLetter"/>
      <w:start w:val="1"/>
    </w:lvl>
  </w:abstractNum>
  <w:abstractNum w:abstractNumId="128">
    <w:nsid w:val="66A48D11"/>
    <w:multiLevelType w:val="hybridMultilevel"/>
    <w:lvl w:ilvl="0">
      <w:lvlJc w:val="left"/>
      <w:lvlText w:val="(%1)"/>
      <w:numFmt w:val="lowerLetter"/>
      <w:start w:val="1"/>
    </w:lvl>
  </w:abstractNum>
  <w:abstractNum w:abstractNumId="129">
    <w:nsid w:val="56C28E34"/>
    <w:multiLevelType w:val="hybridMultilevel"/>
    <w:lvl w:ilvl="0">
      <w:lvlJc w:val="left"/>
      <w:lvlText w:val="%1."/>
      <w:numFmt w:val="decimal"/>
      <w:start w:val="1"/>
    </w:lvl>
  </w:abstractNum>
  <w:abstractNum w:abstractNumId="130">
    <w:nsid w:val="13916F2D"/>
    <w:multiLevelType w:val="hybridMultilevel"/>
    <w:lvl w:ilvl="0">
      <w:lvlJc w:val="left"/>
      <w:lvlText w:val="%1."/>
      <w:numFmt w:val="decimal"/>
      <w:start w:val="2"/>
    </w:lvl>
  </w:abstractNum>
  <w:abstractNum w:abstractNumId="131">
    <w:nsid w:val="435D38D"/>
    <w:multiLevelType w:val="hybridMultilevel"/>
    <w:lvl w:ilvl="0">
      <w:lvlJc w:val="left"/>
      <w:lvlText w:val="•"/>
      <w:numFmt w:val="bullet"/>
      <w:start w:val="1"/>
    </w:lvl>
  </w:abstractNum>
  <w:abstractNum w:abstractNumId="132">
    <w:nsid w:val="822C0EF"/>
    <w:multiLevelType w:val="hybridMultilevel"/>
    <w:lvl w:ilvl="0">
      <w:lvlJc w:val="left"/>
      <w:lvlText w:val="•"/>
      <w:numFmt w:val="bullet"/>
      <w:start w:val="1"/>
    </w:lvl>
  </w:abstractNum>
  <w:abstractNum w:abstractNumId="133">
    <w:nsid w:val="57C5BB4F"/>
    <w:multiLevelType w:val="hybridMultilevel"/>
    <w:lvl w:ilvl="0">
      <w:lvlJc w:val="left"/>
      <w:lvlText w:val="•"/>
      <w:numFmt w:val="bullet"/>
      <w:start w:val="1"/>
    </w:lvl>
  </w:abstractNum>
  <w:abstractNum w:abstractNumId="134">
    <w:nsid w:val="1803D089"/>
    <w:multiLevelType w:val="hybridMultilevel"/>
    <w:lvl w:ilvl="0">
      <w:lvlJc w:val="left"/>
      <w:lvlText w:val="%1)"/>
      <w:numFmt w:val="lowerRoman"/>
      <w:start w:val="1"/>
    </w:lvl>
  </w:abstractNum>
  <w:abstractNum w:abstractNumId="135">
    <w:nsid w:val="4F3A06D4"/>
    <w:multiLevelType w:val="hybridMultilevel"/>
    <w:lvl w:ilvl="0">
      <w:lvlJc w:val="left"/>
      <w:lvlText w:val="%1)"/>
      <w:numFmt w:val="lowerRoman"/>
      <w:start w:val="1"/>
    </w:lvl>
  </w:abstractNum>
  <w:abstractNum w:abstractNumId="136">
    <w:nsid w:val="59A377B6"/>
    <w:multiLevelType w:val="hybridMultilevel"/>
    <w:lvl w:ilvl="0">
      <w:lvlJc w:val="left"/>
      <w:lvlText w:val="%1)"/>
      <w:numFmt w:val="lowerLetter"/>
      <w:start w:val="1"/>
    </w:lvl>
  </w:abstractNum>
  <w:abstractNum w:abstractNumId="137">
    <w:nsid w:val="48AEB063"/>
    <w:multiLevelType w:val="hybridMultilevel"/>
    <w:lvl w:ilvl="0">
      <w:lvlJc w:val="left"/>
      <w:lvlText w:val="\endash "/>
      <w:numFmt w:val="bullet"/>
      <w:start w:val="1"/>
    </w:lvl>
  </w:abstractNum>
  <w:abstractNum w:abstractNumId="138">
    <w:nsid w:val="24E135"/>
    <w:multiLevelType w:val="hybridMultilevel"/>
    <w:lvl w:ilvl="0">
      <w:lvlJc w:val="left"/>
      <w:lvlText w:val="%1)"/>
      <w:numFmt w:val="lowerLetter"/>
      <w:start w:val="2"/>
    </w:lvl>
  </w:abstractNum>
  <w:abstractNum w:abstractNumId="139">
    <w:nsid w:val="BB13C1"/>
    <w:multiLevelType w:val="hybridMultilevel"/>
    <w:lvl w:ilvl="0">
      <w:lvlJc w:val="left"/>
      <w:lvlText w:val="%1."/>
      <w:numFmt w:val="decimal"/>
      <w:start w:val="4"/>
    </w:lvl>
    <w:lvl w:ilvl="1">
      <w:lvlJc w:val="left"/>
      <w:lvlText w:val="\endash "/>
      <w:numFmt w:val="bullet"/>
      <w:start w:val="1"/>
    </w:lvl>
  </w:abstractNum>
  <w:abstractNum w:abstractNumId="140">
    <w:nsid w:val="271210C7"/>
    <w:multiLevelType w:val="hybridMultilevel"/>
    <w:lvl w:ilvl="0">
      <w:lvlJc w:val="left"/>
      <w:lvlText w:val="•"/>
      <w:numFmt w:val="bullet"/>
      <w:start w:val="1"/>
    </w:lvl>
  </w:abstractNum>
  <w:abstractNum w:abstractNumId="141">
    <w:nsid w:val="217B22E4"/>
    <w:multiLevelType w:val="hybridMultilevel"/>
    <w:lvl w:ilvl="0">
      <w:lvlJc w:val="left"/>
      <w:lvlText w:val="%1."/>
      <w:numFmt w:val="decimal"/>
      <w:start w:val="2"/>
    </w:lvl>
  </w:abstractNum>
  <w:abstractNum w:abstractNumId="142">
    <w:nsid w:val="53E31A24"/>
    <w:multiLevelType w:val="hybridMultilevel"/>
    <w:lvl w:ilvl="0">
      <w:lvlJc w:val="left"/>
      <w:lvlText w:val="•"/>
      <w:numFmt w:val="bullet"/>
      <w:start w:val="1"/>
    </w:lvl>
  </w:abstractNum>
  <w:abstractNum w:abstractNumId="143">
    <w:nsid w:val="6DC45E83"/>
    <w:multiLevelType w:val="hybridMultilevel"/>
    <w:lvl w:ilvl="0">
      <w:lvlJc w:val="left"/>
      <w:lvlText w:val="•"/>
      <w:numFmt w:val="bullet"/>
      <w:start w:val="1"/>
    </w:lvl>
  </w:abstractNum>
  <w:abstractNum w:abstractNumId="144">
    <w:nsid w:val="17304A67"/>
    <w:multiLevelType w:val="hybridMultilevel"/>
    <w:lvl w:ilvl="0">
      <w:lvlJc w:val="left"/>
      <w:lvlText w:val="•"/>
      <w:numFmt w:val="bullet"/>
      <w:start w:val="1"/>
    </w:lvl>
  </w:abstractNum>
  <w:abstractNum w:abstractNumId="145">
    <w:nsid w:val="2BB180D8"/>
    <w:multiLevelType w:val="hybridMultilevel"/>
    <w:lvl w:ilvl="0">
      <w:lvlJc w:val="left"/>
      <w:lvlText w:val="**"/>
      <w:numFmt w:val="bullet"/>
      <w:start w:val="1"/>
    </w:lvl>
  </w:abstractNum>
  <w:abstractNum w:abstractNumId="146">
    <w:nsid w:val="556B69ED"/>
    <w:multiLevelType w:val="hybridMultilevel"/>
    <w:lvl w:ilvl="0">
      <w:lvlJc w:val="left"/>
      <w:lvlText w:val="†"/>
      <w:numFmt w:val="bullet"/>
      <w:start w:val="1"/>
    </w:lvl>
  </w:abstractNum>
  <w:abstractNum w:abstractNumId="147">
    <w:nsid w:val="70836196"/>
    <w:multiLevelType w:val="hybridMultilevel"/>
    <w:lvl w:ilvl="0">
      <w:lvlJc w:val="left"/>
      <w:lvlText w:val="(%1)"/>
      <w:numFmt w:val="lowerLetter"/>
      <w:start w:val="1"/>
    </w:lvl>
    <w:lvl w:ilvl="1">
      <w:lvlJc w:val="left"/>
      <w:lvlText w:val="(%2)"/>
      <w:numFmt w:val="decimal"/>
      <w:start w:val="1"/>
    </w:lvl>
  </w:abstractNum>
  <w:abstractNum w:abstractNumId="148">
    <w:nsid w:val="539F7F12"/>
    <w:multiLevelType w:val="hybridMultilevel"/>
    <w:lvl w:ilvl="0">
      <w:lvlJc w:val="left"/>
      <w:lvlText w:val="%1"/>
      <w:numFmt w:val="lowerLetter"/>
      <w:start w:val="1"/>
    </w:lvl>
    <w:lvl w:ilvl="1">
      <w:lvlJc w:val="left"/>
      <w:lvlText w:val="%2."/>
      <w:numFmt w:val="decimal"/>
      <w:start w:val="1"/>
    </w:lvl>
  </w:abstractNum>
  <w:abstractNum w:abstractNumId="149">
    <w:nsid w:val="2817E7EC"/>
    <w:multiLevelType w:val="hybridMultilevel"/>
    <w:lvl w:ilvl="0">
      <w:lvlJc w:val="left"/>
      <w:lvlText w:val="(%1)"/>
      <w:numFmt w:val="lowerLetter"/>
      <w:start w:val="1"/>
    </w:lvl>
    <w:lvl w:ilvl="1">
      <w:lvlJc w:val="left"/>
      <w:lvlText w:val="%2"/>
      <w:numFmt w:val="decimal"/>
      <w:start w:val="1"/>
    </w:lvl>
  </w:abstractNum>
  <w:abstractNum w:abstractNumId="150">
    <w:nsid w:val="71482545"/>
    <w:multiLevelType w:val="hybridMultilevel"/>
    <w:lvl w:ilvl="0">
      <w:lvlJc w:val="left"/>
      <w:lvlText w:val="(%1)"/>
      <w:numFmt w:val="lowerLetter"/>
      <w:start w:val="2"/>
    </w:lvl>
  </w:abstractNum>
  <w:abstractNum w:abstractNumId="151">
    <w:nsid w:val="17D78639"/>
    <w:multiLevelType w:val="hybridMultilevel"/>
    <w:lvl w:ilvl="0">
      <w:lvlJc w:val="left"/>
      <w:lvlText w:val="(%1)"/>
      <w:numFmt w:val="lowerLetter"/>
      <w:start w:val="4"/>
    </w:lvl>
  </w:abstractNum>
  <w:abstractNum w:abstractNumId="152">
    <w:nsid w:val="141D2302"/>
    <w:multiLevelType w:val="hybridMultilevel"/>
    <w:lvl w:ilvl="0">
      <w:lvlJc w:val="left"/>
      <w:lvlText w:val="(%1)"/>
      <w:numFmt w:val="lowerLetter"/>
      <w:start w:val="9"/>
    </w:lvl>
  </w:abstractNum>
  <w:abstractNum w:abstractNumId="153">
    <w:nsid w:val="407168D8"/>
    <w:multiLevelType w:val="hybridMultilevel"/>
    <w:lvl w:ilvl="0">
      <w:lvlJc w:val="left"/>
      <w:lvlText w:val="%1"/>
      <w:numFmt w:val="lowerLetter"/>
      <w:start w:val="1"/>
    </w:lvl>
    <w:lvl w:ilvl="1">
      <w:lvlJc w:val="left"/>
      <w:lvlText w:val="(%2)"/>
      <w:numFmt w:val="lowerLetter"/>
      <w:start w:val="13"/>
    </w:lvl>
  </w:abstractNum>
  <w:abstractNum w:abstractNumId="154">
    <w:nsid w:val="6A1B45E5"/>
    <w:multiLevelType w:val="hybridMultilevel"/>
    <w:lvl w:ilvl="0">
      <w:lvlJc w:val="left"/>
      <w:lvlText w:val="(%1)"/>
      <w:numFmt w:val="lowerLetter"/>
      <w:start w:val="9"/>
    </w:lvl>
    <w:lvl w:ilvl="1">
      <w:lvlJc w:val="left"/>
      <w:lvlText w:val="%2"/>
      <w:numFmt w:val="lowerLetter"/>
      <w:start w:val="1"/>
    </w:lvl>
  </w:abstractNum>
  <w:abstractNum w:abstractNumId="155">
    <w:nsid w:val="567BD50A"/>
    <w:multiLevelType w:val="hybridMultilevel"/>
    <w:lvl w:ilvl="0">
      <w:lvlJc w:val="left"/>
      <w:lvlText w:val="(%1)"/>
      <w:numFmt w:val="lowerLetter"/>
      <w:start w:val="26"/>
    </w:lvl>
    <w:lvl w:ilvl="1">
      <w:lvlJc w:val="left"/>
      <w:lvlText w:val="(%2)"/>
      <w:numFmt w:val="lowerLetter"/>
      <w:start w:val="16"/>
    </w:lvl>
  </w:abstractNum>
  <w:abstractNum w:abstractNumId="156">
    <w:nsid w:val="73BBD7F8"/>
    <w:multiLevelType w:val="hybridMultilevel"/>
    <w:lvl w:ilvl="0">
      <w:lvlJc w:val="left"/>
      <w:lvlText w:val="(%1)"/>
      <w:numFmt w:val="lowerLetter"/>
      <w:start w:val="18"/>
    </w:lvl>
    <w:lvl w:ilvl="1">
      <w:lvlJc w:val="left"/>
      <w:lvlText w:val="(%2)"/>
      <w:numFmt w:val="upperLetter"/>
      <w:start w:val="1"/>
    </w:lvl>
  </w:abstractNum>
  <w:abstractNum w:abstractNumId="157">
    <w:nsid w:val="1876589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58">
    <w:nsid w:val="327FAC7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9">
    <w:nsid w:val="5A606509"/>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160">
    <w:nsid w:val="6F38E6D1"/>
    <w:multiLevelType w:val="hybridMultilevel"/>
    <w:lvl w:ilvl="0">
      <w:lvlJc w:val="left"/>
      <w:lvlText w:val="(%1)"/>
      <w:numFmt w:val="lowerLetter"/>
      <w:start w:val="22"/>
    </w:lvl>
  </w:abstractNum>
  <w:abstractNum w:abstractNumId="161">
    <w:nsid w:val="46111BA5"/>
    <w:multiLevelType w:val="hybridMultilevel"/>
    <w:lvl w:ilvl="0">
      <w:lvlJc w:val="left"/>
      <w:lvlText w:val="(%1)"/>
      <w:numFmt w:val="lowerLetter"/>
      <w:start w:val="24"/>
    </w:lvl>
  </w:abstractNum>
  <w:abstractNum w:abstractNumId="162">
    <w:nsid w:val="5E963896"/>
    <w:multiLevelType w:val="hybridMultilevel"/>
    <w:lvl w:ilvl="0">
      <w:lvlJc w:val="left"/>
      <w:lvlText w:val="(%1)"/>
      <w:numFmt w:val="lowerLetter"/>
      <w:start w:val="27"/>
    </w:lvl>
  </w:abstractNum>
  <w:abstractNum w:abstractNumId="163">
    <w:nsid w:val="775BA7C1"/>
    <w:multiLevelType w:val="hybridMultilevel"/>
    <w:lvl w:ilvl="0">
      <w:lvlJc w:val="left"/>
      <w:lvlText w:val="(%1)"/>
      <w:numFmt w:val="lowerLetter"/>
      <w:start w:val="32"/>
    </w:lvl>
  </w:abstractNum>
  <w:abstractNum w:abstractNumId="164">
    <w:nsid w:val="1DD6D6F4"/>
    <w:multiLevelType w:val="hybridMultilevel"/>
    <w:lvl w:ilvl="0">
      <w:lvlJc w:val="left"/>
      <w:lvlText w:val="(%1)"/>
      <w:numFmt w:val="lowerLetter"/>
      <w:start w:val="34"/>
    </w:lvl>
  </w:abstractNum>
  <w:abstractNum w:abstractNumId="165">
    <w:nsid w:val="769A091F"/>
    <w:multiLevelType w:val="hybridMultilevel"/>
    <w:lvl w:ilvl="0">
      <w:lvlJc w:val="left"/>
      <w:lvlText w:val="(%1)"/>
      <w:numFmt w:val="lowerLetter"/>
      <w:start w:val="37"/>
    </w:lvl>
  </w:abstractNum>
  <w:abstractNum w:abstractNumId="166">
    <w:nsid w:val="4695AE95"/>
    <w:multiLevelType w:val="hybridMultilevel"/>
    <w:lvl w:ilvl="0">
      <w:lvlJc w:val="left"/>
      <w:lvlText w:val="(%1)"/>
      <w:numFmt w:val="lowerLetter"/>
      <w:start w:val="42"/>
    </w:lvl>
  </w:abstractNum>
  <w:abstractNum w:abstractNumId="167">
    <w:nsid w:val="777A4EAA"/>
    <w:multiLevelType w:val="hybridMultilevel"/>
    <w:lvl w:ilvl="0">
      <w:lvlJc w:val="left"/>
      <w:lvlText w:val="(%1)"/>
      <w:numFmt w:val="lowerLetter"/>
      <w:start w:val="46"/>
    </w:lvl>
  </w:abstractNum>
  <w:abstractNum w:abstractNumId="168">
    <w:nsid w:val="3F48B982"/>
    <w:multiLevelType w:val="hybridMultilevel"/>
    <w:lvl w:ilvl="0">
      <w:lvlJc w:val="left"/>
      <w:lvlText w:val="(%1)"/>
      <w:numFmt w:val="lowerLetter"/>
      <w:start w:val="53"/>
    </w:lvl>
  </w:abstractNum>
  <w:abstractNum w:abstractNumId="169">
    <w:nsid w:val="46BA8FCA"/>
    <w:multiLevelType w:val="hybridMultilevel"/>
    <w:lvl w:ilvl="0">
      <w:lvlJc w:val="left"/>
      <w:lvlText w:val="%1."/>
      <w:numFmt w:val="decimal"/>
      <w:start w:val="2"/>
    </w:lvl>
  </w:abstractNum>
  <w:abstractNum w:abstractNumId="170">
    <w:nsid w:val="7835626C"/>
    <w:multiLevelType w:val="hybridMultilevel"/>
    <w:lvl w:ilvl="0">
      <w:lvlJc w:val="left"/>
      <w:lvlText w:val="%1."/>
      <w:numFmt w:val="decimal"/>
      <w:start w:val="3"/>
    </w:lvl>
  </w:abstractNum>
  <w:abstractNum w:abstractNumId="171">
    <w:nsid w:val="665ACA49"/>
    <w:multiLevelType w:val="hybridMultilevel"/>
    <w:lvl w:ilvl="0">
      <w:lvlJc w:val="left"/>
      <w:lvlText w:val="%1."/>
      <w:numFmt w:val="decimal"/>
      <w:start w:val="5"/>
    </w:lvl>
  </w:abstractNum>
  <w:abstractNum w:abstractNumId="172">
    <w:nsid w:val="6835B2AE"/>
    <w:multiLevelType w:val="hybridMultilevel"/>
    <w:lvl w:ilvl="0">
      <w:lvlJc w:val="left"/>
      <w:lvlText w:val="(%1)"/>
      <w:numFmt w:val="lowerLetter"/>
      <w:start w:val="1"/>
    </w:lvl>
    <w:lvl w:ilvl="1">
      <w:lvlJc w:val="left"/>
      <w:lvlText w:val="(%2)"/>
      <w:numFmt w:val="lowerRoman"/>
      <w:start w:val="1"/>
    </w:lvl>
  </w:abstractNum>
  <w:abstractNum w:abstractNumId="173">
    <w:nsid w:val="4C187C90"/>
    <w:multiLevelType w:val="hybridMultilevel"/>
    <w:lvl w:ilvl="0">
      <w:lvlJc w:val="left"/>
      <w:lvlText w:val="(%1)"/>
      <w:numFmt w:val="lowerLetter"/>
      <w:start w:val="3"/>
    </w:lvl>
  </w:abstractNum>
  <w:abstractNum w:abstractNumId="174">
    <w:nsid w:val="541F28CD"/>
    <w:multiLevelType w:val="hybridMultilevel"/>
    <w:lvl w:ilvl="0">
      <w:lvlJc w:val="left"/>
      <w:lvlText w:val="(%1)"/>
      <w:numFmt w:val="lowerLetter"/>
      <w:start w:val="4"/>
    </w:lvl>
  </w:abstractNum>
  <w:abstractNum w:abstractNumId="175">
    <w:nsid w:val="7F65FD16"/>
    <w:multiLevelType w:val="hybridMultilevel"/>
    <w:lvl w:ilvl="0">
      <w:lvlJc w:val="left"/>
      <w:lvlText w:val="(%1)"/>
      <w:numFmt w:val="lowerLetter"/>
      <w:start w:val="8"/>
    </w:lvl>
  </w:abstractNum>
  <w:abstractNum w:abstractNumId="176">
    <w:nsid w:val="77C9FD68"/>
    <w:multiLevelType w:val="hybridMultilevel"/>
    <w:lvl w:ilvl="0">
      <w:lvlJc w:val="left"/>
      <w:lvlText w:val="(%1)"/>
      <w:numFmt w:val="lowerLetter"/>
      <w:start w:val="11"/>
    </w:lvl>
    <w:lvl w:ilvl="1">
      <w:lvlJc w:val="left"/>
      <w:lvlText w:val="(%2)"/>
      <w:numFmt w:val="lowerRoman"/>
      <w:start w:val="1"/>
    </w:lvl>
  </w:abstractNum>
  <w:abstractNum w:abstractNumId="177">
    <w:nsid w:val="298A92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78">
    <w:nsid w:val="6FE95EA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9">
    <w:nsid w:val="4B697C7A"/>
    <w:multiLevelType w:val="hybridMultilevel"/>
    <w:lvl w:ilvl="0">
      <w:lvlJc w:val="left"/>
      <w:lvlText w:val="(%1)"/>
      <w:numFmt w:val="lowerLetter"/>
      <w:start w:val="5"/>
    </w:lvl>
  </w:abstractNum>
  <w:abstractNum w:abstractNumId="180">
    <w:nsid w:val="51A27AA6"/>
    <w:multiLevelType w:val="hybridMultilevel"/>
    <w:lvl w:ilvl="0">
      <w:lvlJc w:val="left"/>
      <w:lvlText w:val="%1"/>
      <w:numFmt w:val="lowerLetter"/>
      <w:start w:val="1"/>
    </w:lvl>
    <w:lvl w:ilvl="1">
      <w:lvlJc w:val="left"/>
      <w:lvlText w:val="(%2)"/>
      <w:numFmt w:val="lowerLetter"/>
      <w:start w:val="8"/>
    </w:lvl>
  </w:abstractNum>
  <w:abstractNum w:abstractNumId="181">
    <w:nsid w:val="613183F2"/>
    <w:multiLevelType w:val="hybridMultilevel"/>
    <w:lvl w:ilvl="0">
      <w:lvlJc w:val="left"/>
      <w:lvlText w:val="(%1)"/>
      <w:numFmt w:val="lowerLetter"/>
      <w:start w:val="61"/>
    </w:lvl>
    <w:lvl w:ilvl="1">
      <w:lvlJc w:val="left"/>
      <w:lvlText w:val="%2"/>
      <w:numFmt w:val="lowerLetter"/>
      <w:start w:val="1"/>
    </w:lvl>
  </w:abstractNum>
  <w:abstractNum w:abstractNumId="182">
    <w:nsid w:val="634102B4"/>
    <w:multiLevelType w:val="hybridMultilevel"/>
    <w:lvl w:ilvl="0">
      <w:lvlJc w:val="left"/>
      <w:lvlText w:val="(%1)"/>
      <w:numFmt w:val="lowerLetter"/>
      <w:start w:val="11"/>
    </w:lvl>
  </w:abstractNum>
  <w:abstractNum w:abstractNumId="183">
    <w:nsid w:val="65BF9DA8"/>
    <w:multiLevelType w:val="hybridMultilevel"/>
    <w:lvl w:ilvl="0">
      <w:lvlJc w:val="left"/>
      <w:lvlText w:val="(%1)"/>
      <w:numFmt w:val="lowerLetter"/>
      <w:start w:val="14"/>
    </w:lvl>
  </w:abstractNum>
  <w:abstractNum w:abstractNumId="184">
    <w:nsid w:val="21A2ECCA"/>
    <w:multiLevelType w:val="hybridMultilevel"/>
    <w:lvl w:ilvl="0">
      <w:lvlJc w:val="left"/>
      <w:lvlText w:val="(%1)"/>
      <w:numFmt w:val="decimal"/>
      <w:start w:val="1"/>
    </w:lvl>
  </w:abstractNum>
  <w:abstractNum w:abstractNumId="185">
    <w:nsid w:val="4D5C4899"/>
    <w:multiLevelType w:val="hybridMultilevel"/>
    <w:lvl w:ilvl="0">
      <w:lvlJc w:val="left"/>
      <w:lvlText w:val="%1."/>
      <w:numFmt w:val="decimal"/>
      <w:start w:val="7"/>
    </w:lvl>
  </w:abstractNum>
  <w:abstractNum w:abstractNumId="186">
    <w:nsid w:val="3C3B72B2"/>
    <w:multiLevelType w:val="hybridMultilevel"/>
    <w:lvl w:ilvl="0">
      <w:lvlJc w:val="left"/>
      <w:lvlText w:val="(%1)"/>
      <w:numFmt w:val="lowerLetter"/>
      <w:start w:val="2"/>
    </w:lvl>
  </w:abstractNum>
  <w:abstractNum w:abstractNumId="187">
    <w:nsid w:val="155EC4C2"/>
    <w:multiLevelType w:val="hybridMultilevel"/>
    <w:lvl w:ilvl="0">
      <w:lvlJc w:val="left"/>
      <w:lvlText w:val="(%1)"/>
      <w:numFmt w:val="lowerLetter"/>
      <w:start w:val="4"/>
    </w:lvl>
  </w:abstractNum>
  <w:abstractNum w:abstractNumId="188">
    <w:nsid w:val="65D2A137"/>
    <w:multiLevelType w:val="hybridMultilevel"/>
    <w:lvl w:ilvl="0">
      <w:lvlJc w:val="left"/>
      <w:lvlText w:val="%1"/>
      <w:numFmt w:val="lowerLetter"/>
      <w:start w:val="1"/>
    </w:lvl>
    <w:lvl w:ilvl="1">
      <w:lvlJc w:val="left"/>
      <w:lvlText w:val="(%2)"/>
      <w:numFmt w:val="lowerLetter"/>
      <w:start w:val="5"/>
    </w:lvl>
  </w:abstractNum>
  <w:abstractNum w:abstractNumId="189">
    <w:nsid w:val="6EBB1F2A"/>
    <w:multiLevelType w:val="hybridMultilevel"/>
    <w:lvl w:ilvl="0">
      <w:lvlJc w:val="left"/>
      <w:lvlText w:val="(%1)"/>
      <w:numFmt w:val="lowerLetter"/>
      <w:start w:val="35"/>
    </w:lvl>
    <w:lvl w:ilvl="1">
      <w:lvlJc w:val="left"/>
      <w:lvlText w:val="%2"/>
      <w:numFmt w:val="lowerLetter"/>
      <w:start w:val="1"/>
    </w:lvl>
  </w:abstractNum>
  <w:abstractNum w:abstractNumId="190">
    <w:nsid w:val="6FBF29CB"/>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91">
    <w:nsid w:val="550B880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92">
    <w:nsid w:val="34CC3ACF"/>
    <w:multiLevelType w:val="hybridMultilevel"/>
    <w:lvl w:ilvl="0">
      <w:lvlJc w:val="left"/>
      <w:lvlText w:val="(%1)"/>
      <w:numFmt w:val="lowerLetter"/>
      <w:start w:val="3"/>
    </w:lvl>
  </w:abstractNum>
  <w:abstractNum w:abstractNumId="193">
    <w:nsid w:val="4E556261"/>
    <w:multiLevelType w:val="hybridMultilevel"/>
    <w:lvl w:ilvl="0">
      <w:lvlJc w:val="left"/>
      <w:lvlText w:val="%1"/>
      <w:numFmt w:val="lowerLetter"/>
      <w:start w:val="1"/>
    </w:lvl>
    <w:lvl w:ilvl="1">
      <w:lvlJc w:val="left"/>
      <w:lvlText w:val="(%2)"/>
      <w:numFmt w:val="lowerLetter"/>
      <w:start w:val="5"/>
    </w:lvl>
  </w:abstractNum>
  <w:abstractNum w:abstractNumId="194">
    <w:nsid w:val="4C672FC9"/>
    <w:multiLevelType w:val="hybridMultilevel"/>
    <w:lvl w:ilvl="0">
      <w:lvlJc w:val="left"/>
      <w:lvlText w:val="(%1)"/>
      <w:numFmt w:val="lowerLetter"/>
      <w:start w:val="9"/>
    </w:lvl>
    <w:lvl w:ilvl="1">
      <w:lvlJc w:val="left"/>
      <w:lvlText w:val="%2"/>
      <w:numFmt w:val="lowerLetter"/>
      <w:start w:val="1"/>
    </w:lvl>
  </w:abstractNum>
  <w:abstractNum w:abstractNumId="195">
    <w:nsid w:val="52A311C3"/>
    <w:multiLevelType w:val="hybridMultilevel"/>
    <w:lvl w:ilvl="0">
      <w:lvlJc w:val="left"/>
      <w:lvlText w:val="%1"/>
      <w:numFmt w:val="lowerRoman"/>
      <w:start w:val="1"/>
    </w:lvl>
    <w:lvl w:ilvl="1">
      <w:lvlJc w:val="left"/>
      <w:lvlText w:val="%2."/>
      <w:numFmt w:val="decimal"/>
      <w:start w:val="10"/>
    </w:lvl>
  </w:abstractNum>
  <w:abstractNum w:abstractNumId="196">
    <w:nsid w:val="44EF6B80"/>
    <w:multiLevelType w:val="hybridMultilevel"/>
    <w:lvl w:ilvl="0">
      <w:lvlJc w:val="left"/>
      <w:lvlText w:val="(%1)"/>
      <w:numFmt w:val="lowerRoman"/>
      <w:start w:val="5"/>
    </w:lvl>
    <w:lvl w:ilvl="1">
      <w:lvlJc w:val="left"/>
      <w:lvlText w:val="%2."/>
      <w:numFmt w:val="decimal"/>
      <w:start w:val="11"/>
    </w:lvl>
  </w:abstractNum>
  <w:abstractNum w:abstractNumId="197">
    <w:nsid w:val="12FCDE5E"/>
    <w:multiLevelType w:val="hybridMultilevel"/>
    <w:lvl w:ilvl="0">
      <w:lvlJc w:val="left"/>
      <w:lvlText w:val="%1."/>
      <w:numFmt w:val="decimal"/>
      <w:start w:val="12"/>
    </w:lvl>
  </w:abstractNum>
  <w:abstractNum w:abstractNumId="198">
    <w:nsid w:val="4A1D606E"/>
    <w:multiLevelType w:val="hybridMultilevel"/>
    <w:lvl w:ilvl="0">
      <w:lvlJc w:val="left"/>
      <w:lvlText w:val="%1"/>
      <w:numFmt w:val="decimal"/>
      <w:start w:val="1"/>
    </w:lvl>
    <w:lvl w:ilvl="1">
      <w:lvlJc w:val="left"/>
      <w:lvlText w:val="(%2)"/>
      <w:numFmt w:val="lowerLetter"/>
      <w:start w:val="2"/>
    </w:lvl>
  </w:abstractNum>
  <w:abstractNum w:abstractNumId="199">
    <w:nsid w:val="4382503"/>
    <w:multiLevelType w:val="hybridMultilevel"/>
    <w:lvl w:ilvl="0">
      <w:lvlJc w:val="left"/>
      <w:lvlText w:val="%1."/>
      <w:numFmt w:val="decimal"/>
      <w:start w:val="13"/>
    </w:lvl>
    <w:lvl w:ilvl="1">
      <w:lvlJc w:val="left"/>
      <w:lvlText w:val="(%2)"/>
      <w:numFmt w:val="lowerLetter"/>
      <w:start w:val="2"/>
    </w:lvl>
  </w:abstractNum>
  <w:abstractNum w:abstractNumId="200">
    <w:nsid w:val="59B76E28"/>
    <w:multiLevelType w:val="hybridMultilevel"/>
    <w:lvl w:ilvl="0">
      <w:lvlJc w:val="left"/>
      <w:lvlText w:val="%1."/>
      <w:numFmt w:val="decimal"/>
      <w:start w:val="14"/>
    </w:lvl>
  </w:abstractNum>
  <w:abstractNum w:abstractNumId="201">
    <w:nsid w:val="4252C2DA"/>
    <w:multiLevelType w:val="hybridMultilevel"/>
    <w:lvl w:ilvl="0">
      <w:lvlJc w:val="left"/>
      <w:lvlText w:val="%1."/>
      <w:numFmt w:val="decimal"/>
      <w:start w:val="15"/>
    </w:lvl>
    <w:lvl w:ilvl="1">
      <w:lvlJc w:val="left"/>
      <w:lvlText w:val="(%2)"/>
      <w:numFmt w:val="lowerLetter"/>
      <w:start w:val="2"/>
    </w:lvl>
  </w:abstractNum>
  <w:abstractNum w:abstractNumId="202">
    <w:nsid w:val="6A92EF4C"/>
    <w:multiLevelType w:val="hybridMultilevel"/>
    <w:lvl w:ilvl="0">
      <w:lvlJc w:val="left"/>
      <w:lvlText w:val="%1."/>
      <w:numFmt w:val="decimal"/>
      <w:start w:val="19"/>
    </w:lvl>
  </w:abstractNum>
  <w:abstractNum w:abstractNumId="203">
    <w:nsid w:val="41ED20D7"/>
    <w:multiLevelType w:val="hybridMultilevel"/>
    <w:lvl w:ilvl="0">
      <w:lvlJc w:val="left"/>
      <w:lvlText w:val="%1."/>
      <w:numFmt w:val="decimal"/>
      <w:start w:val="1"/>
    </w:lvl>
  </w:abstractNum>
  <w:abstractNum w:abstractNumId="204">
    <w:nsid w:val="E6B3F6A"/>
    <w:multiLevelType w:val="hybridMultilevel"/>
    <w:lvl w:ilvl="0">
      <w:lvlJc w:val="left"/>
      <w:lvlText w:val="%1."/>
      <w:numFmt w:val="decimal"/>
      <w:start w:val="3"/>
    </w:lvl>
  </w:abstractNum>
  <w:abstractNum w:abstractNumId="205">
    <w:nsid w:val="3EB21819"/>
    <w:multiLevelType w:val="hybridMultilevel"/>
    <w:lvl w:ilvl="0">
      <w:lvlJc w:val="left"/>
      <w:lvlText w:val="(%1)"/>
      <w:numFmt w:val="upperLetter"/>
      <w:start w:val="2"/>
    </w:lvl>
  </w:abstractNum>
  <w:abstractNum w:abstractNumId="206">
    <w:nsid w:val="41531DED"/>
    <w:multiLevelType w:val="hybridMultilevel"/>
    <w:lvl w:ilvl="0">
      <w:lvlJc w:val="left"/>
      <w:lvlText w:val="(%1)"/>
      <w:numFmt w:val="upperLetter"/>
      <w:start w:val="5"/>
    </w:lvl>
  </w:abstractNum>
  <w:abstractNum w:abstractNumId="207">
    <w:nsid w:val="6353CD2"/>
    <w:multiLevelType w:val="hybridMultilevel"/>
    <w:lvl w:ilvl="0">
      <w:lvlJc w:val="left"/>
      <w:lvlText w:val="%1."/>
      <w:numFmt w:val="lowerLetter"/>
      <w:start w:val="1"/>
    </w:lvl>
  </w:abstractNum>
  <w:abstractNum w:abstractNumId="208">
    <w:nsid w:val="683CAAD3"/>
    <w:multiLevelType w:val="hybridMultilevel"/>
    <w:lvl w:ilvl="0">
      <w:lvlJc w:val="left"/>
      <w:lvlText w:val="%1."/>
      <w:numFmt w:val="lowerLetter"/>
      <w:start w:val="4"/>
    </w:lvl>
  </w:abstractNum>
  <w:abstractNum w:abstractNumId="209">
    <w:nsid w:val="313C7C99"/>
    <w:multiLevelType w:val="hybridMultilevel"/>
    <w:lvl w:ilvl="0">
      <w:lvlJc w:val="left"/>
      <w:lvlText w:val="%1."/>
      <w:numFmt w:val="lowerLetter"/>
      <w:start w:val="1"/>
    </w:lvl>
  </w:abstractNum>
  <w:abstractNum w:abstractNumId="210">
    <w:nsid w:val="519EB94C"/>
    <w:multiLevelType w:val="hybridMultilevel"/>
    <w:lvl w:ilvl="0">
      <w:lvlJc w:val="left"/>
      <w:lvlText w:val="%1."/>
      <w:numFmt w:val="lowerLetter"/>
      <w:start w:val="1"/>
    </w:lvl>
  </w:abstractNum>
  <w:abstractNum w:abstractNumId="211">
    <w:nsid w:val="39DF2579"/>
    <w:multiLevelType w:val="hybridMultilevel"/>
    <w:lvl w:ilvl="0">
      <w:lvlJc w:val="left"/>
      <w:lvlText w:val="%1."/>
      <w:numFmt w:val="lowerLetter"/>
      <w:start w:val="1"/>
    </w:lvl>
    <w:lvl w:ilvl="1">
      <w:lvlJc w:val="left"/>
      <w:lvlText w:val="%2."/>
      <w:numFmt w:val="lowerRoman"/>
      <w:start w:val="1"/>
    </w:lvl>
  </w:abstractNum>
  <w:abstractNum w:abstractNumId="212">
    <w:nsid w:val="126E008B"/>
    <w:multiLevelType w:val="hybridMultilevel"/>
    <w:lvl w:ilvl="0">
      <w:lvlJc w:val="left"/>
      <w:lvlText w:val="%1."/>
      <w:numFmt w:val="lowerLetter"/>
      <w:start w:val="1"/>
    </w:lvl>
  </w:abstractNum>
  <w:abstractNum w:abstractNumId="213">
    <w:nsid w:val="34DFBC00"/>
    <w:multiLevelType w:val="hybridMultilevel"/>
    <w:lvl w:ilvl="0">
      <w:lvlJc w:val="left"/>
      <w:lvlText w:val="%1."/>
      <w:numFmt w:val="lowerLetter"/>
      <w:start w:val="1"/>
    </w:lvl>
  </w:abstractNum>
  <w:abstractNum w:abstractNumId="214">
    <w:nsid w:val="1F9EC322"/>
    <w:multiLevelType w:val="hybridMultilevel"/>
    <w:lvl w:ilvl="0">
      <w:lvlJc w:val="left"/>
      <w:lvlText w:val="%1."/>
      <w:numFmt w:val="lowerLetter"/>
      <w:start w:val="1"/>
    </w:lvl>
  </w:abstractNum>
  <w:abstractNum w:abstractNumId="215">
    <w:nsid w:val="3410ED56"/>
    <w:multiLevelType w:val="hybridMultilevel"/>
    <w:lvl w:ilvl="0">
      <w:lvlJc w:val="left"/>
      <w:lvlText w:val="%1."/>
      <w:numFmt w:val="lowerLetter"/>
      <w:start w:val="2"/>
    </w:lvl>
  </w:abstractNum>
  <w:abstractNum w:abstractNumId="216">
    <w:nsid w:val="23C049A"/>
    <w:multiLevelType w:val="hybridMultilevel"/>
    <w:lvl w:ilvl="0">
      <w:lvlJc w:val="left"/>
      <w:lvlText w:val="%1."/>
      <w:numFmt w:val="lowerLetter"/>
      <w:start w:val="1"/>
    </w:lvl>
  </w:abstractNum>
  <w:abstractNum w:abstractNumId="217">
    <w:nsid w:val="5BDA35D4"/>
    <w:multiLevelType w:val="hybridMultilevel"/>
    <w:lvl w:ilvl="0">
      <w:lvlJc w:val="left"/>
      <w:lvlText w:val="%1."/>
      <w:numFmt w:val="lowerLetter"/>
      <w:start w:val="1"/>
    </w:lvl>
  </w:abstractNum>
  <w:abstractNum w:abstractNumId="218">
    <w:nsid w:val="496FB218"/>
    <w:multiLevelType w:val="hybridMultilevel"/>
    <w:lvl w:ilvl="0">
      <w:lvlJc w:val="left"/>
      <w:lvlText w:val="%1."/>
      <w:numFmt w:val="lowerLetter"/>
      <w:start w:val="1"/>
    </w:lvl>
  </w:abstractNum>
  <w:abstractNum w:abstractNumId="219">
    <w:nsid w:val="680EA5D1"/>
    <w:multiLevelType w:val="hybridMultilevel"/>
    <w:lvl w:ilvl="0">
      <w:lvlJc w:val="left"/>
      <w:lvlText w:val="%1."/>
      <w:numFmt w:val="lowerLetter"/>
      <w:start w:val="1"/>
    </w:lvl>
  </w:abstractNum>
  <w:abstractNum w:abstractNumId="220">
    <w:nsid w:val="4A9554FE"/>
    <w:multiLevelType w:val="hybridMultilevel"/>
    <w:lvl w:ilvl="0">
      <w:lvlJc w:val="left"/>
      <w:lvlText w:val="%1."/>
      <w:numFmt w:val="lowerLetter"/>
      <w:start w:val="1"/>
    </w:lvl>
  </w:abstractNum>
  <w:abstractNum w:abstractNumId="221">
    <w:nsid w:val="392EDBE4"/>
    <w:multiLevelType w:val="hybridMultilevel"/>
    <w:lvl w:ilvl="0">
      <w:lvlJc w:val="left"/>
      <w:lvlText w:val="%1."/>
      <w:numFmt w:val="lowerLetter"/>
      <w:start w:val="1"/>
    </w:lvl>
  </w:abstractNum>
  <w:abstractNum w:abstractNumId="222">
    <w:nsid w:val="3D1A2DD9"/>
    <w:multiLevelType w:val="hybridMultilevel"/>
    <w:lvl w:ilvl="0">
      <w:lvlJc w:val="left"/>
      <w:lvlText w:val="%1."/>
      <w:numFmt w:val="lowerLetter"/>
      <w:start w:val="1"/>
    </w:lvl>
    <w:lvl w:ilvl="1">
      <w:lvlJc w:val="left"/>
      <w:lvlText w:val="%2."/>
      <w:numFmt w:val="lowerRoman"/>
      <w:start w:val="1"/>
    </w:lvl>
  </w:abstractNum>
  <w:abstractNum w:abstractNumId="223">
    <w:nsid w:val="7F618FCD"/>
    <w:multiLevelType w:val="hybridMultilevel"/>
    <w:lvl w:ilvl="0">
      <w:lvlJc w:val="left"/>
      <w:lvlText w:val="%1."/>
      <w:numFmt w:val="lowerLetter"/>
      <w:start w:val="1"/>
    </w:lvl>
  </w:abstractNum>
  <w:abstractNum w:abstractNumId="224">
    <w:nsid w:val="7843E45"/>
    <w:multiLevelType w:val="hybridMultilevel"/>
    <w:lvl w:ilvl="0">
      <w:lvlJc w:val="left"/>
      <w:lvlText w:val="%1."/>
      <w:numFmt w:val="lowerLetter"/>
      <w:start w:val="3"/>
    </w:lvl>
  </w:abstractNum>
  <w:abstractNum w:abstractNumId="225">
    <w:nsid w:val="9815DA3"/>
    <w:multiLevelType w:val="hybridMultilevel"/>
    <w:lvl w:ilvl="0">
      <w:lvlJc w:val="left"/>
      <w:lvlText w:val="%1."/>
      <w:numFmt w:val="lowerLetter"/>
      <w:start w:val="1"/>
    </w:lvl>
  </w:abstractNum>
  <w:abstractNum w:abstractNumId="226">
    <w:nsid w:val="5204A191"/>
    <w:multiLevelType w:val="hybridMultilevel"/>
    <w:lvl w:ilvl="0">
      <w:lvlJc w:val="left"/>
      <w:lvlText w:val="%1."/>
      <w:numFmt w:val="lowerLetter"/>
      <w:start w:val="1"/>
    </w:lvl>
  </w:abstractNum>
  <w:abstractNum w:abstractNumId="227">
    <w:nsid w:val="4C73A9C6"/>
    <w:multiLevelType w:val="hybridMultilevel"/>
    <w:lvl w:ilvl="0">
      <w:lvlJc w:val="left"/>
      <w:lvlText w:val="%1."/>
      <w:numFmt w:val="lowerLetter"/>
      <w:start w:val="1"/>
    </w:lvl>
  </w:abstractNum>
  <w:abstractNum w:abstractNumId="228">
    <w:nsid w:val="1C7E3C01"/>
    <w:multiLevelType w:val="hybridMultilevel"/>
    <w:lvl w:ilvl="0">
      <w:lvlJc w:val="left"/>
      <w:lvlText w:val="%1."/>
      <w:numFmt w:val="lowerLetter"/>
      <w:start w:val="1"/>
    </w:lvl>
  </w:abstractNum>
  <w:abstractNum w:abstractNumId="229">
    <w:nsid w:val="1C2201FF"/>
    <w:multiLevelType w:val="hybridMultilevel"/>
    <w:lvl w:ilvl="0">
      <w:lvlJc w:val="left"/>
      <w:lvlText w:val="%1."/>
      <w:numFmt w:val="lowerLetter"/>
      <w:start w:val="4"/>
    </w:lvl>
  </w:abstractNum>
  <w:abstractNum w:abstractNumId="230">
    <w:nsid w:val="50ABCEC9"/>
    <w:multiLevelType w:val="hybridMultilevel"/>
    <w:lvl w:ilvl="0">
      <w:lvlJc w:val="left"/>
      <w:lvlText w:val="%1."/>
      <w:numFmt w:val="lowerLetter"/>
      <w:start w:val="1"/>
    </w:lvl>
  </w:abstractNum>
  <w:abstractNum w:abstractNumId="231">
    <w:nsid w:val="7635AA2A"/>
    <w:multiLevelType w:val="hybridMultilevel"/>
    <w:lvl w:ilvl="0">
      <w:lvlJc w:val="left"/>
      <w:lvlText w:val="%1."/>
      <w:numFmt w:val="lowerLetter"/>
      <w:start w:val="1"/>
    </w:lvl>
  </w:abstractNum>
  <w:abstractNum w:abstractNumId="232">
    <w:nsid w:val="5E74C4D9"/>
    <w:multiLevelType w:val="hybridMultilevel"/>
    <w:lvl w:ilvl="0">
      <w:lvlJc w:val="left"/>
      <w:lvlText w:val="%1."/>
      <w:numFmt w:val="lowerLetter"/>
      <w:start w:val="1"/>
    </w:lvl>
  </w:abstractNum>
  <w:abstractNum w:abstractNumId="233">
    <w:nsid w:val="3B3EBE15"/>
    <w:multiLevelType w:val="hybridMultilevel"/>
    <w:lvl w:ilvl="0">
      <w:lvlJc w:val="left"/>
      <w:lvlText w:val="%1."/>
      <w:numFmt w:val="lowerLetter"/>
      <w:start w:val="1"/>
    </w:lvl>
  </w:abstractNum>
  <w:abstractNum w:abstractNumId="234">
    <w:nsid w:val="3822CB01"/>
    <w:multiLevelType w:val="hybridMultilevel"/>
    <w:lvl w:ilvl="0">
      <w:lvlJc w:val="left"/>
      <w:lvlText w:val="%1."/>
      <w:numFmt w:val="lowerLetter"/>
      <w:start w:val="7"/>
    </w:lvl>
  </w:abstractNum>
  <w:abstractNum w:abstractNumId="235">
    <w:nsid w:val="6CE00443"/>
    <w:multiLevelType w:val="hybridMultilevel"/>
    <w:lvl w:ilvl="0">
      <w:lvlJc w:val="left"/>
      <w:lvlText w:val="%1."/>
      <w:numFmt w:val="lowerLetter"/>
      <w:start w:val="1"/>
    </w:lvl>
  </w:abstractNum>
  <w:abstractNum w:abstractNumId="236">
    <w:nsid w:val="79F0D62F"/>
    <w:multiLevelType w:val="hybridMultilevel"/>
    <w:lvl w:ilvl="0">
      <w:lvlJc w:val="left"/>
      <w:lvlText w:val="%1."/>
      <w:numFmt w:val="lowerLetter"/>
      <w:start w:val="1"/>
    </w:lvl>
  </w:abstractNum>
  <w:abstractNum w:abstractNumId="237">
    <w:nsid w:val="7975E8EE"/>
    <w:multiLevelType w:val="hybridMultilevel"/>
    <w:lvl w:ilvl="0">
      <w:lvlJc w:val="left"/>
      <w:lvlText w:val="%1."/>
      <w:numFmt w:val="lowerLetter"/>
      <w:start w:val="2"/>
    </w:lvl>
  </w:abstractNum>
  <w:abstractNum w:abstractNumId="238">
    <w:nsid w:val="73154115"/>
    <w:multiLevelType w:val="hybridMultilevel"/>
    <w:lvl w:ilvl="0">
      <w:lvlJc w:val="left"/>
      <w:lvlText w:val="%1."/>
      <w:numFmt w:val="lowerLetter"/>
      <w:start w:val="1"/>
    </w:lvl>
  </w:abstractNum>
  <w:abstractNum w:abstractNumId="239">
    <w:nsid w:val="622D8102"/>
    <w:multiLevelType w:val="hybridMultilevel"/>
    <w:lvl w:ilvl="0">
      <w:lvlJc w:val="left"/>
      <w:lvlText w:val="%1."/>
      <w:numFmt w:val="lowerLetter"/>
      <w:start w:val="4"/>
    </w:lvl>
  </w:abstractNum>
  <w:abstractNum w:abstractNumId="240">
    <w:nsid w:val="2AB26587"/>
    <w:multiLevelType w:val="hybridMultilevel"/>
    <w:lvl w:ilvl="0">
      <w:lvlJc w:val="left"/>
      <w:lvlText w:val="%1."/>
      <w:numFmt w:val="lowerLetter"/>
      <w:start w:val="1"/>
    </w:lvl>
  </w:abstractNum>
  <w:abstractNum w:abstractNumId="241">
    <w:nsid w:val="44B3FA61"/>
    <w:multiLevelType w:val="hybridMultilevel"/>
    <w:lvl w:ilvl="0">
      <w:lvlJc w:val="left"/>
      <w:lvlText w:val="%1."/>
      <w:numFmt w:val="lowerLetter"/>
      <w:start w:val="8"/>
    </w:lvl>
  </w:abstractNum>
  <w:abstractNum w:abstractNumId="242">
    <w:nsid w:val="1C0CA67C"/>
    <w:multiLevelType w:val="hybridMultilevel"/>
    <w:lvl w:ilvl="0">
      <w:lvlJc w:val="left"/>
      <w:lvlText w:val="%1."/>
      <w:numFmt w:val="decimal"/>
      <w:start w:val="1"/>
    </w:lvl>
  </w:abstractNum>
  <w:abstractNum w:abstractNumId="243">
    <w:nsid w:val="3D206613"/>
    <w:multiLevelType w:val="hybridMultilevel"/>
    <w:lvl w:ilvl="0">
      <w:lvlJc w:val="left"/>
      <w:lvlText w:val="%1."/>
      <w:numFmt w:val="upperLetter"/>
      <w:start w:val="1"/>
    </w:lvl>
  </w:abstractNum>
  <w:abstractNum w:abstractNumId="244">
    <w:nsid w:val="7993B662"/>
    <w:multiLevelType w:val="hybridMultilevel"/>
    <w:lvl w:ilvl="0">
      <w:lvlJc w:val="left"/>
      <w:lvlText w:val="%1."/>
      <w:numFmt w:val="upperLetter"/>
      <w:start w:val="3"/>
    </w:lvl>
    <w:lvl w:ilvl="1">
      <w:lvlJc w:val="left"/>
      <w:lvlText w:val="%2."/>
      <w:numFmt w:val="lowerLetter"/>
      <w:start w:val="1"/>
    </w:lvl>
  </w:abstractNum>
  <w:abstractNum w:abstractNumId="245">
    <w:nsid w:val="3BAB699E"/>
    <w:multiLevelType w:val="hybridMultilevel"/>
    <w:lvl w:ilvl="0">
      <w:lvlJc w:val="left"/>
      <w:lvlText w:val="%1"/>
      <w:numFmt w:val="upperLetter"/>
      <w:start w:val="1"/>
    </w:lvl>
    <w:lvl w:ilvl="1">
      <w:lvlJc w:val="left"/>
      <w:lvlText w:val="%2."/>
      <w:numFmt w:val="lowerLetter"/>
      <w:start w:val="4"/>
    </w:lvl>
  </w:abstractNum>
  <w:abstractNum w:abstractNumId="246">
    <w:nsid w:val="71315369"/>
    <w:multiLevelType w:val="hybridMultilevel"/>
    <w:lvl w:ilvl="0">
      <w:lvlJc w:val="left"/>
      <w:lvlText w:val="%1."/>
      <w:numFmt w:val="upperLetter"/>
      <w:start w:val="5"/>
    </w:lvl>
    <w:lvl w:ilvl="1">
      <w:lvlJc w:val="left"/>
      <w:lvlText w:val="%2"/>
      <w:numFmt w:val="lowerLetter"/>
      <w:start w:val="1"/>
    </w:lvl>
  </w:abstractNum>
  <w:abstractNum w:abstractNumId="247">
    <w:nsid w:val="7BCFBAFC"/>
    <w:multiLevelType w:val="hybridMultilevel"/>
    <w:lvl w:ilvl="0">
      <w:lvlJc w:val="left"/>
      <w:lvlText w:val="%1."/>
      <w:numFmt w:val="lowerLetter"/>
      <w:start w:val="1"/>
    </w:lvl>
  </w:abstractNum>
  <w:abstractNum w:abstractNumId="248">
    <w:nsid w:val="17859F7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9">
    <w:nsid w:val="3AA10581"/>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50">
    <w:nsid w:val="63DE60C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1">
    <w:nsid w:val="621AF471"/>
    <w:multiLevelType w:val="hybridMultilevel"/>
    <w:lvl w:ilvl="0">
      <w:lvlJc w:val="left"/>
      <w:lvlText w:val="%1"/>
      <w:numFmt w:val="upperLetter"/>
      <w:start w:val="1"/>
    </w:lvl>
    <w:lvl w:ilvl="1">
      <w:lvlJc w:val="left"/>
      <w:lvlText w:val="(%2)"/>
      <w:numFmt w:val="lowerRoman"/>
      <w:start w:val="4"/>
    </w:lvl>
  </w:abstractNum>
  <w:abstractNum w:abstractNumId="252">
    <w:nsid w:val="73CFE165"/>
    <w:multiLevelType w:val="hybridMultilevel"/>
    <w:lvl w:ilvl="0">
      <w:lvlJc w:val="left"/>
      <w:lvlText w:val="(%1)"/>
      <w:numFmt w:val="upperLetter"/>
      <w:start w:val="4"/>
    </w:lvl>
    <w:lvl w:ilvl="1">
      <w:lvlJc w:val="left"/>
      <w:lvlText w:val="(%2)"/>
      <w:numFmt w:val="lowerRoman"/>
      <w:start w:val="7"/>
    </w:lvl>
  </w:abstractNum>
  <w:abstractNum w:abstractNumId="253">
    <w:nsid w:val="20F88EA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254">
    <w:nsid w:val="617C843E"/>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55">
    <w:nsid w:val="7B541FAB"/>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5"/>
    </w:lvl>
    <w:lvl w:ilvl="3">
      <w:lvlJc w:val="left"/>
      <w:lvlText w:val="%4"/>
      <w:numFmt w:val="lowerRoman"/>
      <w:start w:val="1"/>
    </w:lvl>
  </w:abstractNum>
  <w:abstractNum w:abstractNumId="256">
    <w:nsid w:val="2A79EC4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7">
    <w:nsid w:val="338125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58">
    <w:nsid w:val="47C7C97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59">
    <w:nsid w:val="46F8284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60">
    <w:nsid w:val="4FA327CE"/>
    <w:multiLevelType w:val="hybridMultilevel"/>
    <w:lvl w:ilvl="0">
      <w:lvlJc w:val="left"/>
      <w:lvlText w:val="%1."/>
      <w:numFmt w:val="decimal"/>
      <w:start w:val="5"/>
    </w:lvl>
  </w:abstractNum>
  <w:abstractNum w:abstractNumId="261">
    <w:nsid w:val="1873983A"/>
    <w:multiLevelType w:val="hybridMultilevel"/>
    <w:lvl w:ilvl="0">
      <w:lvlJc w:val="left"/>
      <w:lvlText w:val="(%1)"/>
      <w:numFmt w:val="lowerLetter"/>
      <w:start w:val="1"/>
    </w:lvl>
    <w:lvl w:ilvl="1">
      <w:lvlJc w:val="left"/>
      <w:lvlText w:val="(%2)"/>
      <w:numFmt w:val="lowerRoman"/>
      <w:start w:val="1"/>
    </w:lvl>
  </w:abstractNum>
  <w:abstractNum w:abstractNumId="262">
    <w:nsid w:val="3D2DD275"/>
    <w:multiLevelType w:val="hybridMultilevel"/>
    <w:lvl w:ilvl="0">
      <w:lvlJc w:val="left"/>
      <w:lvlText w:val="(%1)"/>
      <w:numFmt w:val="lowerRoman"/>
      <w:start w:val="5"/>
    </w:lvl>
  </w:abstractNum>
  <w:abstractNum w:abstractNumId="263">
    <w:nsid w:val="2E17ECA7"/>
    <w:multiLevelType w:val="hybridMultilevel"/>
    <w:lvl w:ilvl="0">
      <w:lvlJc w:val="left"/>
      <w:lvlText w:val="(%1)"/>
      <w:numFmt w:val="lowerLetter"/>
      <w:start w:val="4"/>
    </w:lvl>
    <w:lvl w:ilvl="1">
      <w:lvlJc w:val="left"/>
      <w:lvlText w:val="(%2)"/>
      <w:numFmt w:val="lowerRoman"/>
      <w:start w:val="1"/>
    </w:lvl>
  </w:abstractNum>
  <w:abstractNum w:abstractNumId="264">
    <w:nsid w:val="53B2564F"/>
    <w:multiLevelType w:val="hybridMultilevel"/>
    <w:lvl w:ilvl="0">
      <w:lvlJc w:val="left"/>
      <w:lvlText w:val="(%1)"/>
      <w:numFmt w:val="lowerLetter"/>
      <w:start w:val="7"/>
    </w:lvl>
  </w:abstractNum>
  <w:abstractNum w:abstractNumId="265">
    <w:nsid w:val="75509D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2"/>
    </w:lvl>
    <w:lvl w:ilvl="3">
      <w:lvlJc w:val="left"/>
      <w:lvlText w:val="%4"/>
      <w:numFmt w:val="lowerRoman"/>
      <w:start w:val="1"/>
    </w:lvl>
  </w:abstractNum>
  <w:abstractNum w:abstractNumId="266">
    <w:nsid w:val="1AF7F0EA"/>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67">
    <w:nsid w:val="4DA32C7E"/>
    <w:multiLevelType w:val="hybridMultilevel"/>
    <w:lvl w:ilvl="0">
      <w:lvlJc w:val="left"/>
      <w:lvlText w:val="%1"/>
      <w:numFmt w:val="lowerLetter"/>
      <w:start w:val="1"/>
    </w:lvl>
    <w:lvl w:ilvl="1">
      <w:lvlJc w:val="left"/>
      <w:lvlText w:val="(%2)"/>
      <w:numFmt w:val="lowerLetter"/>
      <w:start w:val="22"/>
    </w:lvl>
  </w:abstractNum>
  <w:abstractNum w:abstractNumId="268">
    <w:nsid w:val="6EC68664"/>
    <w:multiLevelType w:val="hybridMultilevel"/>
    <w:lvl w:ilvl="0">
      <w:lvlJc w:val="left"/>
      <w:lvlText w:val="(%1)"/>
      <w:numFmt w:val="lowerLetter"/>
      <w:start w:val="2"/>
    </w:lvl>
    <w:lvl w:ilvl="1">
      <w:lvlJc w:val="left"/>
      <w:lvlText w:val="(%2)"/>
      <w:numFmt w:val="lowerLetter"/>
      <w:start w:val="9"/>
    </w:lvl>
  </w:abstractNum>
  <w:abstractNum w:abstractNumId="269">
    <w:nsid w:val="E0D31FF"/>
    <w:multiLevelType w:val="hybridMultilevel"/>
    <w:lvl w:ilvl="0">
      <w:lvlJc w:val="left"/>
      <w:lvlText w:val="%1"/>
      <w:numFmt w:val="lowerLetter"/>
      <w:start w:val="1"/>
    </w:lvl>
    <w:lvl w:ilvl="1">
      <w:lvlJc w:val="left"/>
      <w:lvlText w:val="(%2)"/>
      <w:numFmt w:val="lowerRoman"/>
      <w:start w:val="2"/>
    </w:lvl>
  </w:abstractNum>
  <w:abstractNum w:abstractNumId="270">
    <w:nsid w:val="2FD0AD81"/>
    <w:multiLevelType w:val="hybridMultilevel"/>
    <w:lvl w:ilvl="0">
      <w:lvlJc w:val="left"/>
      <w:lvlText w:val="(%1)"/>
      <w:numFmt w:val="lowerLetter"/>
      <w:start w:val="3"/>
    </w:lvl>
    <w:lvl w:ilvl="1">
      <w:lvlJc w:val="left"/>
      <w:lvlText w:val="(%2)"/>
      <w:numFmt w:val="lowerRoman"/>
      <w:start w:val="1"/>
    </w:lvl>
  </w:abstractNum>
  <w:abstractNum w:abstractNumId="271">
    <w:nsid w:val="1978EB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2">
    <w:nsid w:val="52C12C6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73">
    <w:nsid w:val="4BDD53F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4">
    <w:nsid w:val="569951FE"/>
    <w:multiLevelType w:val="hybridMultilevel"/>
    <w:lvl w:ilvl="0">
      <w:lvlJc w:val="left"/>
      <w:lvlText w:val="%1."/>
      <w:numFmt w:val="decimal"/>
      <w:start w:val="8"/>
    </w:lvl>
    <w:lvl w:ilvl="1">
      <w:lvlJc w:val="left"/>
      <w:lvlText w:val="(%2)"/>
      <w:numFmt w:val="lowerLetter"/>
      <w:start w:val="1"/>
    </w:lvl>
  </w:abstractNum>
  <w:abstractNum w:abstractNumId="275">
    <w:nsid w:val="4C54E2C3"/>
    <w:multiLevelType w:val="hybridMultilevel"/>
    <w:lvl w:ilvl="0">
      <w:lvlJc w:val="left"/>
      <w:lvlText w:val="(%1)"/>
      <w:numFmt w:val="lowerLetter"/>
      <w:start w:val="8"/>
    </w:lvl>
  </w:abstractNum>
  <w:abstractNum w:abstractNumId="276">
    <w:nsid w:val="788BD9B"/>
    <w:multiLevelType w:val="hybridMultilevel"/>
    <w:lvl w:ilvl="0">
      <w:lvlJc w:val="left"/>
      <w:lvlText w:val="(%1)"/>
      <w:numFmt w:val="decimal"/>
      <w:start w:val="6"/>
    </w:lvl>
    <w:lvl w:ilvl="1">
      <w:lvlJc w:val="left"/>
      <w:lvlText w:val="%2."/>
      <w:numFmt w:val="decimal"/>
      <w:start w:val="8"/>
    </w:lvl>
    <w:lvl w:ilvl="2">
      <w:lvlJc w:val="left"/>
      <w:lvlText w:val="(%3)"/>
      <w:numFmt w:val="lowerLetter"/>
      <w:start w:val="12"/>
    </w:lvl>
  </w:abstractNum>
  <w:abstractNum w:abstractNumId="277">
    <w:nsid w:val="47CAA56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8">
    <w:nsid w:val="48249DBF"/>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279">
    <w:nsid w:val="1F0E5D0D"/>
    <w:multiLevelType w:val="hybridMultilevel"/>
    <w:lvl w:ilvl="0">
      <w:lvlJc w:val="left"/>
      <w:lvlText w:val="(%1)"/>
      <w:numFmt w:val="lowerRoman"/>
      <w:start w:val="2"/>
    </w:lvl>
  </w:abstractNum>
  <w:abstractNum w:abstractNumId="280">
    <w:nsid w:val="26BAAE9"/>
    <w:multiLevelType w:val="hybridMultilevel"/>
    <w:lvl w:ilvl="0">
      <w:lvlJc w:val="left"/>
      <w:lvlText w:val="%1"/>
      <w:numFmt w:val="decimal"/>
      <w:start w:val="1"/>
    </w:lvl>
    <w:lvl w:ilvl="1">
      <w:lvlJc w:val="left"/>
      <w:lvlText w:val="(%2)"/>
      <w:numFmt w:val="lowerLetter"/>
      <w:start w:val="4"/>
    </w:lvl>
  </w:abstractNum>
  <w:abstractNum w:abstractNumId="281">
    <w:nsid w:val="2C02FE8C"/>
    <w:multiLevelType w:val="hybridMultilevel"/>
    <w:lvl w:ilvl="0">
      <w:lvlJc w:val="left"/>
      <w:lvlText w:val="%1."/>
      <w:numFmt w:val="decimal"/>
      <w:start w:val="10"/>
    </w:lvl>
    <w:lvl w:ilvl="1">
      <w:lvlJc w:val="left"/>
      <w:lvlText w:val="(%2)"/>
      <w:numFmt w:val="lowerLetter"/>
      <w:start w:val="1"/>
    </w:lvl>
  </w:abstractNum>
  <w:abstractNum w:abstractNumId="282">
    <w:nsid w:val="129517E"/>
    <w:multiLevelType w:val="hybridMultilevel"/>
    <w:lvl w:ilvl="0">
      <w:lvlJc w:val="left"/>
      <w:lvlText w:val="%1."/>
      <w:numFmt w:val="decimal"/>
      <w:start w:val="12"/>
    </w:lvl>
  </w:abstractNum>
  <w:abstractNum w:abstractNumId="283">
    <w:nsid w:val="763B8C4E"/>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284">
    <w:nsid w:val="4CFB8D3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85">
    <w:nsid w:val="62A5D5BD"/>
    <w:multiLevelType w:val="hybridMultilevel"/>
    <w:lvl w:ilvl="0">
      <w:lvlJc w:val="left"/>
      <w:lvlText w:val="(%1)"/>
      <w:numFmt w:val="lowerLetter"/>
      <w:start w:val="7"/>
    </w:lvl>
    <w:lvl w:ilvl="1">
      <w:lvlJc w:val="left"/>
      <w:lvlText w:val="(%2)"/>
      <w:numFmt w:val="lowerRoman"/>
      <w:start w:val="1"/>
    </w:lvl>
  </w:abstractNum>
  <w:abstractNum w:abstractNumId="286">
    <w:nsid w:val="718FABF9"/>
    <w:multiLevelType w:val="hybridMultilevel"/>
    <w:lvl w:ilvl="0">
      <w:lvlJc w:val="left"/>
      <w:lvlText w:val="(%1)"/>
      <w:numFmt w:val="lowerLetter"/>
      <w:start w:val="8"/>
    </w:lvl>
  </w:abstractNum>
  <w:abstractNum w:abstractNumId="287">
    <w:nsid w:val="7775797C"/>
    <w:multiLevelType w:val="hybridMultilevel"/>
    <w:lvl w:ilvl="0">
      <w:lvlJc w:val="left"/>
      <w:lvlText w:val="(%1)"/>
      <w:numFmt w:val="lowerLetter"/>
      <w:start w:val="10"/>
    </w:lvl>
  </w:abstractNum>
  <w:abstractNum w:abstractNumId="288">
    <w:nsid w:val="1626FB8C"/>
    <w:multiLevelType w:val="hybridMultilevel"/>
    <w:lvl w:ilvl="0">
      <w:lvlJc w:val="left"/>
      <w:lvlText w:val="(%1)"/>
      <w:numFmt w:val="lowerLetter"/>
      <w:start w:val="15"/>
    </w:lvl>
    <w:lvl w:ilvl="1">
      <w:lvlJc w:val="left"/>
      <w:lvlText w:val="(%2)"/>
      <w:numFmt w:val="lowerRoman"/>
      <w:start w:val="1"/>
    </w:lvl>
  </w:abstractNum>
  <w:abstractNum w:abstractNumId="289">
    <w:nsid w:val="3957756A"/>
    <w:multiLevelType w:val="hybridMultilevel"/>
    <w:lvl w:ilvl="0">
      <w:lvlJc w:val="left"/>
      <w:lvlText w:val="%1"/>
      <w:numFmt w:val="lowerLetter"/>
      <w:start w:val="1"/>
    </w:lvl>
    <w:lvl w:ilvl="1">
      <w:lvlJc w:val="left"/>
      <w:lvlText w:val="(%2)"/>
      <w:numFmt w:val="lowerLetter"/>
      <w:start w:val="24"/>
    </w:lvl>
  </w:abstractNum>
  <w:abstractNum w:abstractNumId="290">
    <w:nsid w:val="3E6DA1C7"/>
    <w:multiLevelType w:val="hybridMultilevel"/>
    <w:lvl w:ilvl="0">
      <w:lvlJc w:val="left"/>
      <w:lvlText w:val="(%1)"/>
      <w:numFmt w:val="lowerLetter"/>
      <w:start w:val="35"/>
    </w:lvl>
    <w:lvl w:ilvl="1">
      <w:lvlJc w:val="left"/>
      <w:lvlText w:val="(%2)"/>
      <w:numFmt w:val="lowerLetter"/>
      <w:start w:val="27"/>
    </w:lvl>
  </w:abstractNum>
  <w:abstractNum w:abstractNumId="291">
    <w:nsid w:val="65CA235B"/>
    <w:multiLevelType w:val="hybridMultilevel"/>
    <w:lvl w:ilvl="0">
      <w:lvlJc w:val="left"/>
      <w:lvlText w:val="%1"/>
      <w:numFmt w:val="lowerRoman"/>
      <w:start w:val="1"/>
    </w:lvl>
    <w:lvl w:ilvl="1">
      <w:lvlJc w:val="left"/>
      <w:lvlText w:val="(%2)"/>
      <w:numFmt w:val="lowerLetter"/>
      <w:start w:val="37"/>
    </w:lvl>
  </w:abstractNum>
  <w:abstractNum w:abstractNumId="292">
    <w:nsid w:val="51CB0DA4"/>
    <w:multiLevelType w:val="hybridMultilevel"/>
    <w:lvl w:ilvl="0">
      <w:lvlJc w:val="left"/>
      <w:lvlText w:val="(%1)"/>
      <w:numFmt w:val="lowerRoman"/>
      <w:start w:val="12"/>
    </w:lvl>
    <w:lvl w:ilvl="1">
      <w:lvlJc w:val="left"/>
      <w:lvlText w:val="%2"/>
      <w:numFmt w:val="lowerLetter"/>
      <w:start w:val="1"/>
    </w:lvl>
  </w:abstractNum>
  <w:abstractNum w:abstractNumId="293">
    <w:nsid w:val="7B9B743C"/>
    <w:multiLevelType w:val="hybridMultilevel"/>
    <w:lvl w:ilvl="0">
      <w:lvlJc w:val="left"/>
      <w:lvlText w:val="(%1)"/>
      <w:numFmt w:val="lowerRoman"/>
      <w:start w:val="21"/>
    </w:lvl>
    <w:lvl w:ilvl="1">
      <w:lvlJc w:val="left"/>
      <w:lvlText w:val="%2"/>
      <w:numFmt w:val="lowerLetter"/>
      <w:start w:val="1"/>
    </w:lvl>
  </w:abstractNum>
  <w:abstractNum w:abstractNumId="294">
    <w:nsid w:val="13E21002"/>
    <w:multiLevelType w:val="hybridMultilevel"/>
    <w:lvl w:ilvl="0">
      <w:lvlJc w:val="left"/>
      <w:lvlText w:val="(%1)"/>
      <w:numFmt w:val="lowerRoman"/>
      <w:start w:val="29"/>
    </w:lvl>
    <w:lvl w:ilvl="1">
      <w:lvlJc w:val="left"/>
      <w:lvlText w:val="%2"/>
      <w:numFmt w:val="lowerLetter"/>
      <w:start w:val="1"/>
    </w:lvl>
  </w:abstractNum>
  <w:abstractNum w:abstractNumId="295">
    <w:nsid w:val="257D63F4"/>
    <w:multiLevelType w:val="hybridMultilevel"/>
    <w:lvl w:ilvl="0">
      <w:lvlJc w:val="left"/>
      <w:lvlText w:val="(%1)"/>
      <w:numFmt w:val="lowerRoman"/>
      <w:start w:val="34"/>
    </w:lvl>
    <w:lvl w:ilvl="1">
      <w:lvlJc w:val="left"/>
      <w:lvlText w:val="(%2)"/>
      <w:numFmt w:val="lowerLetter"/>
      <w:start w:val="38"/>
    </w:lvl>
  </w:abstractNum>
  <w:abstractNum w:abstractNumId="296">
    <w:nsid w:val="70EC11B2"/>
    <w:multiLevelType w:val="hybridMultilevel"/>
    <w:lvl w:ilvl="0">
      <w:lvlJc w:val="left"/>
      <w:lvlText w:val="(%1)"/>
      <w:numFmt w:val="lowerLetter"/>
      <w:start w:val="39"/>
    </w:lvl>
  </w:abstractNum>
  <w:abstractNum w:abstractNumId="297">
    <w:nsid w:val="2EDA00ED"/>
    <w:multiLevelType w:val="hybridMultilevel"/>
    <w:lvl w:ilvl="0">
      <w:lvlJc w:val="left"/>
      <w:lvlText w:val="(%1)"/>
      <w:numFmt w:val="lowerLetter"/>
      <w:start w:val="53"/>
    </w:lvl>
  </w:abstractNum>
  <w:abstractNum w:abstractNumId="298">
    <w:nsid w:val="73209072"/>
    <w:multiLevelType w:val="hybridMultilevel"/>
    <w:lvl w:ilvl="0">
      <w:lvlJc w:val="left"/>
      <w:lvlText w:val="(%1)"/>
      <w:numFmt w:val="lowerLetter"/>
      <w:start w:val="54"/>
    </w:lvl>
  </w:abstractNum>
  <w:abstractNum w:abstractNumId="299">
    <w:nsid w:val="5FB2981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0">
    <w:nsid w:val="3CE732EC"/>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301">
    <w:nsid w:val="22F13DF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2">
    <w:nsid w:val="792B8401"/>
    <w:multiLevelType w:val="hybridMultilevel"/>
    <w:lvl w:ilvl="0">
      <w:lvlJc w:val="left"/>
      <w:lvlText w:val="(%1)"/>
      <w:numFmt w:val="lowerRoman"/>
      <w:start w:val="5"/>
    </w:lvl>
  </w:abstractNum>
  <w:abstractNum w:abstractNumId="303">
    <w:nsid w:val="FA85F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304">
    <w:nsid w:val="6ECE91F0"/>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305">
    <w:nsid w:val="4FC4D600"/>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5"/>
    </w:lvl>
    <w:lvl w:ilvl="3">
      <w:lvlJc w:val="left"/>
      <w:lvlText w:val="%4"/>
      <w:numFmt w:val="lowerRoman"/>
      <w:start w:val="1"/>
    </w:lvl>
  </w:abstractNum>
  <w:abstractNum w:abstractNumId="306">
    <w:nsid w:val="5BFD421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7">
    <w:nsid w:val="76574F8B"/>
    <w:multiLevelType w:val="hybridMultilevel"/>
    <w:lvl w:ilvl="0">
      <w:lvlJc w:val="left"/>
      <w:lvlText w:val="%1"/>
      <w:numFmt w:val="lowerLetter"/>
      <w:start w:val="1"/>
    </w:lvl>
    <w:lvl w:ilvl="1">
      <w:lvlJc w:val="left"/>
      <w:lvlText w:val="(%2)"/>
      <w:numFmt w:val="lowerLetter"/>
      <w:start w:val="61"/>
    </w:lvl>
  </w:abstractNum>
  <w:abstractNum w:abstractNumId="308">
    <w:nsid w:val="178F7B67"/>
    <w:multiLevelType w:val="hybridMultilevel"/>
    <w:lvl w:ilvl="0">
      <w:lvlJc w:val="left"/>
      <w:lvlText w:val="(%1)"/>
      <w:numFmt w:val="lowerLetter"/>
      <w:start w:val="2"/>
    </w:lvl>
    <w:lvl w:ilvl="1">
      <w:lvlJc w:val="left"/>
      <w:lvlText w:val="%2"/>
      <w:numFmt w:val="lowerLetter"/>
      <w:start w:val="1"/>
    </w:lvl>
  </w:abstractNum>
  <w:abstractNum w:abstractNumId="309">
    <w:nsid w:val="2421DFCF"/>
    <w:multiLevelType w:val="hybridMultilevel"/>
    <w:lvl w:ilvl="0">
      <w:lvlJc w:val="left"/>
      <w:lvlText w:val="%1."/>
      <w:numFmt w:val="decimal"/>
      <w:start w:val="4"/>
    </w:lvl>
  </w:abstractNum>
  <w:abstractNum w:abstractNumId="310">
    <w:nsid w:val="1565AC99"/>
    <w:multiLevelType w:val="hybridMultilevel"/>
    <w:lvl w:ilvl="0">
      <w:lvlJc w:val="left"/>
      <w:lvlText w:val="(%1)"/>
      <w:numFmt w:val="lowerLetter"/>
      <w:start w:val="1"/>
    </w:lvl>
    <w:lvl w:ilvl="1">
      <w:lvlJc w:val="left"/>
      <w:lvlText w:val="(%2)"/>
      <w:numFmt w:val="lowerRoman"/>
      <w:start w:val="1"/>
    </w:lvl>
  </w:abstractNum>
  <w:abstractNum w:abstractNumId="311">
    <w:nsid w:val="19FB2650"/>
    <w:multiLevelType w:val="hybridMultilevel"/>
    <w:lvl w:ilvl="0">
      <w:lvlJc w:val="left"/>
      <w:lvlText w:val="%1"/>
      <w:numFmt w:val="lowerLetter"/>
      <w:start w:val="1"/>
    </w:lvl>
    <w:lvl w:ilvl="1">
      <w:lvlJc w:val="left"/>
      <w:lvlText w:val="(%2)"/>
      <w:numFmt w:val="lowerRoman"/>
      <w:start w:val="4"/>
    </w:lvl>
  </w:abstractNum>
  <w:abstractNum w:abstractNumId="312">
    <w:nsid w:val="5024DE5B"/>
    <w:multiLevelType w:val="hybridMultilevel"/>
    <w:lvl w:ilvl="0">
      <w:lvlJc w:val="left"/>
      <w:lvlText w:val="(%1)"/>
      <w:numFmt w:val="lowerLetter"/>
      <w:start w:val="4"/>
    </w:lvl>
    <w:lvl w:ilvl="1">
      <w:lvlJc w:val="left"/>
      <w:lvlText w:val="(%2)"/>
      <w:numFmt w:val="lowerRoman"/>
      <w:start w:val="1"/>
    </w:lvl>
  </w:abstractNum>
  <w:abstractNum w:abstractNumId="313">
    <w:nsid w:val="168EFE17"/>
    <w:multiLevelType w:val="hybridMultilevel"/>
    <w:lvl w:ilvl="0">
      <w:lvlJc w:val="left"/>
      <w:lvlText w:val="(%1)"/>
      <w:numFmt w:val="lowerLetter"/>
      <w:start w:val="7"/>
    </w:lvl>
  </w:abstractNum>
  <w:abstractNum w:abstractNumId="314">
    <w:nsid w:val="1036B29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1"/>
    </w:lvl>
    <w:lvl w:ilvl="3">
      <w:lvlJc w:val="left"/>
      <w:lvlText w:val="%4"/>
      <w:numFmt w:val="lowerRoman"/>
      <w:start w:val="1"/>
    </w:lvl>
  </w:abstractNum>
  <w:abstractNum w:abstractNumId="315">
    <w:nsid w:val="1D206B8E"/>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16">
    <w:nsid w:val="7934D3D4"/>
    <w:multiLevelType w:val="hybridMultilevel"/>
    <w:lvl w:ilvl="0">
      <w:lvlJc w:val="left"/>
      <w:lvlText w:val="%1"/>
      <w:numFmt w:val="lowerLetter"/>
      <w:start w:val="1"/>
    </w:lvl>
    <w:lvl w:ilvl="1">
      <w:lvlJc w:val="left"/>
      <w:lvlText w:val="(%2)"/>
      <w:numFmt w:val="lowerLetter"/>
      <w:start w:val="22"/>
    </w:lvl>
  </w:abstractNum>
  <w:abstractNum w:abstractNumId="317">
    <w:nsid w:val="1C65E98"/>
    <w:multiLevelType w:val="hybridMultilevel"/>
    <w:lvl w:ilvl="0">
      <w:lvlJc w:val="left"/>
      <w:lvlText w:val="(%1)"/>
      <w:numFmt w:val="lowerLetter"/>
      <w:start w:val="2"/>
    </w:lvl>
    <w:lvl w:ilvl="1">
      <w:lvlJc w:val="left"/>
      <w:lvlText w:val="(%2)"/>
      <w:numFmt w:val="lowerLetter"/>
      <w:start w:val="9"/>
    </w:lvl>
  </w:abstractNum>
  <w:abstractNum w:abstractNumId="318">
    <w:nsid w:val="1495E50A"/>
    <w:multiLevelType w:val="hybridMultilevel"/>
    <w:lvl w:ilvl="0">
      <w:lvlJc w:val="left"/>
      <w:lvlText w:val="%1"/>
      <w:numFmt w:val="lowerLetter"/>
      <w:start w:val="1"/>
    </w:lvl>
    <w:lvl w:ilvl="1">
      <w:lvlJc w:val="left"/>
      <w:lvlText w:val="(%2)"/>
      <w:numFmt w:val="lowerRoman"/>
      <w:start w:val="2"/>
    </w:lvl>
  </w:abstractNum>
  <w:abstractNum w:abstractNumId="319">
    <w:nsid w:val="F5BCF61"/>
    <w:multiLevelType w:val="hybridMultilevel"/>
    <w:lvl w:ilvl="0">
      <w:lvlJc w:val="left"/>
      <w:lvlText w:val="(%1)"/>
      <w:numFmt w:val="lowerLetter"/>
      <w:start w:val="3"/>
    </w:lvl>
    <w:lvl w:ilvl="1">
      <w:lvlJc w:val="left"/>
      <w:lvlText w:val="(%2)"/>
      <w:numFmt w:val="lowerRoman"/>
      <w:start w:val="1"/>
    </w:lvl>
  </w:abstractNum>
  <w:abstractNum w:abstractNumId="320">
    <w:nsid w:val="3B1DD40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21">
    <w:nsid w:val="530386D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2">
    <w:nsid w:val="7525F2B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3">
    <w:nsid w:val="CE8E1A7"/>
    <w:multiLevelType w:val="hybridMultilevel"/>
    <w:lvl w:ilvl="0">
      <w:lvlJc w:val="left"/>
      <w:lvlText w:val="%1."/>
      <w:numFmt w:val="decimal"/>
      <w:start w:val="8"/>
    </w:lvl>
    <w:lvl w:ilvl="1">
      <w:lvlJc w:val="left"/>
      <w:lvlText w:val="(%2)"/>
      <w:numFmt w:val="lowerLetter"/>
      <w:start w:val="1"/>
    </w:lvl>
  </w:abstractNum>
  <w:abstractNum w:abstractNumId="324">
    <w:nsid w:val="4E9EFB0D"/>
    <w:multiLevelType w:val="hybridMultilevel"/>
    <w:lvl w:ilvl="0">
      <w:lvlJc w:val="left"/>
      <w:lvlText w:val="%1"/>
      <w:numFmt w:val="lowerLetter"/>
      <w:start w:val="1"/>
    </w:lvl>
    <w:lvl w:ilvl="1">
      <w:lvlJc w:val="left"/>
      <w:lvlText w:val="(%2)"/>
      <w:numFmt w:val="lowerLetter"/>
      <w:start w:val="8"/>
    </w:lvl>
  </w:abstractNum>
  <w:abstractNum w:abstractNumId="325">
    <w:nsid w:val="90802BE"/>
    <w:multiLevelType w:val="hybridMultilevel"/>
    <w:lvl w:ilvl="0">
      <w:lvlJc w:val="left"/>
      <w:lvlText w:val="(%1)"/>
      <w:numFmt w:val="lowerLetter"/>
      <w:start w:val="22"/>
    </w:lvl>
    <w:lvl w:ilvl="1">
      <w:lvlJc w:val="left"/>
      <w:lvlText w:val="(%2)"/>
      <w:numFmt w:val="lowerLetter"/>
      <w:start w:val="9"/>
    </w:lvl>
  </w:abstractNum>
  <w:abstractNum w:abstractNumId="326">
    <w:nsid w:val="3266459B"/>
    <w:multiLevelType w:val="hybridMultilevel"/>
    <w:lvl w:ilvl="0">
      <w:lvlJc w:val="left"/>
      <w:lvlText w:val="(%1)"/>
      <w:numFmt w:val="decimal"/>
      <w:start w:val="6"/>
    </w:lvl>
    <w:lvl w:ilvl="1">
      <w:lvlJc w:val="left"/>
      <w:lvlText w:val="%2."/>
      <w:numFmt w:val="decimal"/>
      <w:start w:val="8"/>
    </w:lvl>
    <w:lvl w:ilvl="2">
      <w:lvlJc w:val="left"/>
      <w:lvlText w:val="(%3)"/>
      <w:numFmt w:val="lowerLetter"/>
      <w:start w:val="12"/>
    </w:lvl>
  </w:abstractNum>
  <w:abstractNum w:abstractNumId="327">
    <w:nsid w:val="3F8B0CB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28">
    <w:nsid w:val="37E203AB"/>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329">
    <w:nsid w:val="2586D60E"/>
    <w:multiLevelType w:val="hybridMultilevel"/>
    <w:lvl w:ilvl="0">
      <w:lvlJc w:val="left"/>
      <w:lvlText w:val="(%1)"/>
      <w:numFmt w:val="lowerRoman"/>
      <w:start w:val="3"/>
    </w:lvl>
  </w:abstractNum>
  <w:abstractNum w:abstractNumId="330">
    <w:nsid w:val="1F3DA4D5"/>
    <w:multiLevelType w:val="hybridMultilevel"/>
    <w:lvl w:ilvl="0">
      <w:lvlJc w:val="left"/>
      <w:lvlText w:val="%1."/>
      <w:numFmt w:val="decimal"/>
      <w:start w:val="10"/>
    </w:lvl>
    <w:lvl w:ilvl="1">
      <w:lvlJc w:val="left"/>
      <w:lvlText w:val="(%2)"/>
      <w:numFmt w:val="lowerLetter"/>
      <w:start w:val="1"/>
    </w:lvl>
  </w:abstractNum>
  <w:abstractNum w:abstractNumId="331">
    <w:nsid w:val="74C93698"/>
    <w:multiLevelType w:val="hybridMultilevel"/>
    <w:lvl w:ilvl="0">
      <w:lvlJc w:val="left"/>
      <w:lvlText w:val="%1."/>
      <w:numFmt w:val="decimal"/>
      <w:start w:val="12"/>
    </w:lvl>
  </w:abstractNum>
  <w:abstractNum w:abstractNumId="332">
    <w:nsid w:val="48781401"/>
    <w:multiLevelType w:val="hybridMultilevel"/>
    <w:lvl w:ilvl="0">
      <w:lvlJc w:val="left"/>
      <w:lvlText w:val="%1."/>
      <w:numFmt w:val="decimal"/>
      <w:start w:val="13"/>
    </w:lvl>
    <w:lvl w:ilvl="1">
      <w:lvlJc w:val="left"/>
      <w:lvlText w:val="(%2)"/>
      <w:numFmt w:val="lowerLetter"/>
      <w:start w:val="1"/>
    </w:lvl>
  </w:abstractNum>
  <w:abstractNum w:abstractNumId="333">
    <w:nsid w:val="186928D6"/>
    <w:multiLevelType w:val="hybridMultilevel"/>
    <w:lvl w:ilvl="0">
      <w:lvlJc w:val="left"/>
      <w:lvlText w:val="(%1)"/>
      <w:numFmt w:val="lowerLetter"/>
      <w:start w:val="2"/>
    </w:lvl>
    <w:lvl w:ilvl="1">
      <w:lvlJc w:val="left"/>
      <w:lvlText w:val="(%2)"/>
      <w:numFmt w:val="lowerLetter"/>
      <w:start w:val="9"/>
    </w:lvl>
  </w:abstractNum>
  <w:abstractNum w:abstractNumId="334">
    <w:nsid w:val="47195E5"/>
    <w:multiLevelType w:val="hybridMultilevel"/>
    <w:lvl w:ilvl="0">
      <w:lvlJc w:val="left"/>
      <w:lvlText w:val="%1"/>
      <w:numFmt w:val="upperLetter"/>
      <w:start w:val="1"/>
    </w:lvl>
    <w:lvl w:ilvl="1">
      <w:lvlJc w:val="left"/>
      <w:lvlText w:val="(%2)"/>
      <w:numFmt w:val="lowerRoman"/>
      <w:start w:val="2"/>
    </w:lvl>
  </w:abstractNum>
  <w:abstractNum w:abstractNumId="335">
    <w:nsid w:val="3746A5F2"/>
    <w:multiLevelType w:val="hybridMultilevel"/>
    <w:lvl w:ilvl="0">
      <w:lvlJc w:val="left"/>
      <w:lvlText w:val="(%1)"/>
      <w:numFmt w:val="upperLetter"/>
      <w:start w:val="2"/>
    </w:lvl>
    <w:lvl w:ilvl="1">
      <w:lvlJc w:val="left"/>
      <w:lvlText w:val="(%2)"/>
      <w:numFmt w:val="lowerRoman"/>
      <w:start w:val="3"/>
    </w:lvl>
  </w:abstractNum>
  <w:abstractNum w:abstractNumId="336">
    <w:nsid w:val="682DFED6"/>
    <w:multiLevelType w:val="hybridMultilevel"/>
    <w:lvl w:ilvl="0">
      <w:lvlJc w:val="left"/>
      <w:lvlText w:val="(%1)"/>
      <w:numFmt w:val="lowerLetter"/>
      <w:start w:val="9"/>
    </w:lvl>
  </w:abstractNum>
  <w:abstractNum w:abstractNumId="337">
    <w:nsid w:val="606ED7F6"/>
    <w:multiLevelType w:val="hybridMultilevel"/>
    <w:lvl w:ilvl="0">
      <w:lvlJc w:val="left"/>
      <w:lvlText w:val="(%1)"/>
      <w:numFmt w:val="lowerLetter"/>
      <w:start w:val="11"/>
    </w:lvl>
  </w:abstractNum>
  <w:abstractNum w:abstractNumId="338">
    <w:nsid w:val="2D9DF57D"/>
    <w:multiLevelType w:val="hybridMultilevel"/>
    <w:lvl w:ilvl="0">
      <w:lvlJc w:val="left"/>
      <w:lvlText w:val="(%1)"/>
      <w:numFmt w:val="lowerLetter"/>
      <w:start w:val="18"/>
    </w:lvl>
    <w:lvl w:ilvl="1">
      <w:lvlJc w:val="left"/>
      <w:lvlText w:val="(%2)"/>
      <w:numFmt w:val="lowerRoman"/>
      <w:start w:val="1"/>
    </w:lvl>
  </w:abstractNum>
  <w:abstractNum w:abstractNumId="339">
    <w:nsid w:val="7FBD7A3E"/>
    <w:multiLevelType w:val="hybridMultilevel"/>
    <w:lvl w:ilvl="0">
      <w:lvlJc w:val="left"/>
      <w:lvlText w:val="(%1)"/>
      <w:numFmt w:val="lowerLetter"/>
      <w:start w:val="27"/>
    </w:lvl>
  </w:abstractNum>
  <w:abstractNum w:abstractNumId="340">
    <w:nsid w:val="490B7C5"/>
    <w:multiLevelType w:val="hybridMultilevel"/>
    <w:lvl w:ilvl="0">
      <w:lvlJc w:val="left"/>
      <w:lvlText w:val="(%1)"/>
      <w:numFmt w:val="lowerLetter"/>
      <w:start w:val="28"/>
    </w:lvl>
  </w:abstractNum>
  <w:abstractNum w:abstractNumId="341">
    <w:nsid w:val="4303A216"/>
    <w:multiLevelType w:val="hybridMultilevel"/>
    <w:lvl w:ilvl="0">
      <w:lvlJc w:val="left"/>
      <w:lvlText w:val="(%1)"/>
      <w:numFmt w:val="lowerLetter"/>
      <w:start w:val="43"/>
    </w:lvl>
  </w:abstractNum>
  <w:abstractNum w:abstractNumId="342">
    <w:nsid w:val="19B8A08E"/>
    <w:multiLevelType w:val="hybridMultilevel"/>
    <w:lvl w:ilvl="0">
      <w:lvlJc w:val="left"/>
      <w:lvlText w:val="(%1)"/>
      <w:numFmt w:val="lowerLetter"/>
      <w:start w:val="53"/>
    </w:lvl>
  </w:abstractNum>
  <w:abstractNum w:abstractNumId="343">
    <w:nsid w:val="54B59621"/>
    <w:multiLevelType w:val="hybridMultilevel"/>
    <w:lvl w:ilvl="0">
      <w:lvlJc w:val="left"/>
      <w:lvlText w:val="%1."/>
      <w:numFmt w:val="decimal"/>
      <w:start w:val="1"/>
    </w:lvl>
  </w:abstractNum>
  <w:abstractNum w:abstractNumId="344">
    <w:nsid w:val="5992A02E"/>
    <w:multiLevelType w:val="hybridMultilevel"/>
    <w:lvl w:ilvl="0">
      <w:lvlJc w:val="left"/>
      <w:lvlText w:val="%1."/>
      <w:numFmt w:val="decimal"/>
      <w:start w:val="2"/>
    </w:lvl>
  </w:abstractNum>
  <w:abstractNum w:abstractNumId="345">
    <w:nsid w:val="29EF532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9"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jpeg"/><Relationship Id="rId382" Type="http://schemas.openxmlformats.org/officeDocument/2006/relationships/image" Target="media/image365.png"/><Relationship Id="rId383" Type="http://schemas.openxmlformats.org/officeDocument/2006/relationships/image" Target="media/image366.jpeg"/><Relationship Id="rId384" Type="http://schemas.openxmlformats.org/officeDocument/2006/relationships/image" Target="media/image367.png"/><Relationship Id="rId385" Type="http://schemas.openxmlformats.org/officeDocument/2006/relationships/image" Target="media/image368.jpeg"/><Relationship Id="rId386" Type="http://schemas.openxmlformats.org/officeDocument/2006/relationships/image" Target="media/image369.png"/><Relationship Id="rId387" Type="http://schemas.openxmlformats.org/officeDocument/2006/relationships/image" Target="media/image370.jpeg"/><Relationship Id="rId388" Type="http://schemas.openxmlformats.org/officeDocument/2006/relationships/image" Target="media/image371.png"/><Relationship Id="rId389" Type="http://schemas.openxmlformats.org/officeDocument/2006/relationships/image" Target="media/image372.jpeg"/><Relationship Id="rId390" Type="http://schemas.openxmlformats.org/officeDocument/2006/relationships/image" Target="media/image373.png"/><Relationship Id="rId391" Type="http://schemas.openxmlformats.org/officeDocument/2006/relationships/image" Target="media/image374.jpeg"/><Relationship Id="rId392" Type="http://schemas.openxmlformats.org/officeDocument/2006/relationships/image" Target="media/image375.png"/><Relationship Id="rId393" Type="http://schemas.openxmlformats.org/officeDocument/2006/relationships/image" Target="media/image376.jpeg"/><Relationship Id="rId394" Type="http://schemas.openxmlformats.org/officeDocument/2006/relationships/image" Target="media/image377.png"/><Relationship Id="rId395" Type="http://schemas.openxmlformats.org/officeDocument/2006/relationships/image" Target="media/image378.jpeg"/><Relationship Id="rId396" Type="http://schemas.openxmlformats.org/officeDocument/2006/relationships/image" Target="media/image379.png"/><Relationship Id="rId397" Type="http://schemas.openxmlformats.org/officeDocument/2006/relationships/image" Target="media/image380.jpeg"/><Relationship Id="rId398" Type="http://schemas.openxmlformats.org/officeDocument/2006/relationships/image" Target="media/image381.png"/><Relationship Id="rId399" Type="http://schemas.openxmlformats.org/officeDocument/2006/relationships/image" Target="media/image382.jpeg"/><Relationship Id="rId400" Type="http://schemas.openxmlformats.org/officeDocument/2006/relationships/image" Target="media/image383.png"/><Relationship Id="rId401" Type="http://schemas.openxmlformats.org/officeDocument/2006/relationships/image" Target="media/image384.jpeg"/><Relationship Id="rId402" Type="http://schemas.openxmlformats.org/officeDocument/2006/relationships/image" Target="media/image385.png"/><Relationship Id="rId403" Type="http://schemas.openxmlformats.org/officeDocument/2006/relationships/image" Target="media/image386.jpeg"/><Relationship Id="rId404" Type="http://schemas.openxmlformats.org/officeDocument/2006/relationships/image" Target="media/image387.png"/><Relationship Id="rId405" Type="http://schemas.openxmlformats.org/officeDocument/2006/relationships/image" Target="media/image388.jpeg"/><Relationship Id="rId406" Type="http://schemas.openxmlformats.org/officeDocument/2006/relationships/image" Target="media/image389.png"/><Relationship Id="rId407" Type="http://schemas.openxmlformats.org/officeDocument/2006/relationships/image" Target="media/image390.jpeg"/><Relationship Id="rId408" Type="http://schemas.openxmlformats.org/officeDocument/2006/relationships/image" Target="media/image391.png"/><Relationship Id="rId409" Type="http://schemas.openxmlformats.org/officeDocument/2006/relationships/image" Target="media/image392.jpeg"/><Relationship Id="rId410" Type="http://schemas.openxmlformats.org/officeDocument/2006/relationships/image" Target="media/image393.png"/><Relationship Id="rId411" Type="http://schemas.openxmlformats.org/officeDocument/2006/relationships/image" Target="media/image394.jpeg"/><Relationship Id="rId412" Type="http://schemas.openxmlformats.org/officeDocument/2006/relationships/image" Target="media/image395.png"/><Relationship Id="rId413" Type="http://schemas.openxmlformats.org/officeDocument/2006/relationships/image" Target="media/image396.jpeg"/><Relationship Id="rId414" Type="http://schemas.openxmlformats.org/officeDocument/2006/relationships/image" Target="media/image397.png"/><Relationship Id="rId415" Type="http://schemas.openxmlformats.org/officeDocument/2006/relationships/image" Target="media/image398.jpeg"/><Relationship Id="rId416" Type="http://schemas.openxmlformats.org/officeDocument/2006/relationships/image" Target="media/image399.png"/><Relationship Id="rId417" Type="http://schemas.openxmlformats.org/officeDocument/2006/relationships/image" Target="media/image400.jpeg"/><Relationship Id="rId418" Type="http://schemas.openxmlformats.org/officeDocument/2006/relationships/image" Target="media/image401.png"/><Relationship Id="rId419" Type="http://schemas.openxmlformats.org/officeDocument/2006/relationships/image" Target="media/image402.jpeg"/><Relationship Id="rId420" Type="http://schemas.openxmlformats.org/officeDocument/2006/relationships/image" Target="media/image403.png"/><Relationship Id="rId421" Type="http://schemas.openxmlformats.org/officeDocument/2006/relationships/image" Target="media/image404.jpeg"/><Relationship Id="rId422" Type="http://schemas.openxmlformats.org/officeDocument/2006/relationships/image" Target="media/image405.png"/><Relationship Id="rId423" Type="http://schemas.openxmlformats.org/officeDocument/2006/relationships/image" Target="media/image406.jpeg"/><Relationship Id="rId424" Type="http://schemas.openxmlformats.org/officeDocument/2006/relationships/image" Target="media/image407.png"/><Relationship Id="rId425" Type="http://schemas.openxmlformats.org/officeDocument/2006/relationships/image" Target="media/image408.jpeg"/><Relationship Id="rId426" Type="http://schemas.openxmlformats.org/officeDocument/2006/relationships/image" Target="media/image409.png"/><Relationship Id="rId427" Type="http://schemas.openxmlformats.org/officeDocument/2006/relationships/image" Target="media/image410.jpeg"/><Relationship Id="rId428" Type="http://schemas.openxmlformats.org/officeDocument/2006/relationships/image" Target="media/image411.png"/><Relationship Id="rId429" Type="http://schemas.openxmlformats.org/officeDocument/2006/relationships/image" Target="media/image412.jpeg"/><Relationship Id="rId430" Type="http://schemas.openxmlformats.org/officeDocument/2006/relationships/image" Target="media/image413.png"/><Relationship Id="rId431" Type="http://schemas.openxmlformats.org/officeDocument/2006/relationships/image" Target="media/image414.jpeg"/><Relationship Id="rId432" Type="http://schemas.openxmlformats.org/officeDocument/2006/relationships/image" Target="media/image415.jpeg"/><Relationship Id="rId433" Type="http://schemas.openxmlformats.org/officeDocument/2006/relationships/image" Target="media/image416.png"/><Relationship Id="rId434" Type="http://schemas.openxmlformats.org/officeDocument/2006/relationships/image" Target="media/image417.jpeg"/><Relationship Id="rId435" Type="http://schemas.openxmlformats.org/officeDocument/2006/relationships/image" Target="media/image418.png"/><Relationship Id="rId436" Type="http://schemas.openxmlformats.org/officeDocument/2006/relationships/image" Target="media/image419.jpeg"/><Relationship Id="rId437" Type="http://schemas.openxmlformats.org/officeDocument/2006/relationships/image" Target="media/image420.png"/><Relationship Id="rId438" Type="http://schemas.openxmlformats.org/officeDocument/2006/relationships/image" Target="media/image421.jpeg"/><Relationship Id="rId439" Type="http://schemas.openxmlformats.org/officeDocument/2006/relationships/image" Target="media/image422.png"/><Relationship Id="rId440" Type="http://schemas.openxmlformats.org/officeDocument/2006/relationships/image" Target="media/image423.jpeg"/><Relationship Id="rId441" Type="http://schemas.openxmlformats.org/officeDocument/2006/relationships/image" Target="media/image424.png"/><Relationship Id="rId442" Type="http://schemas.openxmlformats.org/officeDocument/2006/relationships/image" Target="media/image425.jpeg"/><Relationship Id="rId443" Type="http://schemas.openxmlformats.org/officeDocument/2006/relationships/image" Target="media/image426.png"/><Relationship Id="rId444" Type="http://schemas.openxmlformats.org/officeDocument/2006/relationships/image" Target="media/image427.jpeg"/><Relationship Id="rId445" Type="http://schemas.openxmlformats.org/officeDocument/2006/relationships/image" Target="media/image428.png"/><Relationship Id="rId446" Type="http://schemas.openxmlformats.org/officeDocument/2006/relationships/image" Target="media/image429.jpeg"/><Relationship Id="rId447" Type="http://schemas.openxmlformats.org/officeDocument/2006/relationships/image" Target="media/image430.jpeg"/><Relationship Id="rId448" Type="http://schemas.openxmlformats.org/officeDocument/2006/relationships/image" Target="media/image431.png"/><Relationship Id="rId449" Type="http://schemas.openxmlformats.org/officeDocument/2006/relationships/image" Target="media/image432.jpeg"/><Relationship Id="rId450" Type="http://schemas.openxmlformats.org/officeDocument/2006/relationships/image" Target="media/image433.png"/><Relationship Id="rId451" Type="http://schemas.openxmlformats.org/officeDocument/2006/relationships/image" Target="media/image434.jpeg"/><Relationship Id="rId452" Type="http://schemas.openxmlformats.org/officeDocument/2006/relationships/image" Target="media/image435.png"/><Relationship Id="rId453" Type="http://schemas.openxmlformats.org/officeDocument/2006/relationships/image" Target="media/image436.jpe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png"/><Relationship Id="rId308" Type="http://schemas.openxmlformats.org/officeDocument/2006/relationships/hyperlink" Target="http://www.sec.gov/Archives/edgar/data/1830487/000119312521010126/d50231dex32.htm" TargetMode="External"/><Relationship Id="rId310" Type="http://schemas.openxmlformats.org/officeDocument/2006/relationships/hyperlink" Target="http://www.sec.gov/Archives/edgar/data/1830487/000119312521010126/d50231dex101.htm" TargetMode="External"/><Relationship Id="rId311" Type="http://schemas.openxmlformats.org/officeDocument/2006/relationships/hyperlink" Target="http://www.sec.gov/Archives/edgar/data/1830487/000119312521010126/d50231dex102.htm" TargetMode="External"/><Relationship Id="rId312" Type="http://schemas.openxmlformats.org/officeDocument/2006/relationships/hyperlink" Target="http://www.sec.gov/Archives/edgar/data/1830487/000119312521010126/d50231dex103.htm" TargetMode="External"/><Relationship Id="rId313" Type="http://schemas.openxmlformats.org/officeDocument/2006/relationships/hyperlink" Target="http://www.sec.gov/Archives/edgar/data/1830487/000119312521010126/d50231dex104.htm" TargetMode="External"/><Relationship Id="rId314" Type="http://schemas.openxmlformats.org/officeDocument/2006/relationships/hyperlink" Target="http://www.sec.gov/Archives/edgar/data/1830487/000119312521010126/d50231dex105.htm" TargetMode="External"/><Relationship Id="rId315" Type="http://schemas.openxmlformats.org/officeDocument/2006/relationships/hyperlink" Target="http://www.sec.gov/Archives/edgar/data/1830487/000119312521014933/d50231dex106.htm" TargetMode="External"/><Relationship Id="rId316" Type="http://schemas.openxmlformats.org/officeDocument/2006/relationships/hyperlink" Target="http://www.sec.gov/Archives/edgar/data/1830487/000119312521014933/d50231dex107.htm" TargetMode="External"/><Relationship Id="rId317" Type="http://schemas.openxmlformats.org/officeDocument/2006/relationships/hyperlink" Target="http://www.sec.gov/Archives/edgar/data/1830487/000119312521014933/d50231dex211.htm" TargetMode="External"/><Relationship Id="rId318" Type="http://schemas.openxmlformats.org/officeDocument/2006/relationships/hyperlink" Target="http://www.sec.gov/Archives/edgar/data/1830487/000119312521014933/d5023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2021-02-01T05:38:39Z</dcterms:created>
  <dcterms:modified xsi:type="dcterms:W3CDTF">2021-02-01T05:38:39Z</dcterms:modified>
</cp:coreProperties>
</file>