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TO BE INCLUDED IN STATEMENTS PURSUANT TO RULES 13d-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1(b),(c) AND (d) AND AMENDMENTS THERETO FILED PURSUANT TO 13d-2</w:t>
      </w: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Pharvaris N.V.</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Ordinary shares, par value €0.12 par value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N69605108</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December 31, 2021</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rFonts w:ascii="MS PGothic" w:cs="MS PGothic" w:eastAsia="MS PGothic" w:hAnsi="MS PGothic"/>
          <w:sz w:val="22"/>
          <w:szCs w:val="22"/>
          <w:color w:val="auto"/>
        </w:rPr>
      </w:pPr>
    </w:p>
    <w:p>
      <w:pPr>
        <w:jc w:val="both"/>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4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83"/>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CUSIP No. N69605108</w:t>
            </w: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29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88"/>
              </w:rPr>
              <w:t>Page 2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gridSpan w:val="6"/>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060" w:type="dxa"/>
            <w:vAlign w:val="bottom"/>
            <w:gridSpan w:val="6"/>
          </w:tcPr>
          <w:p>
            <w:pPr>
              <w:ind w:left="40"/>
              <w:spacing w:after="0"/>
              <w:rPr>
                <w:sz w:val="20"/>
                <w:szCs w:val="20"/>
                <w:color w:val="auto"/>
              </w:rPr>
            </w:pPr>
            <w:r>
              <w:rPr>
                <w:rFonts w:ascii="Arial" w:cs="Arial" w:eastAsia="Arial" w:hAnsi="Arial"/>
                <w:sz w:val="18"/>
                <w:szCs w:val="18"/>
                <w:color w:val="auto"/>
              </w:rPr>
              <w:t>Viking Global Investors LP</w:t>
            </w: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060" w:type="dxa"/>
            <w:vAlign w:val="bottom"/>
            <w:tcBorders>
              <w:bottom w:val="single" w:sz="8" w:color="auto"/>
            </w:tcBorders>
            <w:gridSpan w:val="6"/>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2920" w:type="dxa"/>
            <w:vAlign w:val="bottom"/>
            <w:shd w:val="clear" w:color="auto" w:fill="BFBFBF"/>
          </w:tcPr>
          <w:p>
            <w:pPr>
              <w:spacing w:after="0"/>
              <w:rPr>
                <w:sz w:val="20"/>
                <w:szCs w:val="20"/>
                <w:color w:val="auto"/>
              </w:rPr>
            </w:pPr>
          </w:p>
        </w:tc>
        <w:tc>
          <w:tcPr>
            <w:tcW w:w="7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2920" w:type="dxa"/>
            <w:vAlign w:val="bottom"/>
            <w:shd w:val="clear" w:color="auto" w:fill="BFBFBF"/>
          </w:tcPr>
          <w:p>
            <w:pPr>
              <w:spacing w:after="0"/>
              <w:rPr>
                <w:sz w:val="24"/>
                <w:szCs w:val="24"/>
                <w:color w:val="auto"/>
              </w:rPr>
            </w:pPr>
          </w:p>
        </w:tc>
        <w:tc>
          <w:tcPr>
            <w:tcW w:w="7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40" w:type="dxa"/>
            <w:vAlign w:val="bottom"/>
            <w:tcBorders>
              <w:bottom w:val="single" w:sz="8" w:color="auto"/>
            </w:tcBorders>
            <w:gridSpan w:val="3"/>
            <w:shd w:val="clear" w:color="auto" w:fill="BFBFBF"/>
          </w:tcPr>
          <w:p>
            <w:pPr>
              <w:spacing w:after="0"/>
              <w:rPr>
                <w:sz w:val="23"/>
                <w:szCs w:val="23"/>
                <w:color w:val="auto"/>
              </w:rPr>
            </w:pPr>
          </w:p>
        </w:tc>
        <w:tc>
          <w:tcPr>
            <w:tcW w:w="7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2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7740" w:type="dxa"/>
            <w:vAlign w:val="bottom"/>
            <w:gridSpan w:val="3"/>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2,455,536*</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7740" w:type="dxa"/>
            <w:vAlign w:val="bottom"/>
            <w:tcBorders>
              <w:bottom w:val="single" w:sz="8" w:color="auto"/>
            </w:tcBorders>
            <w:gridSpan w:val="3"/>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82"/>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CUSIP No. N69605108</w:t>
            </w: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29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88"/>
              </w:rPr>
              <w:t>Page 3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gridSpan w:val="6"/>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060" w:type="dxa"/>
            <w:vAlign w:val="bottom"/>
            <w:gridSpan w:val="6"/>
          </w:tcPr>
          <w:p>
            <w:pPr>
              <w:ind w:left="40"/>
              <w:spacing w:after="0"/>
              <w:rPr>
                <w:sz w:val="20"/>
                <w:szCs w:val="20"/>
                <w:color w:val="auto"/>
              </w:rPr>
            </w:pPr>
            <w:r>
              <w:rPr>
                <w:rFonts w:ascii="Arial" w:cs="Arial" w:eastAsia="Arial" w:hAnsi="Arial"/>
                <w:sz w:val="18"/>
                <w:szCs w:val="18"/>
                <w:color w:val="auto"/>
              </w:rPr>
              <w:t>Viking Global Opportunities Parent GP LLC</w:t>
            </w: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060" w:type="dxa"/>
            <w:vAlign w:val="bottom"/>
            <w:tcBorders>
              <w:bottom w:val="single" w:sz="8" w:color="auto"/>
            </w:tcBorders>
            <w:gridSpan w:val="6"/>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2920" w:type="dxa"/>
            <w:vAlign w:val="bottom"/>
            <w:shd w:val="clear" w:color="auto" w:fill="BFBFBF"/>
          </w:tcPr>
          <w:p>
            <w:pPr>
              <w:spacing w:after="0"/>
              <w:rPr>
                <w:sz w:val="20"/>
                <w:szCs w:val="20"/>
                <w:color w:val="auto"/>
              </w:rPr>
            </w:pPr>
          </w:p>
        </w:tc>
        <w:tc>
          <w:tcPr>
            <w:tcW w:w="7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2920" w:type="dxa"/>
            <w:vAlign w:val="bottom"/>
            <w:shd w:val="clear" w:color="auto" w:fill="BFBFBF"/>
          </w:tcPr>
          <w:p>
            <w:pPr>
              <w:spacing w:after="0"/>
              <w:rPr>
                <w:sz w:val="24"/>
                <w:szCs w:val="24"/>
                <w:color w:val="auto"/>
              </w:rPr>
            </w:pPr>
          </w:p>
        </w:tc>
        <w:tc>
          <w:tcPr>
            <w:tcW w:w="7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40" w:type="dxa"/>
            <w:vAlign w:val="bottom"/>
            <w:tcBorders>
              <w:bottom w:val="single" w:sz="8" w:color="auto"/>
            </w:tcBorders>
            <w:gridSpan w:val="3"/>
            <w:shd w:val="clear" w:color="auto" w:fill="BFBFBF"/>
          </w:tcPr>
          <w:p>
            <w:pPr>
              <w:spacing w:after="0"/>
              <w:rPr>
                <w:sz w:val="23"/>
                <w:szCs w:val="23"/>
                <w:color w:val="auto"/>
              </w:rPr>
            </w:pPr>
          </w:p>
        </w:tc>
        <w:tc>
          <w:tcPr>
            <w:tcW w:w="7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2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7740" w:type="dxa"/>
            <w:vAlign w:val="bottom"/>
            <w:gridSpan w:val="3"/>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2,455,536*</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7740" w:type="dxa"/>
            <w:vAlign w:val="bottom"/>
            <w:tcBorders>
              <w:bottom w:val="single" w:sz="8" w:color="auto"/>
            </w:tcBorders>
            <w:gridSpan w:val="3"/>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83"/>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CUSIP No. N69605108</w:t>
            </w: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29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88"/>
              </w:rPr>
              <w:t>Page 4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gridSpan w:val="6"/>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060" w:type="dxa"/>
            <w:vAlign w:val="bottom"/>
            <w:gridSpan w:val="6"/>
          </w:tcPr>
          <w:p>
            <w:pPr>
              <w:ind w:left="40"/>
              <w:spacing w:after="0"/>
              <w:rPr>
                <w:sz w:val="20"/>
                <w:szCs w:val="20"/>
                <w:color w:val="auto"/>
              </w:rPr>
            </w:pPr>
            <w:r>
              <w:rPr>
                <w:rFonts w:ascii="Arial" w:cs="Arial" w:eastAsia="Arial" w:hAnsi="Arial"/>
                <w:sz w:val="18"/>
                <w:szCs w:val="18"/>
                <w:color w:val="auto"/>
              </w:rPr>
              <w:t>Viking Global Opportunities GP LLC</w:t>
            </w: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060" w:type="dxa"/>
            <w:vAlign w:val="bottom"/>
            <w:tcBorders>
              <w:bottom w:val="single" w:sz="8" w:color="auto"/>
            </w:tcBorders>
            <w:gridSpan w:val="6"/>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2920" w:type="dxa"/>
            <w:vAlign w:val="bottom"/>
            <w:shd w:val="clear" w:color="auto" w:fill="BFBFBF"/>
          </w:tcPr>
          <w:p>
            <w:pPr>
              <w:spacing w:after="0"/>
              <w:rPr>
                <w:sz w:val="20"/>
                <w:szCs w:val="20"/>
                <w:color w:val="auto"/>
              </w:rPr>
            </w:pPr>
          </w:p>
        </w:tc>
        <w:tc>
          <w:tcPr>
            <w:tcW w:w="7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2920" w:type="dxa"/>
            <w:vAlign w:val="bottom"/>
            <w:shd w:val="clear" w:color="auto" w:fill="BFBFBF"/>
          </w:tcPr>
          <w:p>
            <w:pPr>
              <w:spacing w:after="0"/>
              <w:rPr>
                <w:sz w:val="24"/>
                <w:szCs w:val="24"/>
                <w:color w:val="auto"/>
              </w:rPr>
            </w:pPr>
          </w:p>
        </w:tc>
        <w:tc>
          <w:tcPr>
            <w:tcW w:w="7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40" w:type="dxa"/>
            <w:vAlign w:val="bottom"/>
            <w:tcBorders>
              <w:bottom w:val="single" w:sz="8" w:color="auto"/>
            </w:tcBorders>
            <w:gridSpan w:val="3"/>
            <w:shd w:val="clear" w:color="auto" w:fill="BFBFBF"/>
          </w:tcPr>
          <w:p>
            <w:pPr>
              <w:spacing w:after="0"/>
              <w:rPr>
                <w:sz w:val="23"/>
                <w:szCs w:val="23"/>
                <w:color w:val="auto"/>
              </w:rPr>
            </w:pPr>
          </w:p>
        </w:tc>
        <w:tc>
          <w:tcPr>
            <w:tcW w:w="7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2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7740" w:type="dxa"/>
            <w:vAlign w:val="bottom"/>
            <w:gridSpan w:val="3"/>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2,455,536*</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7740" w:type="dxa"/>
            <w:vAlign w:val="bottom"/>
            <w:tcBorders>
              <w:bottom w:val="single" w:sz="8" w:color="auto"/>
            </w:tcBorders>
            <w:gridSpan w:val="3"/>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183"/>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CUSIP No. N69605108</w:t>
            </w: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29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88"/>
              </w:rPr>
              <w:t>Page 5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gridSpan w:val="6"/>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060" w:type="dxa"/>
            <w:vAlign w:val="bottom"/>
            <w:gridSpan w:val="6"/>
          </w:tcPr>
          <w:p>
            <w:pPr>
              <w:ind w:left="40"/>
              <w:spacing w:after="0"/>
              <w:rPr>
                <w:sz w:val="20"/>
                <w:szCs w:val="20"/>
                <w:color w:val="auto"/>
              </w:rPr>
            </w:pPr>
            <w:r>
              <w:rPr>
                <w:rFonts w:ascii="Arial" w:cs="Arial" w:eastAsia="Arial" w:hAnsi="Arial"/>
                <w:sz w:val="18"/>
                <w:szCs w:val="18"/>
                <w:color w:val="auto"/>
              </w:rPr>
              <w:t>Viking Global Opportunities Portfolio GP LLC</w:t>
            </w: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060" w:type="dxa"/>
            <w:vAlign w:val="bottom"/>
            <w:tcBorders>
              <w:bottom w:val="single" w:sz="8" w:color="auto"/>
            </w:tcBorders>
            <w:gridSpan w:val="6"/>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2920" w:type="dxa"/>
            <w:vAlign w:val="bottom"/>
            <w:shd w:val="clear" w:color="auto" w:fill="BFBFBF"/>
          </w:tcPr>
          <w:p>
            <w:pPr>
              <w:spacing w:after="0"/>
              <w:rPr>
                <w:sz w:val="20"/>
                <w:szCs w:val="20"/>
                <w:color w:val="auto"/>
              </w:rPr>
            </w:pPr>
          </w:p>
        </w:tc>
        <w:tc>
          <w:tcPr>
            <w:tcW w:w="7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2920" w:type="dxa"/>
            <w:vAlign w:val="bottom"/>
            <w:shd w:val="clear" w:color="auto" w:fill="BFBFBF"/>
          </w:tcPr>
          <w:p>
            <w:pPr>
              <w:spacing w:after="0"/>
              <w:rPr>
                <w:sz w:val="24"/>
                <w:szCs w:val="24"/>
                <w:color w:val="auto"/>
              </w:rPr>
            </w:pPr>
          </w:p>
        </w:tc>
        <w:tc>
          <w:tcPr>
            <w:tcW w:w="7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40" w:type="dxa"/>
            <w:vAlign w:val="bottom"/>
            <w:tcBorders>
              <w:bottom w:val="single" w:sz="8" w:color="auto"/>
            </w:tcBorders>
            <w:gridSpan w:val="3"/>
            <w:shd w:val="clear" w:color="auto" w:fill="BFBFBF"/>
          </w:tcPr>
          <w:p>
            <w:pPr>
              <w:spacing w:after="0"/>
              <w:rPr>
                <w:sz w:val="23"/>
                <w:szCs w:val="23"/>
                <w:color w:val="auto"/>
              </w:rPr>
            </w:pPr>
          </w:p>
        </w:tc>
        <w:tc>
          <w:tcPr>
            <w:tcW w:w="7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2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7740" w:type="dxa"/>
            <w:vAlign w:val="bottom"/>
            <w:gridSpan w:val="3"/>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2,455,536*</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7740" w:type="dxa"/>
            <w:vAlign w:val="bottom"/>
            <w:tcBorders>
              <w:bottom w:val="single" w:sz="8" w:color="auto"/>
            </w:tcBorders>
            <w:gridSpan w:val="3"/>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183"/>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CUSIP No. N69605108</w:t>
            </w: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29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88"/>
              </w:rPr>
              <w:t>Page 6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gridSpan w:val="6"/>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060" w:type="dxa"/>
            <w:vAlign w:val="bottom"/>
            <w:gridSpan w:val="6"/>
          </w:tcPr>
          <w:p>
            <w:pPr>
              <w:ind w:left="40"/>
              <w:spacing w:after="0"/>
              <w:rPr>
                <w:sz w:val="20"/>
                <w:szCs w:val="20"/>
                <w:color w:val="auto"/>
              </w:rPr>
            </w:pPr>
            <w:r>
              <w:rPr>
                <w:rFonts w:ascii="Arial" w:cs="Arial" w:eastAsia="Arial" w:hAnsi="Arial"/>
                <w:sz w:val="18"/>
                <w:szCs w:val="18"/>
                <w:color w:val="auto"/>
              </w:rPr>
              <w:t>Viking Global Opportunities Illiquid Investments Sub-Master LP</w:t>
            </w: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060" w:type="dxa"/>
            <w:vAlign w:val="bottom"/>
            <w:tcBorders>
              <w:bottom w:val="single" w:sz="8" w:color="auto"/>
            </w:tcBorders>
            <w:gridSpan w:val="6"/>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2920" w:type="dxa"/>
            <w:vAlign w:val="bottom"/>
            <w:shd w:val="clear" w:color="auto" w:fill="BFBFBF"/>
          </w:tcPr>
          <w:p>
            <w:pPr>
              <w:spacing w:after="0"/>
              <w:rPr>
                <w:sz w:val="20"/>
                <w:szCs w:val="20"/>
                <w:color w:val="auto"/>
              </w:rPr>
            </w:pPr>
          </w:p>
        </w:tc>
        <w:tc>
          <w:tcPr>
            <w:tcW w:w="7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2920" w:type="dxa"/>
            <w:vAlign w:val="bottom"/>
            <w:shd w:val="clear" w:color="auto" w:fill="BFBFBF"/>
          </w:tcPr>
          <w:p>
            <w:pPr>
              <w:spacing w:after="0"/>
              <w:rPr>
                <w:sz w:val="24"/>
                <w:szCs w:val="24"/>
                <w:color w:val="auto"/>
              </w:rPr>
            </w:pPr>
          </w:p>
        </w:tc>
        <w:tc>
          <w:tcPr>
            <w:tcW w:w="7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40" w:type="dxa"/>
            <w:vAlign w:val="bottom"/>
            <w:tcBorders>
              <w:bottom w:val="single" w:sz="8" w:color="auto"/>
            </w:tcBorders>
            <w:gridSpan w:val="3"/>
            <w:shd w:val="clear" w:color="auto" w:fill="BFBFBF"/>
          </w:tcPr>
          <w:p>
            <w:pPr>
              <w:spacing w:after="0"/>
              <w:rPr>
                <w:sz w:val="23"/>
                <w:szCs w:val="23"/>
                <w:color w:val="auto"/>
              </w:rPr>
            </w:pPr>
          </w:p>
        </w:tc>
        <w:tc>
          <w:tcPr>
            <w:tcW w:w="7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6"/>
              </w:rPr>
              <w:t>Cayman Islands</w:t>
            </w: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2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7740" w:type="dxa"/>
            <w:vAlign w:val="bottom"/>
            <w:gridSpan w:val="3"/>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2,455,536*</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7740" w:type="dxa"/>
            <w:vAlign w:val="bottom"/>
            <w:tcBorders>
              <w:bottom w:val="single" w:sz="8" w:color="auto"/>
            </w:tcBorders>
            <w:gridSpan w:val="3"/>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2"/>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CUSIP No. N69605108</w:t>
            </w: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29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88"/>
              </w:rPr>
              <w:t>Page 7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gridSpan w:val="6"/>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060" w:type="dxa"/>
            <w:vAlign w:val="bottom"/>
            <w:gridSpan w:val="6"/>
          </w:tcPr>
          <w:p>
            <w:pPr>
              <w:ind w:left="40"/>
              <w:spacing w:after="0"/>
              <w:rPr>
                <w:sz w:val="20"/>
                <w:szCs w:val="20"/>
                <w:color w:val="auto"/>
              </w:rPr>
            </w:pPr>
            <w:r>
              <w:rPr>
                <w:rFonts w:ascii="Arial" w:cs="Arial" w:eastAsia="Arial" w:hAnsi="Arial"/>
                <w:sz w:val="18"/>
                <w:szCs w:val="18"/>
                <w:color w:val="auto"/>
              </w:rPr>
              <w:t>O. Andreas Halvorsen</w:t>
            </w: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060" w:type="dxa"/>
            <w:vAlign w:val="bottom"/>
            <w:tcBorders>
              <w:bottom w:val="single" w:sz="8" w:color="auto"/>
            </w:tcBorders>
            <w:gridSpan w:val="6"/>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2920" w:type="dxa"/>
            <w:vAlign w:val="bottom"/>
            <w:shd w:val="clear" w:color="auto" w:fill="BFBFBF"/>
          </w:tcPr>
          <w:p>
            <w:pPr>
              <w:spacing w:after="0"/>
              <w:rPr>
                <w:sz w:val="20"/>
                <w:szCs w:val="20"/>
                <w:color w:val="auto"/>
              </w:rPr>
            </w:pPr>
          </w:p>
        </w:tc>
        <w:tc>
          <w:tcPr>
            <w:tcW w:w="7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2920" w:type="dxa"/>
            <w:vAlign w:val="bottom"/>
            <w:shd w:val="clear" w:color="auto" w:fill="BFBFBF"/>
          </w:tcPr>
          <w:p>
            <w:pPr>
              <w:spacing w:after="0"/>
              <w:rPr>
                <w:sz w:val="24"/>
                <w:szCs w:val="24"/>
                <w:color w:val="auto"/>
              </w:rPr>
            </w:pPr>
          </w:p>
        </w:tc>
        <w:tc>
          <w:tcPr>
            <w:tcW w:w="7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40" w:type="dxa"/>
            <w:vAlign w:val="bottom"/>
            <w:tcBorders>
              <w:bottom w:val="single" w:sz="8" w:color="auto"/>
            </w:tcBorders>
            <w:gridSpan w:val="3"/>
            <w:shd w:val="clear" w:color="auto" w:fill="BFBFBF"/>
          </w:tcPr>
          <w:p>
            <w:pPr>
              <w:spacing w:after="0"/>
              <w:rPr>
                <w:sz w:val="23"/>
                <w:szCs w:val="23"/>
                <w:color w:val="auto"/>
              </w:rPr>
            </w:pPr>
          </w:p>
        </w:tc>
        <w:tc>
          <w:tcPr>
            <w:tcW w:w="7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Norway</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2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7740" w:type="dxa"/>
            <w:vAlign w:val="bottom"/>
            <w:gridSpan w:val="3"/>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2,455,536*</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7740" w:type="dxa"/>
            <w:vAlign w:val="bottom"/>
            <w:tcBorders>
              <w:bottom w:val="single" w:sz="8" w:color="auto"/>
            </w:tcBorders>
            <w:gridSpan w:val="3"/>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182"/>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CUSIP No. N69605108</w:t>
            </w: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29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88"/>
              </w:rPr>
              <w:t>Page 8 of 16</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gridSpan w:val="6"/>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David C. Ott</w:t>
            </w: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060" w:type="dxa"/>
            <w:vAlign w:val="bottom"/>
            <w:tcBorders>
              <w:bottom w:val="single" w:sz="8" w:color="auto"/>
            </w:tcBorders>
            <w:gridSpan w:val="6"/>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2920" w:type="dxa"/>
            <w:vAlign w:val="bottom"/>
            <w:shd w:val="clear" w:color="auto" w:fill="BFBFBF"/>
          </w:tcPr>
          <w:p>
            <w:pPr>
              <w:spacing w:after="0"/>
              <w:rPr>
                <w:sz w:val="20"/>
                <w:szCs w:val="20"/>
                <w:color w:val="auto"/>
              </w:rPr>
            </w:pPr>
          </w:p>
        </w:tc>
        <w:tc>
          <w:tcPr>
            <w:tcW w:w="7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2920" w:type="dxa"/>
            <w:vAlign w:val="bottom"/>
            <w:shd w:val="clear" w:color="auto" w:fill="BFBFBF"/>
          </w:tcPr>
          <w:p>
            <w:pPr>
              <w:spacing w:after="0"/>
              <w:rPr>
                <w:sz w:val="24"/>
                <w:szCs w:val="24"/>
                <w:color w:val="auto"/>
              </w:rPr>
            </w:pPr>
          </w:p>
        </w:tc>
        <w:tc>
          <w:tcPr>
            <w:tcW w:w="7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40" w:type="dxa"/>
            <w:vAlign w:val="bottom"/>
            <w:tcBorders>
              <w:bottom w:val="single" w:sz="8" w:color="auto"/>
            </w:tcBorders>
            <w:gridSpan w:val="3"/>
            <w:shd w:val="clear" w:color="auto" w:fill="BFBFBF"/>
          </w:tcPr>
          <w:p>
            <w:pPr>
              <w:spacing w:after="0"/>
              <w:rPr>
                <w:sz w:val="23"/>
                <w:szCs w:val="23"/>
                <w:color w:val="auto"/>
              </w:rPr>
            </w:pPr>
          </w:p>
        </w:tc>
        <w:tc>
          <w:tcPr>
            <w:tcW w:w="7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2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7740" w:type="dxa"/>
            <w:vAlign w:val="bottom"/>
            <w:gridSpan w:val="3"/>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2,455,536*</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7740" w:type="dxa"/>
            <w:vAlign w:val="bottom"/>
            <w:tcBorders>
              <w:bottom w:val="single" w:sz="8" w:color="auto"/>
            </w:tcBorders>
            <w:gridSpan w:val="3"/>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182"/>
        </w:trPr>
        <w:tc>
          <w:tcPr>
            <w:tcW w:w="2260" w:type="dxa"/>
            <w:vAlign w:val="bottom"/>
            <w:tcBorders>
              <w:top w:val="single" w:sz="8" w:color="auto"/>
              <w:left w:val="single" w:sz="8" w:color="auto"/>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CUSIP No. N69605108</w:t>
            </w: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right w:val="single" w:sz="8" w:color="auto"/>
            </w:tcBorders>
          </w:tcPr>
          <w:p>
            <w:pPr>
              <w:spacing w:after="0"/>
              <w:rPr>
                <w:sz w:val="15"/>
                <w:szCs w:val="15"/>
                <w:color w:val="auto"/>
              </w:rPr>
            </w:pP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29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88"/>
              </w:rPr>
              <w:t>Page 9 of 16</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gridSpan w:val="6"/>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8"/>
              </w:rPr>
              <w:t>Rose S. Shabet</w:t>
            </w: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060" w:type="dxa"/>
            <w:vAlign w:val="bottom"/>
            <w:tcBorders>
              <w:bottom w:val="single" w:sz="8" w:color="auto"/>
            </w:tcBorders>
            <w:gridSpan w:val="6"/>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3800" w:type="dxa"/>
            <w:vAlign w:val="bottom"/>
            <w:tcBorders>
              <w:right w:val="single" w:sz="8" w:color="BFBFBF"/>
            </w:tcBorders>
            <w:shd w:val="clear" w:color="auto" w:fill="BFBFBF"/>
          </w:tcPr>
          <w:p>
            <w:pPr>
              <w:spacing w:after="0"/>
              <w:rPr>
                <w:sz w:val="20"/>
                <w:szCs w:val="20"/>
                <w:color w:val="auto"/>
              </w:rPr>
            </w:pPr>
          </w:p>
        </w:tc>
        <w:tc>
          <w:tcPr>
            <w:tcW w:w="2920" w:type="dxa"/>
            <w:vAlign w:val="bottom"/>
            <w:shd w:val="clear" w:color="auto" w:fill="BFBFBF"/>
          </w:tcPr>
          <w:p>
            <w:pPr>
              <w:spacing w:after="0"/>
              <w:rPr>
                <w:sz w:val="20"/>
                <w:szCs w:val="20"/>
                <w:color w:val="auto"/>
              </w:rPr>
            </w:pPr>
          </w:p>
        </w:tc>
        <w:tc>
          <w:tcPr>
            <w:tcW w:w="78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3800" w:type="dxa"/>
            <w:vAlign w:val="bottom"/>
            <w:tcBorders>
              <w:right w:val="single" w:sz="8" w:color="BFBFBF"/>
            </w:tcBorders>
            <w:shd w:val="clear" w:color="auto" w:fill="BFBFBF"/>
          </w:tcPr>
          <w:p>
            <w:pPr>
              <w:spacing w:after="0"/>
              <w:rPr>
                <w:sz w:val="24"/>
                <w:szCs w:val="24"/>
                <w:color w:val="auto"/>
              </w:rPr>
            </w:pPr>
          </w:p>
        </w:tc>
        <w:tc>
          <w:tcPr>
            <w:tcW w:w="2920" w:type="dxa"/>
            <w:vAlign w:val="bottom"/>
            <w:shd w:val="clear" w:color="auto" w:fill="BFBFBF"/>
          </w:tcPr>
          <w:p>
            <w:pPr>
              <w:spacing w:after="0"/>
              <w:rPr>
                <w:sz w:val="24"/>
                <w:szCs w:val="24"/>
                <w:color w:val="auto"/>
              </w:rPr>
            </w:pPr>
          </w:p>
        </w:tc>
        <w:tc>
          <w:tcPr>
            <w:tcW w:w="78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7740" w:type="dxa"/>
            <w:vAlign w:val="bottom"/>
            <w:tcBorders>
              <w:bottom w:val="single" w:sz="8" w:color="auto"/>
            </w:tcBorders>
            <w:gridSpan w:val="3"/>
            <w:shd w:val="clear" w:color="auto" w:fill="BFBFBF"/>
          </w:tcPr>
          <w:p>
            <w:pPr>
              <w:spacing w:after="0"/>
              <w:rPr>
                <w:sz w:val="23"/>
                <w:szCs w:val="23"/>
                <w:color w:val="auto"/>
              </w:rPr>
            </w:pPr>
          </w:p>
        </w:tc>
        <w:tc>
          <w:tcPr>
            <w:tcW w:w="78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020" w:type="dxa"/>
            <w:vAlign w:val="bottom"/>
            <w:vMerge w:val="continue"/>
          </w:tcPr>
          <w:p>
            <w:pPr>
              <w:spacing w:after="0"/>
              <w:rPr>
                <w:sz w:val="18"/>
                <w:szCs w:val="18"/>
                <w:color w:val="auto"/>
              </w:rPr>
            </w:pPr>
          </w:p>
        </w:tc>
        <w:tc>
          <w:tcPr>
            <w:tcW w:w="38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7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7740" w:type="dxa"/>
            <w:vAlign w:val="bottom"/>
            <w:gridSpan w:val="3"/>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30"/>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8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774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2,455,536*</w:t>
            </w: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w w:val="91"/>
              </w:rPr>
              <w:t>2,455,536*</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7740" w:type="dxa"/>
            <w:vAlign w:val="bottom"/>
            <w:tcBorders>
              <w:bottom w:val="single" w:sz="8" w:color="auto"/>
            </w:tcBorders>
            <w:gridSpan w:val="3"/>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7740" w:type="dxa"/>
            <w:vAlign w:val="bottom"/>
            <w:tcBorders>
              <w:bottom w:val="single" w:sz="8" w:color="auto"/>
            </w:tcBorders>
            <w:gridSpan w:val="3"/>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06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182"/>
        </w:trPr>
        <w:tc>
          <w:tcPr>
            <w:tcW w:w="3740" w:type="dxa"/>
            <w:vAlign w:val="bottom"/>
            <w:tcBorders>
              <w:top w:val="single" w:sz="8" w:color="auto"/>
              <w:left w:val="single" w:sz="8" w:color="auto"/>
              <w:bottom w:val="single" w:sz="8" w:color="auto"/>
              <w:right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CUSIP No. N69605108</w:t>
            </w:r>
          </w:p>
        </w:tc>
        <w:tc>
          <w:tcPr>
            <w:tcW w:w="96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2420" w:type="dxa"/>
            <w:vAlign w:val="bottom"/>
            <w:tcBorders>
              <w:top w:val="single" w:sz="8" w:color="auto"/>
              <w:bottom w:val="single" w:sz="8" w:color="auto"/>
              <w:right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13G</w:t>
            </w:r>
          </w:p>
        </w:tc>
        <w:tc>
          <w:tcPr>
            <w:tcW w:w="24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4"/>
                <w:szCs w:val="14"/>
                <w:b w:val="1"/>
                <w:bCs w:val="1"/>
                <w:color w:val="auto"/>
                <w:w w:val="89"/>
              </w:rPr>
              <w:t>Page 10 of 16</w:t>
            </w:r>
          </w:p>
        </w:tc>
      </w:tr>
      <w:tr>
        <w:trPr>
          <w:trHeight w:val="351"/>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4120" w:type="dxa"/>
            <w:vAlign w:val="bottom"/>
            <w:gridSpan w:val="7"/>
          </w:tcPr>
          <w:p>
            <w:pPr>
              <w:ind w:left="300"/>
              <w:spacing w:after="0"/>
              <w:rPr>
                <w:sz w:val="20"/>
                <w:szCs w:val="20"/>
                <w:color w:val="auto"/>
              </w:rPr>
            </w:pPr>
            <w:r>
              <w:rPr>
                <w:rFonts w:ascii="Arial" w:cs="Arial" w:eastAsia="Arial" w:hAnsi="Arial"/>
                <w:sz w:val="18"/>
                <w:szCs w:val="18"/>
                <w:color w:val="auto"/>
              </w:rPr>
              <w:t>Name of Issuer:</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17"/>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22"/>
                <w:szCs w:val="22"/>
                <w:color w:val="auto"/>
              </w:rPr>
              <w:t>Pharvaris N.V.</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8"/>
        </w:trPr>
        <w:tc>
          <w:tcPr>
            <w:tcW w:w="10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4120" w:type="dxa"/>
            <w:vAlign w:val="bottom"/>
            <w:gridSpan w:val="7"/>
          </w:tcPr>
          <w:p>
            <w:pPr>
              <w:ind w:left="300"/>
              <w:spacing w:after="0"/>
              <w:rPr>
                <w:sz w:val="20"/>
                <w:szCs w:val="20"/>
                <w:color w:val="auto"/>
              </w:rPr>
            </w:pPr>
            <w:r>
              <w:rPr>
                <w:rFonts w:ascii="Arial" w:cs="Arial" w:eastAsia="Arial" w:hAnsi="Arial"/>
                <w:sz w:val="18"/>
                <w:szCs w:val="18"/>
                <w:color w:val="auto"/>
              </w:rPr>
              <w:t>Address of Issuer’s Principal Executive Offices:</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85"/>
        </w:trPr>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J.H. Oortweg 21, 2333 CH Leiden,</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4"/>
        </w:trPr>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20" w:type="dxa"/>
            <w:vAlign w:val="bottom"/>
            <w:gridSpan w:val="6"/>
          </w:tcPr>
          <w:p>
            <w:pPr>
              <w:spacing w:after="0"/>
              <w:rPr>
                <w:sz w:val="20"/>
                <w:szCs w:val="20"/>
                <w:color w:val="auto"/>
              </w:rPr>
            </w:pPr>
            <w:r>
              <w:rPr>
                <w:rFonts w:ascii="Arial" w:cs="Arial" w:eastAsia="Arial" w:hAnsi="Arial"/>
                <w:sz w:val="22"/>
                <w:szCs w:val="22"/>
                <w:color w:val="auto"/>
              </w:rPr>
              <w:t>The Netherlands</w:t>
            </w:r>
          </w:p>
        </w:tc>
        <w:tc>
          <w:tcPr>
            <w:tcW w:w="4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408"/>
        </w:trPr>
        <w:tc>
          <w:tcPr>
            <w:tcW w:w="1000" w:type="dxa"/>
            <w:vAlign w:val="bottom"/>
            <w:gridSpan w:val="2"/>
          </w:tcPr>
          <w:p>
            <w:pPr>
              <w:spacing w:after="0"/>
              <w:rPr>
                <w:sz w:val="20"/>
                <w:szCs w:val="20"/>
                <w:color w:val="auto"/>
              </w:rPr>
            </w:pPr>
            <w:r>
              <w:rPr>
                <w:rFonts w:ascii="Arial" w:cs="Arial" w:eastAsia="Arial" w:hAnsi="Arial"/>
                <w:sz w:val="18"/>
                <w:szCs w:val="18"/>
                <w:color w:val="auto"/>
              </w:rPr>
              <w:t>Item 2(a).</w:t>
            </w:r>
          </w:p>
        </w:tc>
        <w:tc>
          <w:tcPr>
            <w:tcW w:w="30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18"/>
                <w:szCs w:val="18"/>
                <w:color w:val="auto"/>
              </w:rPr>
              <w:t>Name of Person Filing:</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85"/>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6"/>
          </w:tcPr>
          <w:p>
            <w:pPr>
              <w:spacing w:after="0"/>
              <w:rPr>
                <w:sz w:val="20"/>
                <w:szCs w:val="20"/>
                <w:color w:val="auto"/>
              </w:rPr>
            </w:pPr>
            <w:r>
              <w:rPr>
                <w:rFonts w:ascii="Arial" w:cs="Arial" w:eastAsia="Arial" w:hAnsi="Arial"/>
                <w:sz w:val="22"/>
                <w:szCs w:val="22"/>
                <w:color w:val="auto"/>
              </w:rPr>
              <w:t>Viking Global Investors LP (“VGI”),</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80" w:type="dxa"/>
            <w:vAlign w:val="bottom"/>
            <w:gridSpan w:val="9"/>
          </w:tcPr>
          <w:p>
            <w:pPr>
              <w:spacing w:after="0" w:line="243" w:lineRule="exact"/>
              <w:rPr>
                <w:sz w:val="20"/>
                <w:szCs w:val="20"/>
                <w:color w:val="auto"/>
              </w:rPr>
            </w:pPr>
            <w:r>
              <w:rPr>
                <w:rFonts w:ascii="Arial" w:cs="Arial" w:eastAsia="Arial" w:hAnsi="Arial"/>
                <w:sz w:val="22"/>
                <w:szCs w:val="22"/>
                <w:color w:val="auto"/>
              </w:rPr>
              <w:t>Viking Global Opportunities Parent GP LLC (“Opportunities Parent”),</w:t>
            </w:r>
          </w:p>
        </w:tc>
        <w:tc>
          <w:tcPr>
            <w:tcW w:w="12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80" w:type="dxa"/>
            <w:vAlign w:val="bottom"/>
            <w:gridSpan w:val="9"/>
          </w:tcPr>
          <w:p>
            <w:pPr>
              <w:spacing w:after="0" w:line="243" w:lineRule="exact"/>
              <w:rPr>
                <w:sz w:val="20"/>
                <w:szCs w:val="20"/>
                <w:color w:val="auto"/>
              </w:rPr>
            </w:pPr>
            <w:r>
              <w:rPr>
                <w:rFonts w:ascii="Arial" w:cs="Arial" w:eastAsia="Arial" w:hAnsi="Arial"/>
                <w:sz w:val="22"/>
                <w:szCs w:val="22"/>
                <w:color w:val="auto"/>
              </w:rPr>
              <w:t>Viking Global Opportunities GP LLC (“Opportunities GP”),</w:t>
            </w:r>
          </w:p>
        </w:tc>
        <w:tc>
          <w:tcPr>
            <w:tcW w:w="12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80" w:type="dxa"/>
            <w:vAlign w:val="bottom"/>
            <w:gridSpan w:val="9"/>
          </w:tcPr>
          <w:p>
            <w:pPr>
              <w:spacing w:after="0" w:line="243" w:lineRule="exact"/>
              <w:rPr>
                <w:sz w:val="20"/>
                <w:szCs w:val="20"/>
                <w:color w:val="auto"/>
              </w:rPr>
            </w:pPr>
            <w:r>
              <w:rPr>
                <w:rFonts w:ascii="Arial" w:cs="Arial" w:eastAsia="Arial" w:hAnsi="Arial"/>
                <w:sz w:val="22"/>
                <w:szCs w:val="22"/>
                <w:color w:val="auto"/>
              </w:rPr>
              <w:t>Viking Global Opportunities Portfolio GP LLC (“Opportunities Portfolio GP”),</w:t>
            </w:r>
          </w:p>
        </w:tc>
        <w:tc>
          <w:tcPr>
            <w:tcW w:w="1260" w:type="dxa"/>
            <w:vAlign w:val="bottom"/>
          </w:tcPr>
          <w:p>
            <w:pPr>
              <w:spacing w:after="0"/>
              <w:rPr>
                <w:sz w:val="21"/>
                <w:szCs w:val="21"/>
                <w:color w:val="auto"/>
              </w:rPr>
            </w:pPr>
          </w:p>
        </w:tc>
      </w:tr>
      <w:tr>
        <w:trPr>
          <w:trHeight w:val="243"/>
        </w:trPr>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80" w:type="dxa"/>
            <w:vAlign w:val="bottom"/>
            <w:gridSpan w:val="9"/>
          </w:tcPr>
          <w:p>
            <w:pPr>
              <w:spacing w:after="0" w:line="243" w:lineRule="exact"/>
              <w:rPr>
                <w:sz w:val="20"/>
                <w:szCs w:val="20"/>
                <w:color w:val="auto"/>
              </w:rPr>
            </w:pPr>
            <w:r>
              <w:rPr>
                <w:rFonts w:ascii="Arial" w:cs="Arial" w:eastAsia="Arial" w:hAnsi="Arial"/>
                <w:sz w:val="22"/>
                <w:szCs w:val="22"/>
                <w:color w:val="auto"/>
              </w:rPr>
              <w:t>Viking Global Opportunities Illiquid Investments Sub-Master LP (“VGOP”),</w:t>
            </w:r>
          </w:p>
        </w:tc>
        <w:tc>
          <w:tcPr>
            <w:tcW w:w="1260" w:type="dxa"/>
            <w:vAlign w:val="bottom"/>
          </w:tcPr>
          <w:p>
            <w:pPr>
              <w:spacing w:after="0"/>
              <w:rPr>
                <w:sz w:val="21"/>
                <w:szCs w:val="21"/>
                <w:color w:val="auto"/>
              </w:rPr>
            </w:pPr>
          </w:p>
        </w:tc>
      </w:tr>
      <w:tr>
        <w:trPr>
          <w:trHeight w:val="274"/>
        </w:trPr>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80" w:type="dxa"/>
            <w:vAlign w:val="bottom"/>
            <w:gridSpan w:val="9"/>
          </w:tcPr>
          <w:p>
            <w:pPr>
              <w:spacing w:after="0"/>
              <w:rPr>
                <w:sz w:val="20"/>
                <w:szCs w:val="20"/>
                <w:color w:val="auto"/>
              </w:rPr>
            </w:pPr>
            <w:r>
              <w:rPr>
                <w:rFonts w:ascii="Arial" w:cs="Arial" w:eastAsia="Arial" w:hAnsi="Arial"/>
                <w:sz w:val="22"/>
                <w:szCs w:val="22"/>
                <w:color w:val="auto"/>
                <w:w w:val="93"/>
              </w:rPr>
              <w:t>O. Andreas Halvorsen, David C. Ott and Rose S. Shabet (collectively, the “Reporting Persons”)</w:t>
            </w:r>
          </w:p>
        </w:tc>
        <w:tc>
          <w:tcPr>
            <w:tcW w:w="1260" w:type="dxa"/>
            <w:vAlign w:val="bottom"/>
          </w:tcPr>
          <w:p>
            <w:pPr>
              <w:spacing w:after="0"/>
              <w:rPr>
                <w:sz w:val="23"/>
                <w:szCs w:val="23"/>
                <w:color w:val="auto"/>
              </w:rPr>
            </w:pPr>
          </w:p>
        </w:tc>
      </w:tr>
      <w:tr>
        <w:trPr>
          <w:trHeight w:val="408"/>
        </w:trPr>
        <w:tc>
          <w:tcPr>
            <w:tcW w:w="1000" w:type="dxa"/>
            <w:vAlign w:val="bottom"/>
            <w:gridSpan w:val="2"/>
          </w:tcPr>
          <w:p>
            <w:pPr>
              <w:spacing w:after="0"/>
              <w:rPr>
                <w:sz w:val="20"/>
                <w:szCs w:val="20"/>
                <w:color w:val="auto"/>
              </w:rPr>
            </w:pPr>
            <w:r>
              <w:rPr>
                <w:rFonts w:ascii="Arial" w:cs="Arial" w:eastAsia="Arial" w:hAnsi="Arial"/>
                <w:sz w:val="18"/>
                <w:szCs w:val="18"/>
                <w:color w:val="auto"/>
              </w:rPr>
              <w:t>Item 2(b).</w:t>
            </w:r>
          </w:p>
        </w:tc>
        <w:tc>
          <w:tcPr>
            <w:tcW w:w="8980" w:type="dxa"/>
            <w:vAlign w:val="bottom"/>
            <w:gridSpan w:val="10"/>
          </w:tcPr>
          <w:p>
            <w:pPr>
              <w:ind w:left="300"/>
              <w:spacing w:after="0"/>
              <w:rPr>
                <w:sz w:val="20"/>
                <w:szCs w:val="20"/>
                <w:color w:val="auto"/>
              </w:rPr>
            </w:pPr>
            <w:r>
              <w:rPr>
                <w:rFonts w:ascii="Arial" w:cs="Arial" w:eastAsia="Arial" w:hAnsi="Arial"/>
                <w:sz w:val="18"/>
                <w:szCs w:val="18"/>
                <w:color w:val="auto"/>
              </w:rPr>
              <w:t>Address of Principal Business Office or, if none, Residence:</w:t>
            </w:r>
          </w:p>
        </w:tc>
        <w:tc>
          <w:tcPr>
            <w:tcW w:w="126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60" w:type="dxa"/>
            <w:vAlign w:val="bottom"/>
            <w:gridSpan w:val="6"/>
            <w:shd w:val="clear" w:color="auto" w:fill="000000"/>
          </w:tcPr>
          <w:p>
            <w:pPr>
              <w:spacing w:after="0" w:line="20" w:lineRule="exact"/>
              <w:rPr>
                <w:sz w:val="1"/>
                <w:szCs w:val="1"/>
                <w:color w:val="auto"/>
              </w:rPr>
            </w:pPr>
          </w:p>
        </w:tc>
        <w:tc>
          <w:tcPr>
            <w:tcW w:w="5680" w:type="dxa"/>
            <w:vAlign w:val="bottom"/>
            <w:gridSpan w:val="3"/>
          </w:tcPr>
          <w:p>
            <w:pPr>
              <w:spacing w:after="0" w:line="20" w:lineRule="exact"/>
              <w:rPr>
                <w:sz w:val="1"/>
                <w:szCs w:val="1"/>
                <w:color w:val="auto"/>
              </w:rPr>
            </w:pPr>
          </w:p>
        </w:tc>
      </w:tr>
      <w:tr>
        <w:trPr>
          <w:trHeight w:val="517"/>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40" w:type="dxa"/>
            <w:vAlign w:val="bottom"/>
            <w:gridSpan w:val="10"/>
          </w:tcPr>
          <w:p>
            <w:pPr>
              <w:spacing w:after="0"/>
              <w:rPr>
                <w:sz w:val="20"/>
                <w:szCs w:val="20"/>
                <w:color w:val="auto"/>
              </w:rPr>
            </w:pPr>
            <w:r>
              <w:rPr>
                <w:rFonts w:ascii="Arial" w:cs="Arial" w:eastAsia="Arial" w:hAnsi="Arial"/>
                <w:sz w:val="22"/>
                <w:szCs w:val="22"/>
                <w:color w:val="auto"/>
                <w:w w:val="90"/>
              </w:rPr>
              <w:t>The business address of each of the Reporting Persons is: 55 Railroad Avenue, Greenwich, Connecticut 06830.</w:t>
            </w:r>
          </w:p>
        </w:tc>
      </w:tr>
      <w:tr>
        <w:trPr>
          <w:trHeight w:val="408"/>
        </w:trPr>
        <w:tc>
          <w:tcPr>
            <w:tcW w:w="1000" w:type="dxa"/>
            <w:vAlign w:val="bottom"/>
            <w:gridSpan w:val="2"/>
          </w:tcPr>
          <w:p>
            <w:pPr>
              <w:spacing w:after="0"/>
              <w:rPr>
                <w:sz w:val="20"/>
                <w:szCs w:val="20"/>
                <w:color w:val="auto"/>
              </w:rPr>
            </w:pPr>
            <w:r>
              <w:rPr>
                <w:rFonts w:ascii="Arial" w:cs="Arial" w:eastAsia="Arial" w:hAnsi="Arial"/>
                <w:sz w:val="18"/>
                <w:szCs w:val="18"/>
                <w:color w:val="auto"/>
              </w:rPr>
              <w:t>Item 2(c).</w:t>
            </w:r>
          </w:p>
        </w:tc>
        <w:tc>
          <w:tcPr>
            <w:tcW w:w="4120" w:type="dxa"/>
            <w:vAlign w:val="bottom"/>
            <w:gridSpan w:val="7"/>
          </w:tcPr>
          <w:p>
            <w:pPr>
              <w:ind w:left="300"/>
              <w:spacing w:after="0"/>
              <w:rPr>
                <w:sz w:val="20"/>
                <w:szCs w:val="20"/>
                <w:color w:val="auto"/>
              </w:rPr>
            </w:pPr>
            <w:r>
              <w:rPr>
                <w:rFonts w:ascii="Arial" w:cs="Arial" w:eastAsia="Arial" w:hAnsi="Arial"/>
                <w:sz w:val="18"/>
                <w:szCs w:val="18"/>
                <w:color w:val="auto"/>
              </w:rPr>
              <w:t>Citizenship:</w:t>
            </w: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
        </w:trPr>
        <w:tc>
          <w:tcPr>
            <w:tcW w:w="6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49" w:lineRule="exact"/>
        <w:rPr>
          <w:sz w:val="20"/>
          <w:szCs w:val="20"/>
          <w:color w:val="auto"/>
        </w:rPr>
      </w:pPr>
    </w:p>
    <w:p>
      <w:pPr>
        <w:ind w:right="20" w:firstLine="1296"/>
        <w:spacing w:after="0"/>
        <w:rPr>
          <w:sz w:val="20"/>
          <w:szCs w:val="20"/>
          <w:color w:val="auto"/>
        </w:rPr>
      </w:pPr>
      <w:r>
        <w:rPr>
          <w:rFonts w:ascii="Arial" w:cs="Arial" w:eastAsia="Arial" w:hAnsi="Arial"/>
          <w:sz w:val="22"/>
          <w:szCs w:val="22"/>
          <w:color w:val="auto"/>
        </w:rPr>
        <w:t>VGI is a Delaware limited partnership; Opportunities Parent, Opportunities GP and Opportunities Portfolio GP are Delaware limited liability companies; VGOP is a Cayman Islands exempted limited partnership; O. Andreas Halvorsen is a citizen of Norway; and David C. Ott and Rose S. Shabet are citizens of the United States.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Ordinary shares, par value €0.12 par value per share (“Common Stock”)</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CUSIP NUMBER: N69605108</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r>
        <w:rPr>
          <w:rFonts w:ascii="Arial" w:cs="Arial" w:eastAsia="Arial" w:hAnsi="Arial"/>
          <w:sz w:val="16"/>
          <w:szCs w:val="16"/>
          <w:color w:val="auto"/>
        </w:rPr>
        <w:t>:</w:t>
      </w:r>
    </w:p>
    <w:p>
      <w:pPr>
        <w:spacing w:after="0" w:line="219" w:lineRule="exact"/>
        <w:rPr>
          <w:sz w:val="20"/>
          <w:szCs w:val="20"/>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52"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52"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52"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52" w:lineRule="exact"/>
        <w:rPr>
          <w:rFonts w:ascii="Arial" w:cs="Arial" w:eastAsia="Arial" w:hAnsi="Arial"/>
          <w:sz w:val="18"/>
          <w:szCs w:val="18"/>
          <w:color w:val="auto"/>
        </w:rPr>
      </w:pPr>
    </w:p>
    <w:p>
      <w:pPr>
        <w:ind w:left="1960" w:hanging="656"/>
        <w:spacing w:after="0" w:line="196" w:lineRule="exact"/>
        <w:tabs>
          <w:tab w:leader="none" w:pos="1960" w:val="left"/>
        </w:tabs>
        <w:numPr>
          <w:ilvl w:val="0"/>
          <w:numId w:val="2"/>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Investment Adviser registered under Section 203 of the Investment Advisers Act of 1940: see Rule 13d-1(b)(1)(ii)(E)</w:t>
      </w:r>
    </w:p>
    <w:p>
      <w:pPr>
        <w:spacing w:after="0" w:line="263" w:lineRule="exact"/>
        <w:rPr>
          <w:rFonts w:ascii="Arial" w:cs="Arial" w:eastAsia="Arial" w:hAnsi="Arial"/>
          <w:sz w:val="17"/>
          <w:szCs w:val="17"/>
          <w:color w:val="auto"/>
        </w:rPr>
      </w:pPr>
    </w:p>
    <w:p>
      <w:pPr>
        <w:ind w:left="1960" w:right="80" w:hanging="656"/>
        <w:spacing w:after="0" w:line="239" w:lineRule="exact"/>
        <w:tabs>
          <w:tab w:leader="none" w:pos="196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Pension Fund which is subject to the provisions of the Employee Retirement Income Security Act of 1974 or Endowment Fund; see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N69605108</w:t>
            </w: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3700" w:type="dxa"/>
            <w:vAlign w:val="bottom"/>
            <w:tcBorders>
              <w:top w:val="single" w:sz="8" w:color="auto"/>
              <w:bottom w:val="single" w:sz="8" w:color="auto"/>
              <w:right w:val="single" w:sz="8" w:color="auto"/>
            </w:tcBorders>
          </w:tcPr>
          <w:p>
            <w:pPr>
              <w:ind w:left="2880"/>
              <w:spacing w:after="0"/>
              <w:rPr>
                <w:sz w:val="20"/>
                <w:szCs w:val="20"/>
                <w:color w:val="auto"/>
              </w:rPr>
            </w:pPr>
            <w:r>
              <w:rPr>
                <w:rFonts w:ascii="Arial" w:cs="Arial" w:eastAsia="Arial" w:hAnsi="Arial"/>
                <w:sz w:val="14"/>
                <w:szCs w:val="14"/>
                <w:b w:val="1"/>
                <w:bCs w:val="1"/>
                <w:color w:val="auto"/>
                <w:w w:val="87"/>
              </w:rPr>
              <w:t>Page 11 of 16</w:t>
            </w:r>
          </w:p>
        </w:tc>
      </w:tr>
    </w:tbl>
    <w:p>
      <w:pPr>
        <w:spacing w:after="0" w:line="129" w:lineRule="exact"/>
        <w:rPr>
          <w:sz w:val="20"/>
          <w:szCs w:val="20"/>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in accordance with Rule 13d-1(b)(1)(ii)(G).</w:t>
      </w:r>
    </w:p>
    <w:p>
      <w:pPr>
        <w:spacing w:after="0" w:line="252"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52" w:lineRule="exact"/>
        <w:rPr>
          <w:rFonts w:ascii="Arial" w:cs="Arial" w:eastAsia="Arial" w:hAnsi="Arial"/>
          <w:sz w:val="18"/>
          <w:szCs w:val="18"/>
          <w:color w:val="auto"/>
        </w:rPr>
      </w:pPr>
    </w:p>
    <w:p>
      <w:pPr>
        <w:ind w:left="1960" w:right="680" w:hanging="656"/>
        <w:spacing w:after="0" w:line="239"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Church Plan that is excluded from the definition of an investment company under Section 3(c)(14) of the Investment Company Act of 1940.</w:t>
      </w:r>
    </w:p>
    <w:p>
      <w:pPr>
        <w:spacing w:after="0" w:line="197" w:lineRule="exact"/>
        <w:rPr>
          <w:rFonts w:ascii="Arial" w:cs="Arial" w:eastAsia="Arial" w:hAnsi="Arial"/>
          <w:sz w:val="18"/>
          <w:szCs w:val="18"/>
          <w:color w:val="auto"/>
        </w:rPr>
      </w:pPr>
    </w:p>
    <w:p>
      <w:pPr>
        <w:ind w:left="1960" w:right="380" w:hanging="656"/>
        <w:spacing w:after="0" w:line="239"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Non-U.S. institution in accordance with Rule 240.13d-1(b)(1)(ii)(J). If filing as a non-U.S. institution in accordance with Rule 240.13d-1(b)(1)(ii)(J), please specify the type of institution:</w:t>
      </w:r>
    </w:p>
    <w:p>
      <w:pPr>
        <w:spacing w:after="0" w:line="197" w:lineRule="exact"/>
        <w:rPr>
          <w:rFonts w:ascii="Arial" w:cs="Arial" w:eastAsia="Arial" w:hAnsi="Arial"/>
          <w:sz w:val="18"/>
          <w:szCs w:val="18"/>
          <w:color w:val="auto"/>
        </w:rPr>
      </w:pPr>
    </w:p>
    <w:p>
      <w:pPr>
        <w:ind w:left="1960" w:hanging="656"/>
        <w:spacing w:after="0" w:line="207" w:lineRule="exact"/>
        <w:tabs>
          <w:tab w:leader="none" w:pos="19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2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45" w:lineRule="exact"/>
        <w:rPr>
          <w:sz w:val="20"/>
          <w:szCs w:val="20"/>
          <w:color w:val="auto"/>
        </w:rPr>
      </w:pPr>
    </w:p>
    <w:p>
      <w:pPr>
        <w:jc w:val="both"/>
        <w:ind w:left="1300" w:right="400"/>
        <w:spacing w:after="0"/>
        <w:rPr>
          <w:sz w:val="20"/>
          <w:szCs w:val="20"/>
          <w:color w:val="auto"/>
        </w:rPr>
      </w:pPr>
      <w:r>
        <w:rPr>
          <w:rFonts w:ascii="Arial" w:cs="Arial" w:eastAsia="Arial" w:hAnsi="Arial"/>
          <w:sz w:val="22"/>
          <w:szCs w:val="22"/>
          <w:color w:val="auto"/>
        </w:rPr>
        <w:t>The percentages set forth herein are based on 33,128,593 shares of Common Stock outstanding as of April 22, 2021, as reported by the Issuer in its annual report on Form 20-F, filed with the U.S. Securities and Exchange Commission (the “Commission”) on April 29, 2021.</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VGI</w:t>
      </w:r>
    </w:p>
    <w:p>
      <w:pPr>
        <w:spacing w:after="0" w:line="240" w:lineRule="exact"/>
        <w:rPr>
          <w:sz w:val="20"/>
          <w:szCs w:val="20"/>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2,455,536</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7.4%</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2,455,536</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2,455,536</w:t>
      </w:r>
    </w:p>
    <w:p>
      <w:pPr>
        <w:spacing w:after="0" w:line="245" w:lineRule="exact"/>
        <w:rPr>
          <w:sz w:val="20"/>
          <w:szCs w:val="20"/>
          <w:color w:val="auto"/>
        </w:rPr>
      </w:pPr>
    </w:p>
    <w:p>
      <w:pPr>
        <w:ind w:left="1960" w:right="420"/>
        <w:spacing w:after="0" w:line="250" w:lineRule="auto"/>
        <w:rPr>
          <w:sz w:val="20"/>
          <w:szCs w:val="20"/>
          <w:color w:val="auto"/>
        </w:rPr>
      </w:pPr>
      <w:r>
        <w:rPr>
          <w:rFonts w:ascii="Arial" w:cs="Arial" w:eastAsia="Arial" w:hAnsi="Arial"/>
          <w:sz w:val="22"/>
          <w:szCs w:val="22"/>
          <w:color w:val="auto"/>
        </w:rPr>
        <w:t>VGI provides managerial services to VGOP. VGI has the authority to dispose of and vote the shares of Common Stock.</w:t>
      </w:r>
    </w:p>
    <w:p>
      <w:pPr>
        <w:spacing w:after="0" w:line="202" w:lineRule="exact"/>
        <w:rPr>
          <w:sz w:val="20"/>
          <w:szCs w:val="20"/>
          <w:color w:val="auto"/>
        </w:rPr>
      </w:pPr>
    </w:p>
    <w:p>
      <w:pPr>
        <w:ind w:left="1960" w:right="340"/>
        <w:spacing w:after="0"/>
        <w:rPr>
          <w:sz w:val="20"/>
          <w:szCs w:val="20"/>
          <w:color w:val="auto"/>
        </w:rPr>
      </w:pPr>
      <w:r>
        <w:rPr>
          <w:rFonts w:ascii="Arial" w:cs="Arial" w:eastAsia="Arial" w:hAnsi="Arial"/>
          <w:sz w:val="22"/>
          <w:szCs w:val="22"/>
          <w:color w:val="auto"/>
        </w:rPr>
        <w:t>Based on Rule 13d-3 of the Securities Exchange Act of 1934, as amended (the “Act”), VGI may be deemed to beneficially own the shares of Common Stock directly held by VGOP. VGI does not directly own any shares of Common Stock.</w:t>
      </w:r>
    </w:p>
    <w:p>
      <w:pPr>
        <w:spacing w:after="0" w:line="213" w:lineRule="exact"/>
        <w:rPr>
          <w:sz w:val="20"/>
          <w:szCs w:val="20"/>
          <w:color w:val="auto"/>
        </w:rPr>
      </w:pPr>
    </w:p>
    <w:p>
      <w:pPr>
        <w:ind w:left="1960" w:right="400"/>
        <w:spacing w:after="0" w:line="250" w:lineRule="auto"/>
        <w:rPr>
          <w:sz w:val="20"/>
          <w:szCs w:val="20"/>
          <w:color w:val="auto"/>
        </w:rPr>
      </w:pPr>
      <w:r>
        <w:rPr>
          <w:rFonts w:ascii="Arial" w:cs="Arial" w:eastAsia="Arial" w:hAnsi="Arial"/>
          <w:sz w:val="22"/>
          <w:szCs w:val="22"/>
          <w:color w:val="auto"/>
        </w:rPr>
        <w:t>VGI beneficially owns 2,455,536 shares of Common Stock consisting of 2,455,536 shares of Common Stock directly and beneficially owned by VGOP.</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Opportunities Parent</w:t>
      </w:r>
    </w:p>
    <w:p>
      <w:pPr>
        <w:spacing w:after="0" w:line="240" w:lineRule="exact"/>
        <w:rPr>
          <w:sz w:val="20"/>
          <w:szCs w:val="20"/>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2,455,536</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spacing w:after="0"/>
        <w:tabs>
          <w:tab w:leader="none" w:pos="5440" w:val="left"/>
          <w:tab w:leader="none" w:pos="103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CUSIP No. N69605108</w:t>
      </w:r>
      <w:r>
        <w:rPr>
          <w:sz w:val="20"/>
          <w:szCs w:val="20"/>
          <w:color w:val="auto"/>
        </w:rPr>
        <w:tab/>
      </w:r>
      <w:r>
        <w:rPr>
          <w:rFonts w:ascii="Arial" w:cs="Arial" w:eastAsia="Arial" w:hAnsi="Arial"/>
          <w:sz w:val="14"/>
          <w:szCs w:val="14"/>
          <w:b w:val="1"/>
          <w:bCs w:val="1"/>
          <w:color w:val="auto"/>
        </w:rPr>
        <w:t>13G</w:t>
      </w:r>
      <w:r>
        <w:rPr>
          <w:sz w:val="20"/>
          <w:szCs w:val="20"/>
          <w:color w:val="auto"/>
        </w:rPr>
        <w:tab/>
      </w:r>
      <w:r>
        <w:rPr>
          <w:rFonts w:ascii="Arial" w:cs="Arial" w:eastAsia="Arial" w:hAnsi="Arial"/>
          <w:sz w:val="12"/>
          <w:szCs w:val="12"/>
          <w:b w:val="1"/>
          <w:bCs w:val="1"/>
          <w:color w:val="auto"/>
        </w:rPr>
        <w:t>Page 12 of 16</w:t>
      </w:r>
    </w:p>
    <w:p>
      <w:pPr>
        <w:sectPr>
          <w:pgSz w:w="11900" w:h="16838" w:orient="portrait"/>
          <w:cols w:equalWidth="0" w:num="1">
            <w:col w:w="11180"/>
          </w:cols>
          <w:pgMar w:left="360" w:top="144" w:right="359" w:bottom="1440" w:gutter="0" w:footer="0" w:header="0"/>
        </w:sectPr>
      </w:pPr>
    </w:p>
    <w:p>
      <w:pPr>
        <w:spacing w:after="0" w:line="198" w:lineRule="exact"/>
        <w:rPr>
          <w:sz w:val="20"/>
          <w:szCs w:val="20"/>
          <w:color w:val="auto"/>
        </w:rPr>
      </w:pPr>
    </w:p>
    <w:p>
      <w:pPr>
        <w:ind w:left="1920" w:hanging="656"/>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2,455,536</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2,455,536</w:t>
      </w:r>
    </w:p>
    <w:p>
      <w:pPr>
        <w:spacing w:after="0" w:line="245" w:lineRule="exact"/>
        <w:rPr>
          <w:sz w:val="20"/>
          <w:szCs w:val="20"/>
          <w:color w:val="auto"/>
        </w:rPr>
      </w:pPr>
    </w:p>
    <w:p>
      <w:pPr>
        <w:ind w:left="1920" w:right="20"/>
        <w:spacing w:after="0" w:line="238" w:lineRule="auto"/>
        <w:rPr>
          <w:sz w:val="20"/>
          <w:szCs w:val="20"/>
          <w:color w:val="auto"/>
        </w:rPr>
      </w:pPr>
      <w:r>
        <w:rPr>
          <w:rFonts w:ascii="Arial" w:cs="Arial" w:eastAsia="Arial" w:hAnsi="Arial"/>
          <w:sz w:val="22"/>
          <w:szCs w:val="22"/>
          <w:color w:val="auto"/>
        </w:rPr>
        <w:t>Opportunities Parent is the GP of Opportunities GP, which has the authority to dispose of and vote the shares of Common Stock controlled by Opportunities Portfolio GP, which consists of the shares of Common Stock directly held by VGOP. Opportunities Parent does not directly own any shares of Common Stock.</w:t>
      </w:r>
    </w:p>
    <w:p>
      <w:pPr>
        <w:spacing w:after="0" w:line="212" w:lineRule="exact"/>
        <w:rPr>
          <w:sz w:val="20"/>
          <w:szCs w:val="20"/>
          <w:color w:val="auto"/>
        </w:rPr>
      </w:pPr>
    </w:p>
    <w:p>
      <w:pPr>
        <w:ind w:left="1920" w:right="360"/>
        <w:spacing w:after="0" w:line="250" w:lineRule="auto"/>
        <w:rPr>
          <w:sz w:val="20"/>
          <w:szCs w:val="20"/>
          <w:color w:val="auto"/>
        </w:rPr>
      </w:pPr>
      <w:r>
        <w:rPr>
          <w:rFonts w:ascii="Arial" w:cs="Arial" w:eastAsia="Arial" w:hAnsi="Arial"/>
          <w:sz w:val="22"/>
          <w:szCs w:val="22"/>
          <w:color w:val="auto"/>
        </w:rPr>
        <w:t>Based on Rule 13d-3 of the Act, Opportunities Parent may be deemed to beneficially own the shares of Common Stock directly held by VGOP.</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 Opportunities GP</w:t>
      </w:r>
    </w:p>
    <w:p>
      <w:pPr>
        <w:spacing w:after="0" w:line="240" w:lineRule="exact"/>
        <w:rPr>
          <w:sz w:val="20"/>
          <w:szCs w:val="20"/>
          <w:color w:val="auto"/>
        </w:rPr>
      </w:pPr>
    </w:p>
    <w:p>
      <w:pPr>
        <w:ind w:left="1920" w:hanging="656"/>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2,455,536</w:t>
      </w:r>
    </w:p>
    <w:p>
      <w:pPr>
        <w:spacing w:after="0" w:line="252" w:lineRule="exact"/>
        <w:rPr>
          <w:rFonts w:ascii="Arial" w:cs="Arial" w:eastAsia="Arial" w:hAnsi="Arial"/>
          <w:sz w:val="18"/>
          <w:szCs w:val="18"/>
          <w:color w:val="auto"/>
        </w:rPr>
      </w:pPr>
    </w:p>
    <w:p>
      <w:pPr>
        <w:ind w:left="1920" w:hanging="656"/>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7.4%</w:t>
      </w:r>
    </w:p>
    <w:p>
      <w:pPr>
        <w:spacing w:after="0" w:line="252" w:lineRule="exact"/>
        <w:rPr>
          <w:rFonts w:ascii="Arial" w:cs="Arial" w:eastAsia="Arial" w:hAnsi="Arial"/>
          <w:sz w:val="18"/>
          <w:szCs w:val="18"/>
          <w:color w:val="auto"/>
        </w:rPr>
      </w:pPr>
    </w:p>
    <w:p>
      <w:pPr>
        <w:ind w:left="1920" w:hanging="656"/>
        <w:spacing w:after="0"/>
        <w:tabs>
          <w:tab w:leader="none" w:pos="1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2,455,536</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2,455,536</w:t>
      </w:r>
    </w:p>
    <w:p>
      <w:pPr>
        <w:spacing w:after="0" w:line="245" w:lineRule="exact"/>
        <w:rPr>
          <w:sz w:val="20"/>
          <w:szCs w:val="20"/>
          <w:color w:val="auto"/>
        </w:rPr>
      </w:pPr>
    </w:p>
    <w:p>
      <w:pPr>
        <w:ind w:left="1920" w:right="20"/>
        <w:spacing w:after="0" w:line="238" w:lineRule="auto"/>
        <w:rPr>
          <w:sz w:val="20"/>
          <w:szCs w:val="20"/>
          <w:color w:val="auto"/>
        </w:rPr>
      </w:pPr>
      <w:r>
        <w:rPr>
          <w:rFonts w:ascii="Arial" w:cs="Arial" w:eastAsia="Arial" w:hAnsi="Arial"/>
          <w:sz w:val="22"/>
          <w:szCs w:val="22"/>
          <w:color w:val="auto"/>
        </w:rPr>
        <w:t>Opportunities GP serves as the sole member of Opportunities Portfolio GP and has the authority to dispose of and vote the shares of Common Stock controlled by Opportunities Portfolio GP, which consists of the shares of Common Stock directly held by VGOP. Opportunities GP does not directly own any shares of Common Stock.</w:t>
      </w:r>
    </w:p>
    <w:p>
      <w:pPr>
        <w:spacing w:after="0" w:line="212" w:lineRule="exact"/>
        <w:rPr>
          <w:sz w:val="20"/>
          <w:szCs w:val="20"/>
          <w:color w:val="auto"/>
        </w:rPr>
      </w:pPr>
    </w:p>
    <w:p>
      <w:pPr>
        <w:ind w:left="1920" w:right="620"/>
        <w:spacing w:after="0" w:line="250" w:lineRule="auto"/>
        <w:rPr>
          <w:sz w:val="20"/>
          <w:szCs w:val="20"/>
          <w:color w:val="auto"/>
        </w:rPr>
      </w:pPr>
      <w:r>
        <w:rPr>
          <w:rFonts w:ascii="Arial" w:cs="Arial" w:eastAsia="Arial" w:hAnsi="Arial"/>
          <w:sz w:val="22"/>
          <w:szCs w:val="22"/>
          <w:color w:val="auto"/>
        </w:rPr>
        <w:t>Based on Rule 13d-3 of the Act, Opportunities GP may be deemed to beneficially own the shares of Common Stock directly held by VGOP.</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 Opportunities Portfolio GP</w:t>
      </w:r>
    </w:p>
    <w:p>
      <w:pPr>
        <w:spacing w:after="0" w:line="240" w:lineRule="exact"/>
        <w:rPr>
          <w:sz w:val="20"/>
          <w:szCs w:val="20"/>
          <w:color w:val="auto"/>
        </w:rPr>
      </w:pPr>
    </w:p>
    <w:p>
      <w:pPr>
        <w:ind w:left="1920" w:hanging="656"/>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2,455,536</w:t>
      </w:r>
    </w:p>
    <w:p>
      <w:pPr>
        <w:spacing w:after="0" w:line="252" w:lineRule="exact"/>
        <w:rPr>
          <w:rFonts w:ascii="Arial" w:cs="Arial" w:eastAsia="Arial" w:hAnsi="Arial"/>
          <w:sz w:val="18"/>
          <w:szCs w:val="18"/>
          <w:color w:val="auto"/>
        </w:rPr>
      </w:pPr>
    </w:p>
    <w:p>
      <w:pPr>
        <w:ind w:left="1920" w:hanging="656"/>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7.4%</w:t>
      </w:r>
    </w:p>
    <w:p>
      <w:pPr>
        <w:spacing w:after="0" w:line="252" w:lineRule="exact"/>
        <w:rPr>
          <w:rFonts w:ascii="Arial" w:cs="Arial" w:eastAsia="Arial" w:hAnsi="Arial"/>
          <w:sz w:val="18"/>
          <w:szCs w:val="18"/>
          <w:color w:val="auto"/>
        </w:rPr>
      </w:pPr>
    </w:p>
    <w:p>
      <w:pPr>
        <w:ind w:left="1920" w:hanging="656"/>
        <w:spacing w:after="0"/>
        <w:tabs>
          <w:tab w:leader="none" w:pos="1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2,455,536</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2,455,536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288925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44" w:right="359" w:bottom="1440" w:gutter="0" w:footer="0" w:header="0"/>
          <w:type w:val="continuous"/>
        </w:sectPr>
      </w:pPr>
    </w:p>
    <w:bookmarkStart w:id="12" w:name="page13"/>
    <w:bookmarkEnd w:id="12"/>
    <w:p>
      <w:pPr>
        <w:spacing w:after="0"/>
        <w:tabs>
          <w:tab w:leader="none" w:pos="5440" w:val="left"/>
          <w:tab w:leader="none" w:pos="1034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CUSIP No. N69605108</w:t>
      </w:r>
      <w:r>
        <w:rPr>
          <w:sz w:val="20"/>
          <w:szCs w:val="20"/>
          <w:color w:val="auto"/>
        </w:rPr>
        <w:tab/>
      </w:r>
      <w:r>
        <w:rPr>
          <w:rFonts w:ascii="Arial" w:cs="Arial" w:eastAsia="Arial" w:hAnsi="Arial"/>
          <w:sz w:val="14"/>
          <w:szCs w:val="14"/>
          <w:b w:val="1"/>
          <w:bCs w:val="1"/>
          <w:color w:val="auto"/>
        </w:rPr>
        <w:t>13G</w:t>
      </w:r>
      <w:r>
        <w:rPr>
          <w:sz w:val="20"/>
          <w:szCs w:val="20"/>
          <w:color w:val="auto"/>
        </w:rPr>
        <w:tab/>
      </w:r>
      <w:r>
        <w:rPr>
          <w:rFonts w:ascii="Arial" w:cs="Arial" w:eastAsia="Arial" w:hAnsi="Arial"/>
          <w:sz w:val="12"/>
          <w:szCs w:val="12"/>
          <w:b w:val="1"/>
          <w:bCs w:val="1"/>
          <w:color w:val="auto"/>
        </w:rPr>
        <w:t>Page 13 of 16</w:t>
      </w:r>
    </w:p>
    <w:p>
      <w:pPr>
        <w:sectPr>
          <w:pgSz w:w="11900" w:h="16838" w:orient="portrait"/>
          <w:cols w:equalWidth="0" w:num="1">
            <w:col w:w="11180"/>
          </w:cols>
          <w:pgMar w:left="360" w:top="144" w:right="359" w:bottom="1440" w:gutter="0" w:footer="0" w:header="0"/>
        </w:sectPr>
      </w:pPr>
    </w:p>
    <w:p>
      <w:pPr>
        <w:spacing w:after="0" w:line="191" w:lineRule="exact"/>
        <w:rPr>
          <w:sz w:val="20"/>
          <w:szCs w:val="20"/>
          <w:color w:val="auto"/>
        </w:rPr>
      </w:pPr>
    </w:p>
    <w:p>
      <w:pPr>
        <w:jc w:val="both"/>
        <w:ind w:left="1920" w:right="160"/>
        <w:spacing w:after="0"/>
        <w:rPr>
          <w:sz w:val="20"/>
          <w:szCs w:val="20"/>
          <w:color w:val="auto"/>
        </w:rPr>
      </w:pPr>
      <w:r>
        <w:rPr>
          <w:rFonts w:ascii="Arial" w:cs="Arial" w:eastAsia="Arial" w:hAnsi="Arial"/>
          <w:sz w:val="22"/>
          <w:szCs w:val="22"/>
          <w:color w:val="auto"/>
        </w:rPr>
        <w:t>Opportunities Portfolio GP serves as the general partner of VGOP and has the authority to dispose of and vote the shares of Common Stock directly owned by VGOP. Opportunities Portfolio GP does not directly own any shares of Common Stock.</w:t>
      </w:r>
    </w:p>
    <w:p>
      <w:pPr>
        <w:spacing w:after="0" w:line="213" w:lineRule="exact"/>
        <w:rPr>
          <w:sz w:val="20"/>
          <w:szCs w:val="20"/>
          <w:color w:val="auto"/>
        </w:rPr>
      </w:pPr>
    </w:p>
    <w:p>
      <w:pPr>
        <w:ind w:left="1920" w:right="40"/>
        <w:spacing w:after="0" w:line="250" w:lineRule="auto"/>
        <w:rPr>
          <w:sz w:val="20"/>
          <w:szCs w:val="20"/>
          <w:color w:val="auto"/>
        </w:rPr>
      </w:pPr>
      <w:r>
        <w:rPr>
          <w:rFonts w:ascii="Arial" w:cs="Arial" w:eastAsia="Arial" w:hAnsi="Arial"/>
          <w:sz w:val="22"/>
          <w:szCs w:val="22"/>
          <w:color w:val="auto"/>
        </w:rPr>
        <w:t>Based on Rule 13d-3 of the Act, Opportunities Portfolio GP may be deemed to beneficially own the shares of Common Stock directly held by VGOP.</w:t>
      </w:r>
    </w:p>
    <w:p>
      <w:pPr>
        <w:spacing w:after="0" w:line="202" w:lineRule="exact"/>
        <w:rPr>
          <w:sz w:val="20"/>
          <w:szCs w:val="20"/>
          <w:color w:val="auto"/>
        </w:rPr>
      </w:pPr>
    </w:p>
    <w:p>
      <w:pPr>
        <w:ind w:left="860" w:hanging="244"/>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VGOP</w:t>
      </w:r>
    </w:p>
    <w:p>
      <w:pPr>
        <w:spacing w:after="0" w:line="240" w:lineRule="exact"/>
        <w:rPr>
          <w:rFonts w:ascii="Arial" w:cs="Arial" w:eastAsia="Arial" w:hAnsi="Arial"/>
          <w:sz w:val="22"/>
          <w:szCs w:val="22"/>
          <w:color w:val="auto"/>
        </w:rPr>
      </w:pPr>
    </w:p>
    <w:p>
      <w:pPr>
        <w:ind w:left="1920" w:hanging="656"/>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Amount beneficially owned: 2,455,536</w:t>
      </w:r>
    </w:p>
    <w:p>
      <w:pPr>
        <w:spacing w:after="0" w:line="252" w:lineRule="exact"/>
        <w:rPr>
          <w:rFonts w:ascii="Arial" w:cs="Arial" w:eastAsia="Arial" w:hAnsi="Arial"/>
          <w:sz w:val="18"/>
          <w:szCs w:val="18"/>
          <w:color w:val="auto"/>
        </w:rPr>
      </w:pPr>
    </w:p>
    <w:p>
      <w:pPr>
        <w:ind w:left="1920" w:hanging="656"/>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7.4%</w:t>
      </w:r>
    </w:p>
    <w:p>
      <w:pPr>
        <w:spacing w:after="0" w:line="252" w:lineRule="exact"/>
        <w:rPr>
          <w:rFonts w:ascii="Arial" w:cs="Arial" w:eastAsia="Arial" w:hAnsi="Arial"/>
          <w:sz w:val="18"/>
          <w:szCs w:val="18"/>
          <w:color w:val="auto"/>
        </w:rPr>
      </w:pPr>
    </w:p>
    <w:p>
      <w:pPr>
        <w:ind w:left="1920" w:hanging="656"/>
        <w:spacing w:after="0"/>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2,455,536</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2,455,536</w:t>
      </w:r>
    </w:p>
    <w:p>
      <w:pPr>
        <w:spacing w:after="0" w:line="245" w:lineRule="exact"/>
        <w:rPr>
          <w:sz w:val="20"/>
          <w:szCs w:val="20"/>
          <w:color w:val="auto"/>
        </w:rPr>
      </w:pPr>
    </w:p>
    <w:p>
      <w:pPr>
        <w:ind w:left="1920" w:right="260"/>
        <w:spacing w:after="0" w:line="257" w:lineRule="auto"/>
        <w:rPr>
          <w:sz w:val="20"/>
          <w:szCs w:val="20"/>
          <w:color w:val="auto"/>
        </w:rPr>
      </w:pPr>
      <w:r>
        <w:rPr>
          <w:rFonts w:ascii="Arial" w:cs="Arial" w:eastAsia="Arial" w:hAnsi="Arial"/>
          <w:sz w:val="21"/>
          <w:szCs w:val="21"/>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w:t>
      </w:r>
    </w:p>
    <w:p>
      <w:pPr>
        <w:spacing w:after="0" w:line="196" w:lineRule="exact"/>
        <w:rPr>
          <w:sz w:val="20"/>
          <w:szCs w:val="20"/>
          <w:color w:val="auto"/>
        </w:rPr>
      </w:pPr>
    </w:p>
    <w:p>
      <w:pPr>
        <w:ind w:left="1920" w:right="40"/>
        <w:spacing w:after="0" w:line="236" w:lineRule="auto"/>
        <w:rPr>
          <w:sz w:val="20"/>
          <w:szCs w:val="20"/>
          <w:color w:val="auto"/>
        </w:rPr>
      </w:pPr>
      <w:r>
        <w:rPr>
          <w:rFonts w:ascii="Arial" w:cs="Arial" w:eastAsia="Arial" w:hAnsi="Arial"/>
          <w:sz w:val="22"/>
          <w:szCs w:val="22"/>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F. O. Andreas Halvorsen, David C. Ott and Rose S. Shabet</w:t>
      </w:r>
    </w:p>
    <w:p>
      <w:pPr>
        <w:spacing w:after="0" w:line="240" w:lineRule="exact"/>
        <w:rPr>
          <w:sz w:val="20"/>
          <w:szCs w:val="20"/>
          <w:color w:val="auto"/>
        </w:rPr>
      </w:pPr>
    </w:p>
    <w:p>
      <w:pPr>
        <w:ind w:left="1920" w:hanging="656"/>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2,455,536</w:t>
      </w:r>
    </w:p>
    <w:p>
      <w:pPr>
        <w:spacing w:after="0" w:line="252" w:lineRule="exact"/>
        <w:rPr>
          <w:rFonts w:ascii="Arial" w:cs="Arial" w:eastAsia="Arial" w:hAnsi="Arial"/>
          <w:sz w:val="18"/>
          <w:szCs w:val="18"/>
          <w:color w:val="auto"/>
        </w:rPr>
      </w:pPr>
    </w:p>
    <w:p>
      <w:pPr>
        <w:ind w:left="1920" w:hanging="656"/>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7.4%</w:t>
      </w:r>
    </w:p>
    <w:p>
      <w:pPr>
        <w:spacing w:after="0" w:line="252" w:lineRule="exact"/>
        <w:rPr>
          <w:rFonts w:ascii="Arial" w:cs="Arial" w:eastAsia="Arial" w:hAnsi="Arial"/>
          <w:sz w:val="18"/>
          <w:szCs w:val="18"/>
          <w:color w:val="auto"/>
        </w:rPr>
      </w:pPr>
    </w:p>
    <w:p>
      <w:pPr>
        <w:ind w:left="1920" w:hanging="656"/>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2,455,536</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2560" w:hanging="648"/>
        <w:spacing w:after="0"/>
        <w:tabs>
          <w:tab w:leader="none" w:pos="2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2,455,536</w:t>
      </w:r>
    </w:p>
    <w:p>
      <w:pPr>
        <w:spacing w:after="0" w:line="245" w:lineRule="exact"/>
        <w:rPr>
          <w:sz w:val="20"/>
          <w:szCs w:val="20"/>
          <w:color w:val="auto"/>
        </w:rPr>
      </w:pPr>
    </w:p>
    <w:p>
      <w:pPr>
        <w:ind w:left="1920" w:right="60"/>
        <w:spacing w:after="0" w:line="252" w:lineRule="auto"/>
        <w:rPr>
          <w:sz w:val="20"/>
          <w:szCs w:val="20"/>
          <w:color w:val="auto"/>
        </w:rPr>
      </w:pPr>
      <w:r>
        <w:rPr>
          <w:rFonts w:ascii="Arial" w:cs="Arial" w:eastAsia="Arial" w:hAnsi="Arial"/>
          <w:sz w:val="21"/>
          <w:szCs w:val="21"/>
          <w:color w:val="auto"/>
        </w:rPr>
        <w:t>Mr. Halvorsen, Mr. Ott and Ms. Shabet, as Executive Committee Members of Viking Global Partners LLC (general partner of VGI) and Opportunities Parent have shared authority to dispose of and vote the shares of Common Stock beneficially owned by VGI and Opportunities Parent. None of Mr. Halvorsen, Mr. Ott and Ms. Shabet directly owns any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44" w:right="35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N69605108</w:t>
            </w: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3700" w:type="dxa"/>
            <w:vAlign w:val="bottom"/>
            <w:tcBorders>
              <w:top w:val="single" w:sz="8" w:color="auto"/>
              <w:bottom w:val="single" w:sz="8" w:color="auto"/>
              <w:right w:val="single" w:sz="8" w:color="auto"/>
            </w:tcBorders>
          </w:tcPr>
          <w:p>
            <w:pPr>
              <w:ind w:left="2860"/>
              <w:spacing w:after="0"/>
              <w:rPr>
                <w:sz w:val="20"/>
                <w:szCs w:val="20"/>
                <w:color w:val="auto"/>
              </w:rPr>
            </w:pPr>
            <w:r>
              <w:rPr>
                <w:rFonts w:ascii="Arial" w:cs="Arial" w:eastAsia="Arial" w:hAnsi="Arial"/>
                <w:sz w:val="14"/>
                <w:szCs w:val="14"/>
                <w:b w:val="1"/>
                <w:bCs w:val="1"/>
                <w:color w:val="auto"/>
                <w:w w:val="89"/>
              </w:rPr>
              <w:t>Page 14 of 16</w:t>
            </w:r>
          </w:p>
        </w:tc>
      </w:tr>
    </w:tbl>
    <w:p>
      <w:pPr>
        <w:spacing w:after="0" w:line="154" w:lineRule="exact"/>
        <w:rPr>
          <w:sz w:val="20"/>
          <w:szCs w:val="20"/>
          <w:color w:val="auto"/>
        </w:rPr>
      </w:pPr>
    </w:p>
    <w:p>
      <w:pPr>
        <w:ind w:left="1960" w:right="360"/>
        <w:spacing w:after="0" w:line="250" w:lineRule="auto"/>
        <w:rPr>
          <w:sz w:val="20"/>
          <w:szCs w:val="20"/>
          <w:color w:val="auto"/>
        </w:rPr>
      </w:pPr>
      <w:r>
        <w:rPr>
          <w:rFonts w:ascii="Arial" w:cs="Arial" w:eastAsia="Arial" w:hAnsi="Arial"/>
          <w:sz w:val="22"/>
          <w:szCs w:val="22"/>
          <w:color w:val="auto"/>
        </w:rPr>
        <w:t>Based on Rule 13d-3 of the Act, each may be deemed to beneficially own the shares of Common Stock directly held by VGOP.</w:t>
      </w:r>
    </w:p>
    <w:p>
      <w:pPr>
        <w:spacing w:after="0" w:line="202" w:lineRule="exact"/>
        <w:rPr>
          <w:sz w:val="20"/>
          <w:szCs w:val="20"/>
          <w:color w:val="auto"/>
        </w:rPr>
      </w:pPr>
    </w:p>
    <w:p>
      <w:pPr>
        <w:ind w:left="1960" w:right="800"/>
        <w:spacing w:after="0" w:line="328" w:lineRule="auto"/>
        <w:rPr>
          <w:sz w:val="20"/>
          <w:szCs w:val="20"/>
          <w:color w:val="auto"/>
        </w:rPr>
      </w:pPr>
      <w:r>
        <w:rPr>
          <w:rFonts w:ascii="Arial" w:cs="Arial" w:eastAsia="Arial" w:hAnsi="Arial"/>
          <w:sz w:val="19"/>
          <w:szCs w:val="19"/>
          <w:color w:val="auto"/>
        </w:rPr>
        <w:t>Mr. Halvorsen, Mr. Ott and Ms. Shabet each beneficially own 2,455,536 shares of Common Stock consisting of 2,455,536 shares of Common Stock directly and beneficially owned by VGOP.</w:t>
      </w:r>
    </w:p>
    <w:p>
      <w:pPr>
        <w:spacing w:after="0" w:line="1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45" w:lineRule="exact"/>
        <w:rPr>
          <w:sz w:val="20"/>
          <w:szCs w:val="20"/>
          <w:color w:val="auto"/>
        </w:rPr>
      </w:pPr>
    </w:p>
    <w:p>
      <w:pPr>
        <w:ind w:right="160" w:firstLine="1296"/>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 Person.</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response to Item 4 is incorporated by reference herein.</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 xml:space="preserve">Certification. </w:t>
      </w:r>
      <w:r>
        <w:rPr>
          <w:rFonts w:ascii="Arial" w:cs="Arial" w:eastAsia="Arial" w:hAnsi="Arial"/>
          <w:sz w:val="16"/>
          <w:szCs w:val="16"/>
          <w:color w:val="auto"/>
        </w:rPr>
        <w:t>(if filing pursuant to Rule 13d-1(c))</w:t>
      </w:r>
    </w:p>
    <w:p>
      <w:pPr>
        <w:spacing w:after="0" w:line="245"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N69605108</w:t>
            </w: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3700" w:type="dxa"/>
            <w:vAlign w:val="bottom"/>
            <w:tcBorders>
              <w:top w:val="single" w:sz="8" w:color="auto"/>
              <w:bottom w:val="single" w:sz="8" w:color="auto"/>
              <w:right w:val="single" w:sz="8" w:color="auto"/>
            </w:tcBorders>
          </w:tcPr>
          <w:p>
            <w:pPr>
              <w:ind w:left="2860"/>
              <w:spacing w:after="0"/>
              <w:rPr>
                <w:sz w:val="20"/>
                <w:szCs w:val="20"/>
                <w:color w:val="auto"/>
              </w:rPr>
            </w:pPr>
            <w:r>
              <w:rPr>
                <w:rFonts w:ascii="Arial" w:cs="Arial" w:eastAsia="Arial" w:hAnsi="Arial"/>
                <w:sz w:val="14"/>
                <w:szCs w:val="14"/>
                <w:b w:val="1"/>
                <w:bCs w:val="1"/>
                <w:color w:val="auto"/>
                <w:w w:val="89"/>
              </w:rPr>
              <w:t>Page 15 of 16</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SIGNATURES</w:t>
      </w:r>
    </w:p>
    <w:p>
      <w:pPr>
        <w:spacing w:after="0" w:line="239"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our knowledge and belief, the undersigned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42303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4230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David C. Ott (2)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42303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Rose S. Shabet (3)</w:t>
      </w:r>
    </w:p>
    <w:p>
      <w:pPr>
        <w:spacing w:after="0" w:line="245" w:lineRule="exact"/>
        <w:rPr>
          <w:sz w:val="20"/>
          <w:szCs w:val="20"/>
          <w:color w:val="auto"/>
        </w:rPr>
      </w:pPr>
    </w:p>
    <w:p>
      <w:pPr>
        <w:ind w:right="360" w:firstLine="8"/>
        <w:spacing w:after="0" w:line="234" w:lineRule="auto"/>
        <w:tabs>
          <w:tab w:leader="none" w:pos="306" w:val="left"/>
        </w:tabs>
        <w:numPr>
          <w:ilvl w:val="0"/>
          <w:numId w:val="11"/>
        </w:numPr>
        <w:rPr>
          <w:rFonts w:ascii="Arial" w:cs="Arial" w:eastAsia="Arial" w:hAnsi="Arial"/>
          <w:sz w:val="22"/>
          <w:szCs w:val="22"/>
          <w:color w:val="auto"/>
        </w:rPr>
      </w:pPr>
      <w:r>
        <w:rPr>
          <w:rFonts w:ascii="Arial" w:cs="Arial" w:eastAsia="Arial" w:hAnsi="Arial"/>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7" w:lineRule="exact"/>
        <w:rPr>
          <w:rFonts w:ascii="Arial" w:cs="Arial" w:eastAsia="Arial" w:hAnsi="Arial"/>
          <w:sz w:val="22"/>
          <w:szCs w:val="22"/>
          <w:color w:val="auto"/>
        </w:rPr>
      </w:pPr>
    </w:p>
    <w:p>
      <w:pPr>
        <w:ind w:right="360" w:firstLine="8"/>
        <w:spacing w:after="0" w:line="234" w:lineRule="auto"/>
        <w:tabs>
          <w:tab w:leader="none" w:pos="306" w:val="left"/>
        </w:tabs>
        <w:numPr>
          <w:ilvl w:val="0"/>
          <w:numId w:val="11"/>
        </w:numPr>
        <w:rPr>
          <w:rFonts w:ascii="Arial" w:cs="Arial" w:eastAsia="Arial" w:hAnsi="Arial"/>
          <w:sz w:val="22"/>
          <w:szCs w:val="22"/>
          <w:color w:val="auto"/>
        </w:rPr>
      </w:pPr>
      <w:r>
        <w:rPr>
          <w:rFonts w:ascii="Arial" w:cs="Arial" w:eastAsia="Arial" w:hAnsi="Arial"/>
          <w:sz w:val="22"/>
          <w:szCs w:val="22"/>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7" w:lineRule="exact"/>
        <w:rPr>
          <w:rFonts w:ascii="Arial" w:cs="Arial" w:eastAsia="Arial" w:hAnsi="Arial"/>
          <w:sz w:val="22"/>
          <w:szCs w:val="22"/>
          <w:color w:val="auto"/>
        </w:rPr>
      </w:pPr>
    </w:p>
    <w:p>
      <w:pPr>
        <w:ind w:right="100" w:firstLine="8"/>
        <w:spacing w:after="0" w:line="234" w:lineRule="auto"/>
        <w:tabs>
          <w:tab w:leader="none" w:pos="306" w:val="left"/>
        </w:tabs>
        <w:numPr>
          <w:ilvl w:val="0"/>
          <w:numId w:val="11"/>
        </w:numPr>
        <w:rPr>
          <w:rFonts w:ascii="Arial" w:cs="Arial" w:eastAsia="Arial" w:hAnsi="Arial"/>
          <w:sz w:val="22"/>
          <w:szCs w:val="22"/>
          <w:color w:val="auto"/>
        </w:rPr>
      </w:pPr>
      <w:r>
        <w:rPr>
          <w:rFonts w:ascii="Arial" w:cs="Arial" w:eastAsia="Arial" w:hAnsi="Arial"/>
          <w:sz w:val="22"/>
          <w:szCs w:val="22"/>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83"/>
        </w:trPr>
        <w:tc>
          <w:tcPr>
            <w:tcW w:w="3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CUSIP No. N69605108</w:t>
            </w:r>
          </w:p>
        </w:tc>
        <w:tc>
          <w:tcPr>
            <w:tcW w:w="380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4"/>
                <w:szCs w:val="14"/>
                <w:b w:val="1"/>
                <w:bCs w:val="1"/>
                <w:color w:val="auto"/>
              </w:rPr>
              <w:t>13G</w:t>
            </w:r>
          </w:p>
        </w:tc>
        <w:tc>
          <w:tcPr>
            <w:tcW w:w="3700" w:type="dxa"/>
            <w:vAlign w:val="bottom"/>
            <w:tcBorders>
              <w:top w:val="single" w:sz="8" w:color="auto"/>
              <w:bottom w:val="single" w:sz="8" w:color="auto"/>
              <w:right w:val="single" w:sz="8" w:color="auto"/>
            </w:tcBorders>
          </w:tcPr>
          <w:p>
            <w:pPr>
              <w:ind w:left="2860"/>
              <w:spacing w:after="0"/>
              <w:rPr>
                <w:sz w:val="20"/>
                <w:szCs w:val="20"/>
                <w:color w:val="auto"/>
              </w:rPr>
            </w:pPr>
            <w:r>
              <w:rPr>
                <w:rFonts w:ascii="Arial" w:cs="Arial" w:eastAsia="Arial" w:hAnsi="Arial"/>
                <w:sz w:val="14"/>
                <w:szCs w:val="14"/>
                <w:b w:val="1"/>
                <w:bCs w:val="1"/>
                <w:color w:val="auto"/>
                <w:w w:val="89"/>
              </w:rPr>
              <w:t>Page 16 of 16</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 - JOINT FILING AGREEMENT</w:t>
      </w:r>
    </w:p>
    <w:p>
      <w:pPr>
        <w:spacing w:after="0" w:line="233" w:lineRule="exact"/>
        <w:rPr>
          <w:sz w:val="20"/>
          <w:szCs w:val="20"/>
          <w:color w:val="auto"/>
        </w:rPr>
      </w:pPr>
    </w:p>
    <w:p>
      <w:pPr>
        <w:ind w:right="120" w:firstLine="824"/>
        <w:spacing w:after="0" w:line="208" w:lineRule="auto"/>
        <w:rPr>
          <w:sz w:val="20"/>
          <w:szCs w:val="20"/>
          <w:color w:val="auto"/>
        </w:rPr>
      </w:pPr>
      <w:r>
        <w:rPr>
          <w:rFonts w:ascii="Arial" w:cs="Arial" w:eastAsia="Arial" w:hAnsi="Arial"/>
          <w:sz w:val="22"/>
          <w:szCs w:val="22"/>
          <w:color w:val="auto"/>
        </w:rPr>
        <w:t>This joint filing agreement is made and entered into as of this 14</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February, 2022, by and among Viking Global Investors LP, Viking Global Opportunities Parent GP LLC, Viking Global Opportunities GP LLC, Viking Global Opportunities Portfolio GP LLC, Viking Global Opportunities Illiquid Investments Sub-Master LP, O. Andreas Halvorsen, David C. Ott and Rose S. Shabet.</w:t>
      </w:r>
    </w:p>
    <w:p>
      <w:pPr>
        <w:spacing w:after="0" w:line="215" w:lineRule="exact"/>
        <w:rPr>
          <w:sz w:val="20"/>
          <w:szCs w:val="20"/>
          <w:color w:val="auto"/>
        </w:rPr>
      </w:pPr>
    </w:p>
    <w:p>
      <w:pPr>
        <w:ind w:firstLine="824"/>
        <w:spacing w:after="0" w:line="236" w:lineRule="auto"/>
        <w:rPr>
          <w:sz w:val="20"/>
          <w:szCs w:val="20"/>
          <w:color w:val="auto"/>
        </w:rPr>
      </w:pPr>
      <w:r>
        <w:rPr>
          <w:rFonts w:ascii="Arial" w:cs="Arial" w:eastAsia="Arial" w:hAnsi="Arial"/>
          <w:sz w:val="22"/>
          <w:szCs w:val="22"/>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21"/>
          <w:szCs w:val="21"/>
          <w:color w:val="auto"/>
        </w:rPr>
        <w:t>IN WITNESS WHEREOF, the parties hereto have executed this agreement as of the date first set forth above.</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February 14, 2022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4230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42303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David C. Ott (2)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M. Hendler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142303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Scott M. Hendler on behalf of Rose S. Shabet (3)</w:t>
      </w:r>
    </w:p>
    <w:p>
      <w:pPr>
        <w:spacing w:after="0" w:line="245" w:lineRule="exact"/>
        <w:rPr>
          <w:sz w:val="20"/>
          <w:szCs w:val="20"/>
          <w:color w:val="auto"/>
        </w:rPr>
      </w:pPr>
    </w:p>
    <w:p>
      <w:pPr>
        <w:ind w:right="360" w:firstLine="8"/>
        <w:spacing w:after="0" w:line="234" w:lineRule="auto"/>
        <w:tabs>
          <w:tab w:leader="none" w:pos="306" w:val="left"/>
        </w:tabs>
        <w:numPr>
          <w:ilvl w:val="0"/>
          <w:numId w:val="12"/>
        </w:numPr>
        <w:rPr>
          <w:rFonts w:ascii="Arial" w:cs="Arial" w:eastAsia="Arial" w:hAnsi="Arial"/>
          <w:sz w:val="22"/>
          <w:szCs w:val="22"/>
          <w:color w:val="auto"/>
        </w:rPr>
      </w:pPr>
      <w:r>
        <w:rPr>
          <w:rFonts w:ascii="Arial" w:cs="Arial" w:eastAsia="Arial" w:hAnsi="Arial"/>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7" w:lineRule="exact"/>
        <w:rPr>
          <w:rFonts w:ascii="Arial" w:cs="Arial" w:eastAsia="Arial" w:hAnsi="Arial"/>
          <w:sz w:val="22"/>
          <w:szCs w:val="22"/>
          <w:color w:val="auto"/>
        </w:rPr>
      </w:pPr>
    </w:p>
    <w:p>
      <w:pPr>
        <w:ind w:right="360" w:firstLine="8"/>
        <w:spacing w:after="0" w:line="234" w:lineRule="auto"/>
        <w:tabs>
          <w:tab w:leader="none" w:pos="306" w:val="left"/>
        </w:tabs>
        <w:numPr>
          <w:ilvl w:val="0"/>
          <w:numId w:val="12"/>
        </w:numPr>
        <w:rPr>
          <w:rFonts w:ascii="Arial" w:cs="Arial" w:eastAsia="Arial" w:hAnsi="Arial"/>
          <w:sz w:val="22"/>
          <w:szCs w:val="22"/>
          <w:color w:val="auto"/>
        </w:rPr>
      </w:pPr>
      <w:r>
        <w:rPr>
          <w:rFonts w:ascii="Arial" w:cs="Arial" w:eastAsia="Arial" w:hAnsi="Arial"/>
          <w:sz w:val="22"/>
          <w:szCs w:val="22"/>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7" w:lineRule="exact"/>
        <w:rPr>
          <w:rFonts w:ascii="Arial" w:cs="Arial" w:eastAsia="Arial" w:hAnsi="Arial"/>
          <w:sz w:val="22"/>
          <w:szCs w:val="22"/>
          <w:color w:val="auto"/>
        </w:rPr>
      </w:pPr>
    </w:p>
    <w:p>
      <w:pPr>
        <w:ind w:right="100" w:firstLine="8"/>
        <w:spacing w:after="0" w:line="234" w:lineRule="auto"/>
        <w:tabs>
          <w:tab w:leader="none" w:pos="306" w:val="left"/>
        </w:tabs>
        <w:numPr>
          <w:ilvl w:val="0"/>
          <w:numId w:val="12"/>
        </w:numPr>
        <w:rPr>
          <w:rFonts w:ascii="Arial" w:cs="Arial" w:eastAsia="Arial" w:hAnsi="Arial"/>
          <w:sz w:val="22"/>
          <w:szCs w:val="22"/>
          <w:color w:val="auto"/>
        </w:rPr>
      </w:pPr>
      <w:r>
        <w:rPr>
          <w:rFonts w:ascii="Arial" w:cs="Arial" w:eastAsia="Arial" w:hAnsi="Arial"/>
          <w:sz w:val="22"/>
          <w:szCs w:val="22"/>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7"/>
    </w:lvl>
  </w:abstractNum>
  <w:abstractNum w:abstractNumId="3">
    <w:nsid w:val="7545E146"/>
    <w:multiLevelType w:val="hybridMultilevel"/>
    <w:lvl w:ilvl="0">
      <w:lvlJc w:val="left"/>
      <w:lvlText w:val="(%1)"/>
      <w:numFmt w:val="lowerLetter"/>
      <w:start w:val="1"/>
    </w:lvl>
    <w:lvl w:ilvl="1">
      <w:lvlJc w:val="left"/>
      <w:lvlText w:val="(%2)"/>
      <w:numFmt w:val="lowerRoman"/>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3"/>
    </w:lvl>
    <w:lvl w:ilvl="1">
      <w:lvlJc w:val="left"/>
      <w:lvlText w:val="(%2)"/>
      <w:numFmt w:val="lowerRoman"/>
      <w:start w:val="1"/>
    </w:lvl>
  </w:abstractNum>
  <w:abstractNum w:abstractNumId="6">
    <w:nsid w:val="12200854"/>
    <w:multiLevelType w:val="hybridMultilevel"/>
    <w:lvl w:ilvl="0">
      <w:lvlJc w:val="left"/>
      <w:lvlText w:val="(%1)"/>
      <w:numFmt w:val="lowerLetter"/>
      <w:start w:val="1"/>
    </w:lvl>
    <w:lvl w:ilvl="1">
      <w:lvlJc w:val="left"/>
      <w:lvlText w:val="(%2)"/>
      <w:numFmt w:val="lowerRoman"/>
      <w:start w:val="1"/>
    </w:lvl>
  </w:abstractNum>
  <w:abstractNum w:abstractNumId="7">
    <w:nsid w:val="4DB127F8"/>
    <w:multiLevelType w:val="hybridMultilevel"/>
    <w:lvl w:ilvl="0">
      <w:lvlJc w:val="left"/>
      <w:lvlText w:val="(%1)"/>
      <w:numFmt w:val="lowerLetter"/>
      <w:start w:val="1"/>
    </w:lvl>
    <w:lvl w:ilvl="1">
      <w:lvlJc w:val="left"/>
      <w:lvlText w:val="(%2)"/>
      <w:numFmt w:val="lowerRoman"/>
      <w:start w:val="1"/>
    </w:lvl>
  </w:abstractNum>
  <w:abstractNum w:abstractNumId="8">
    <w:nsid w:val="216231B"/>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2022-02-14T16:32:42Z</dcterms:created>
  <dcterms:modified xsi:type="dcterms:W3CDTF">2022-02-14T16:32:42Z</dcterms:modified>
</cp:coreProperties>
</file>