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158750</wp:posOffset>
            </wp:positionV>
            <wp:extent cx="274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190500</wp:posOffset>
            </wp:positionV>
            <wp:extent cx="274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173990</wp:posOffset>
            </wp:positionV>
            <wp:extent cx="274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180340</wp:posOffset>
            </wp:positionV>
            <wp:extent cx="274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J.H. Oortweg 21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2333 CH Leiden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6"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9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681355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0"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11, 2022, Pharvaris N.V. issued a press release. 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17"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9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25"/>
        </w:trPr>
        <w:tc>
          <w:tcPr>
            <w:tcW w:w="3540" w:type="dxa"/>
            <w:vAlign w:val="bottom"/>
          </w:tcPr>
          <w:p>
            <w:pPr>
              <w:spacing w:after="0"/>
              <w:rPr>
                <w:sz w:val="19"/>
                <w:szCs w:val="19"/>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540" w:type="dxa"/>
            <w:vAlign w:val="bottom"/>
          </w:tcPr>
          <w:p>
            <w:pPr>
              <w:spacing w:after="0"/>
              <w:rPr>
                <w:sz w:val="20"/>
                <w:szCs w:val="20"/>
                <w:color w:val="auto"/>
              </w:rPr>
            </w:pPr>
          </w:p>
        </w:tc>
        <w:tc>
          <w:tcPr>
            <w:tcW w:w="2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161925</wp:posOffset>
            </wp:positionV>
            <wp:extent cx="192024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Appoints Joan Schmidt, J.D., as Chief Legal Officer</w:t>
      </w:r>
    </w:p>
    <w:p>
      <w:pPr>
        <w:spacing w:after="0" w:line="38" w:lineRule="exact"/>
        <w:rPr>
          <w:sz w:val="20"/>
          <w:szCs w:val="20"/>
          <w:color w:val="auto"/>
        </w:rPr>
      </w:pPr>
    </w:p>
    <w:p>
      <w:pPr>
        <w:ind w:left="880" w:right="300" w:hanging="440"/>
        <w:spacing w:after="0" w:line="246" w:lineRule="auto"/>
        <w:tabs>
          <w:tab w:leader="none" w:pos="8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Pharvaris’ executive team further strengthened by Ms. Schmidt’s deep international experience and biopharmaceutical industry tenure</w:t>
      </w:r>
    </w:p>
    <w:p>
      <w:pPr>
        <w:spacing w:after="0" w:line="20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ZUG, Switzerland, May 11, 2022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Pharvaris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PHVS), a clinical-stage company developing novel, oral bradykinin-B2-receptor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antagonists to treat and prevent HAE attacks, building on its deep-seated roots in hereditary angioedema (HAE), today announced the appointment of Joan Schmidt, J.D., to the newly created position of Chief Legal Officer, effective June 1, 2022. In this role, she will lead all legal activities, including compliance and governance, in support of Pharvaris’ clinical drug development and commercialization strategies.</w:t>
      </w:r>
    </w:p>
    <w:p>
      <w:pPr>
        <w:spacing w:after="0" w:line="189"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Ms. Schmidt brings more than 20 years of leadership experience in compliance, intellectual property, litigation, governance, and people management within the biopharmaceutical industry. Most recently, she served as the Executive Vice President, General Counsel and Secretary at Arena Pharmaceuticals where, as a member of the executive team, she developed and implemented company strategy, and scaled and strengthened the legal, compliance, and intellectual property functions prior to the company’s acquisition by Pfizer in March 2022 for approximately $6.7 billion.</w:t>
      </w:r>
    </w:p>
    <w:p>
      <w:pPr>
        <w:spacing w:after="0" w:line="21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“Joan is a key new addition to our executive leadership team as her legal expertise draws on extensive experience advising biopharmaceutical companies that brought therapeutic products to market,” said Berndt Modig, Chief Executive Officer of Pharvaris. “Joan will be integrally involved in executing Pharvaris’ business growth and strategic plans. We welcome her to our executive team and look forward to her insights as we advance our oral bradykinin-B2-receptor antagonists to people living with HAE.”</w:t>
      </w:r>
    </w:p>
    <w:p>
      <w:pPr>
        <w:spacing w:after="0" w:line="207"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Ms. Schmidt commented, “I look forward to collaborating with the team at Pharvaris as we advance our objectives to address critical unmet needs for people living with HAE around the world. Pharvaris is on an exciting journey, and I am looking forward to contributing to the strategic direction of the company and strengthening its legal and compliance functions as Pharvaris advances the clinical and commercial pathways of its oral candidates.”</w:t>
      </w:r>
    </w:p>
    <w:p>
      <w:pPr>
        <w:spacing w:after="0" w:line="20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Prior to Arena, Ms. Schmidt served as General Counsel at DBV Technologies and as U.S. General Counsel and Head of Human Resources at Biotronik. Earlier, Ms. Schmidt had positions of increasing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ind w:right="80"/>
        <w:spacing w:after="0" w:line="254" w:lineRule="auto"/>
        <w:rPr>
          <w:sz w:val="20"/>
          <w:szCs w:val="20"/>
          <w:color w:val="auto"/>
        </w:rPr>
      </w:pPr>
      <w:r>
        <w:rPr>
          <w:rFonts w:ascii="Times New Roman" w:cs="Times New Roman" w:eastAsia="Times New Roman" w:hAnsi="Times New Roman"/>
          <w:sz w:val="20"/>
          <w:szCs w:val="20"/>
          <w:color w:val="auto"/>
        </w:rPr>
        <w:t>responsibility at Novo Nordisk, both in the U.S. and Europe, most recently as Corporate Vice President responsible for global transactions, litigation, and trademarks. Ms. Schmidt earned her J.D. from Elizabeth Haub School of Law at Pace University and obtained a B.A. from the University of Connecticut.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Pharvaris is a clinical-stage company developing novel, oral bradykinin-B2-receptor antagonists to treat and prevent HAE attacks, building on its deep-seated roots in HAE. By directly targeting this clinically proven therapeutic target with novel small molecules, the Pharvaris team aspires to offer people with all sub-types of HAE more effective and convenient alternatives to treat attacks, both on-demand and prophylactically. The company brings together the best talent in the industry with deep expertise in rare diseases and HAE. For more information, visit </w:t>
      </w:r>
      <w:r>
        <w:rPr>
          <w:rFonts w:ascii="Times New Roman" w:cs="Times New Roman" w:eastAsia="Times New Roman" w:hAnsi="Times New Roman"/>
          <w:sz w:val="20"/>
          <w:szCs w:val="20"/>
          <w:u w:val="single" w:color="auto"/>
          <w:color w:val="auto"/>
        </w:rPr>
        <w:t>https://pharvaris.com/</w:t>
      </w:r>
      <w:r>
        <w:rPr>
          <w:rFonts w:ascii="Times New Roman" w:cs="Times New Roman" w:eastAsia="Times New Roman" w:hAnsi="Times New Roman"/>
          <w:sz w:val="20"/>
          <w:szCs w:val="20"/>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mid-stage clinical trials; risks associated with the COVID-19 pandemic, which may adversely impact our business, nonclinical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279400</wp:posOffset>
            </wp:positionV>
            <wp:extent cx="149987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ind w:right="20"/>
        <w:spacing w:after="0" w:line="245" w:lineRule="auto"/>
        <w:rPr>
          <w:sz w:val="20"/>
          <w:szCs w:val="20"/>
          <w:color w:val="auto"/>
        </w:rPr>
      </w:pPr>
      <w:r>
        <w:rPr>
          <w:rFonts w:ascii="Times New Roman" w:cs="Times New Roman" w:eastAsia="Times New Roman" w:hAnsi="Times New Roman"/>
          <w:sz w:val="20"/>
          <w:szCs w:val="20"/>
          <w:color w:val="auto"/>
        </w:rPr>
        <w:t>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changes in general market, political and economic conditions, including as a result of the current conflict between Russia and Ukraine; and the other factors described under the headings “Cautionary Statement Regarding Forward-Looking Statements” and “Item 3. Key Information—D. Risk Factors” in our Annual Report on Form 20-F and other periodic filings with the Securities and Exchange Commission.</w:t>
      </w:r>
    </w:p>
    <w:p>
      <w:pPr>
        <w:spacing w:after="0" w:line="2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Maryann Cimino</w:t>
      </w:r>
    </w:p>
    <w:p>
      <w:pPr>
        <w:spacing w:after="0"/>
        <w:rPr>
          <w:sz w:val="20"/>
          <w:szCs w:val="20"/>
          <w:color w:val="auto"/>
        </w:rPr>
      </w:pPr>
      <w:r>
        <w:rPr>
          <w:rFonts w:ascii="Times New Roman" w:cs="Times New Roman" w:eastAsia="Times New Roman" w:hAnsi="Times New Roman"/>
          <w:sz w:val="20"/>
          <w:szCs w:val="20"/>
          <w:color w:val="auto"/>
        </w:rPr>
        <w:t>Director of Corporate Relations</w:t>
      </w:r>
    </w:p>
    <w:p>
      <w:pPr>
        <w:spacing w:after="0"/>
        <w:rPr>
          <w:sz w:val="20"/>
          <w:szCs w:val="20"/>
          <w:color w:val="auto"/>
        </w:rPr>
      </w:pPr>
      <w:r>
        <w:rPr>
          <w:rFonts w:ascii="Times New Roman" w:cs="Times New Roman" w:eastAsia="Times New Roman" w:hAnsi="Times New Roman"/>
          <w:sz w:val="20"/>
          <w:szCs w:val="20"/>
          <w:u w:val="single" w:color="auto"/>
          <w:color w:val="auto"/>
        </w:rPr>
        <w:t>maryann.cimino@pharvaris.com</w:t>
      </w:r>
    </w:p>
    <w:p>
      <w:pPr>
        <w:spacing w:after="0"/>
        <w:rPr>
          <w:sz w:val="20"/>
          <w:szCs w:val="20"/>
          <w:color w:val="auto"/>
        </w:rPr>
      </w:pPr>
      <w:r>
        <w:rPr>
          <w:rFonts w:ascii="Times New Roman" w:cs="Times New Roman" w:eastAsia="Times New Roman" w:hAnsi="Times New Roman"/>
          <w:sz w:val="20"/>
          <w:szCs w:val="20"/>
          <w:color w:val="auto"/>
        </w:rPr>
        <w:t>+1-617-710-7305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462915</wp:posOffset>
            </wp:positionV>
            <wp:extent cx="149987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9870" cy="214630"/>
                    </a:xfrm>
                    <a:prstGeom prst="rect">
                      <a:avLst/>
                    </a:prstGeom>
                    <a:noFill/>
                  </pic:spPr>
                </pic:pic>
              </a:graphicData>
            </a:graphic>
          </wp:anchor>
        </w:drawing>
      </w:r>
    </w:p>
    <w:sectPr>
      <w:pgSz w:w="11900" w:h="16838" w:orient="portrait"/>
      <w:cols w:equalWidth="0" w:num="1">
        <w:col w:w="11200"/>
      </w:cols>
      <w:pgMar w:left="320" w:top="34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2022-05-11T07:14:34Z</dcterms:created>
  <dcterms:modified xsi:type="dcterms:W3CDTF">2022-05-11T07:14:34Z</dcterms:modified>
</cp:coreProperties>
</file>