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J.H. Oortweg 21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2333 CH Leiden, The Netherlands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Pharvaris, B.V.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0001830487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Modig: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F-1 submitted December 18,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revised disclosure in response to prior comment 2. You continue to describe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potential product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as "potent," a "potent inhibitor," "potent antagonist" or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"a potent and selective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for acute" HAE" on pages 1, 3, 94, 95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elsewhere.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continues to inappropriately indicate your conclusions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efficacy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product candidate by stating that your product candidate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 observed to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potent. Please delete such references here and throughout your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comments 3, 15 and 17. Despite your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revised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we continue to believe that it is not appropriate for you to compare PHA121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icatibant where the trials were not head-to-head. In addition, statements that your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early-stage product candidate is "more potent" than an FDA approved drug, such as your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statement, "[PHA121 is] more potent inhibitor than icatibant" and "PHA121 was shown to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consistently 25-fold more potent at inhibiting the effects of administered bradykinin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icatibant on a molar basis," are inappropriate. Please revise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prospectus accordingly to remove such comparisons. You can discuss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Bradykinin Challenge Study as well as the fact that you believe it establishes a proof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concept; however, you should not make comparison statements that imply that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 is more effective or more potent than an approved product candidate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the results were derived from a head-to-head study.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Pipeline, page 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7 and disagree with your reasons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continuing to show that you have completed Phase 1 for PHVS416 in your pipeline table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your disclosure elsewhere that you have ongoing Phase 1 studies. The table should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depict your material product candidates and their current stage of development. You may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narrative discussion regarding the fact that you anticipate beginning a Phase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study prior to the completion of your ongoing Phase 1 studies. Business, page 88</w:t>
      </w:r>
    </w:p>
    <w:p>
      <w:pPr>
        <w:spacing w:after="0" w:line="20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MD&amp;A disclosure that "[i]n 2019, a milestone payment of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300,000 was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paid to a third-party upon commencement of Phase 1 development."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please disclose the material terms of your material agreements, such as the name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third party, potential aggregate milestone payments, expiration term and termination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provisions related to this agreement. In addition, please file the agreement as an exhibit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believe such agreement is not required to be filed.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Item 601(b)(10) of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PHA121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page 100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LastNameBerndt Modig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1160" w:hanging="1152"/>
        <w:spacing w:after="0" w:line="238" w:lineRule="auto"/>
        <w:tabs>
          <w:tab w:leader="none" w:pos="11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NamePharvaris,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544" w:gutter="0" w:footer="0" w:header="0"/>
        </w:sectPr>
      </w:pP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your revisedB.V.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graphic on page 101 as well as the inclusion of a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544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legend. However,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Januaryplease include</w:t>
      </w:r>
    </w:p>
    <w:p>
      <w:pPr>
        <w:ind w:left="86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narrative</w:t>
      </w: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to explain the graphic on page 101.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100"/>
            <w:col w:w="6759"/>
          </w:cols>
          <w:pgMar w:left="320" w:top="136" w:right="1440" w:bottom="544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Berndt Modig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</w:t>
        <w:tab/>
        <w:t>LastNameBerndt Modig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Pharvaris, B.V.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NamePharvaris, B.V.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544" w:gutter="0" w:footer="0" w:header="0"/>
          <w:type w:val="continuous"/>
        </w:sect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4,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202-551-3640 or Kate Tillan at 202-551-3604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Jason L. Drory at 202-551-8342 or Chris Edwards at 202-551-6761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Sophia Hudson, Esq.</w:t>
      </w:r>
    </w:p>
    <w:sectPr>
      <w:pgSz w:w="11900" w:h="16838" w:orient="portrait"/>
      <w:cols w:equalWidth="0" w:num="1">
        <w:col w:w="10139"/>
      </w:cols>
      <w:pgMar w:left="320" w:top="136" w:right="1440" w:bottom="54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2021-03-05T23:48:54Z</dcterms:created>
  <dcterms:modified xsi:type="dcterms:W3CDTF">2021-03-05T23:48:54Z</dcterms:modified>
</cp:coreProperties>
</file>