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February 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233" w:right="3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Julie Sherman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Kate Tillan</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Jason L. Drory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Chris Edwards</w:t>
      </w:r>
    </w:p>
    <w:p>
      <w:pPr>
        <w:spacing w:after="0" w:line="135" w:lineRule="exact"/>
        <w:rPr>
          <w:sz w:val="24"/>
          <w:szCs w:val="24"/>
          <w:color w:val="auto"/>
        </w:rPr>
      </w:pPr>
    </w:p>
    <w:p>
      <w:pPr>
        <w:sectPr>
          <w:pgSz w:w="11900" w:h="16838" w:orient="portrait"/>
          <w:cols w:equalWidth="0" w:num="2">
            <w:col w:w="740" w:space="180"/>
            <w:col w:w="10320"/>
          </w:cols>
          <w:pgMar w:left="320" w:top="233"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Pharvaris B.V.</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F-1 (File No.</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333-252157)</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Request for Acceleration of Effective Date</w:t>
      </w:r>
    </w:p>
    <w:p>
      <w:pPr>
        <w:spacing w:after="0" w:line="200" w:lineRule="exact"/>
        <w:rPr>
          <w:sz w:val="24"/>
          <w:szCs w:val="24"/>
          <w:color w:val="auto"/>
        </w:rPr>
      </w:pPr>
    </w:p>
    <w:p>
      <w:pPr>
        <w:sectPr>
          <w:pgSz w:w="11900" w:h="16838" w:orient="portrait"/>
          <w:cols w:equalWidth="0" w:num="2">
            <w:col w:w="280" w:space="640"/>
            <w:col w:w="10320"/>
          </w:cols>
          <w:pgMar w:left="320" w:top="233" w:right="339" w:bottom="1440" w:gutter="0" w:footer="0" w:header="0"/>
          <w:type w:val="continuous"/>
        </w:sectPr>
      </w:pP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17" w:lineRule="exact"/>
        <w:rPr>
          <w:sz w:val="24"/>
          <w:szCs w:val="24"/>
          <w:color w:val="auto"/>
        </w:rPr>
      </w:pPr>
    </w:p>
    <w:p>
      <w:pPr>
        <w:jc w:val="both"/>
        <w:ind w:right="240"/>
        <w:spacing w:after="0" w:line="311" w:lineRule="auto"/>
        <w:rPr>
          <w:sz w:val="20"/>
          <w:szCs w:val="20"/>
          <w:color w:val="auto"/>
        </w:rPr>
      </w:pPr>
      <w:r>
        <w:rPr>
          <w:rFonts w:ascii="Arial" w:cs="Arial" w:eastAsia="Arial" w:hAnsi="Arial"/>
          <w:sz w:val="16"/>
          <w:szCs w:val="16"/>
          <w:color w:val="auto"/>
        </w:rPr>
        <w:t>In connection with the proposed offering of the securities under the above-captioned Registration Statement on Form F-1 (the “Registration Statement”), we wish to advise you that we, as representatives of the underwriters, hereby join with Pharvaris B.V.’s request that the effective date of the Registration Statement be accelerated so that the same will become effective on February 4, 2021 at 2:00 p.m. E.S.T., or as soon as practicable thereafter.</w:t>
      </w:r>
    </w:p>
    <w:p>
      <w:pPr>
        <w:spacing w:after="0" w:line="149"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Pursuant to Rule 460 under the Securities Act of 1933, please be advised that, as representatives of the underwriters, we have distributed approximately 2,449 copies of the preliminary prospectus, dated February 1, 2021, through the date hereof.</w:t>
      </w:r>
    </w:p>
    <w:p>
      <w:pPr>
        <w:spacing w:after="0" w:line="170"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We, the undersigned, as representatives of the several underwriters, will comply with the requirements of Rule 15c2-8 under the Securities Exchange Act of 1934, as amended.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240"/>
          </w:cols>
          <w:pgMar w:left="320" w:top="233" w:right="339" w:bottom="1440" w:gutter="0" w:footer="0" w:header="0"/>
          <w:type w:val="continuous"/>
        </w:sectPr>
      </w:pPr>
    </w:p>
    <w:bookmarkStart w:id="1" w:name="page2"/>
    <w:bookmarkEnd w:id="1"/>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Sincerely,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SVB LEERINK LLC</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As representatives of the Underwriters</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MORGAN STANLEY &amp; CO. LLC</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Kalli Dircks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648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Kalli Dircks</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Liloia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648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Michael Liloia</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SVB LEERINK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Gabriel Cavazos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648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Gabriel Cavazos</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UW Acceleration Request</w:t>
      </w:r>
      <w:r>
        <w:rPr>
          <w:rFonts w:ascii="Arial" w:cs="Arial" w:eastAsia="Arial" w:hAnsi="Arial"/>
          <w:sz w:val="16"/>
          <w:szCs w:val="16"/>
          <w:color w:val="auto"/>
        </w:rPr>
        <w:t>]</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2021-03-05T23:45:39Z</dcterms:created>
  <dcterms:modified xsi:type="dcterms:W3CDTF">2021-03-05T23:45:39Z</dcterms:modified>
</cp:coreProperties>
</file>