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(Amendment )*</w:t>
      </w:r>
    </w:p>
    <w:p>
      <w:pPr>
        <w:spacing w:after="0" w:line="18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u w:val="single" w:color="auto"/>
          <w:color w:val="auto"/>
        </w:rPr>
        <w:t>Pharvaris N.V.</w:t>
      </w:r>
    </w:p>
    <w:p>
      <w:pPr>
        <w:spacing w:after="0" w:line="4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Ordinary shares, par value €0.12 per share</w:t>
      </w:r>
    </w:p>
    <w:p>
      <w:pPr>
        <w:spacing w:after="0" w:line="1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N69605108**</w:t>
      </w:r>
    </w:p>
    <w:p>
      <w:pPr>
        <w:spacing w:after="0" w:line="1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David Pezeshki</w:t>
      </w:r>
    </w:p>
    <w:p>
      <w:pPr>
        <w:spacing w:after="0" w:line="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venBio Partners, LLC</w:t>
      </w:r>
    </w:p>
    <w:p>
      <w:pPr>
        <w:jc w:val="center"/>
        <w:ind w:right="-79"/>
        <w:spacing w:after="0" w:line="230" w:lineRule="auto"/>
        <w:rPr>
          <w:sz w:val="20"/>
          <w:szCs w:val="20"/>
          <w:color w:val="auto"/>
        </w:rPr>
      </w:pPr>
      <w:r>
        <w:rPr>
          <w:rFonts w:ascii="Times New Roman" w:cs="Times New Roman" w:eastAsia="Times New Roman" w:hAnsi="Times New Roman"/>
          <w:sz w:val="22"/>
          <w:szCs w:val="22"/>
          <w:b w:val="1"/>
          <w:bCs w:val="1"/>
          <w:color w:val="auto"/>
        </w:rPr>
        <w:t>1700 Owens Street, Suite 595, San Francisco, CA 94158</w:t>
      </w:r>
    </w:p>
    <w:p>
      <w:pPr>
        <w:jc w:val="center"/>
        <w:ind w:right="-79"/>
        <w:spacing w:after="0" w:line="231" w:lineRule="auto"/>
        <w:rPr>
          <w:sz w:val="20"/>
          <w:szCs w:val="20"/>
          <w:color w:val="auto"/>
        </w:rPr>
      </w:pPr>
      <w:r>
        <w:rPr>
          <w:rFonts w:ascii="Times New Roman" w:cs="Times New Roman" w:eastAsia="Times New Roman" w:hAnsi="Times New Roman"/>
          <w:sz w:val="22"/>
          <w:szCs w:val="22"/>
          <w:b w:val="1"/>
          <w:bCs w:val="1"/>
          <w:color w:val="auto"/>
        </w:rPr>
        <w:t>(415) 800-0800</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(Name, Address and Telephone Number of Person Authorized to Receive Notices and Communications)</w:t>
      </w:r>
    </w:p>
    <w:p>
      <w:pPr>
        <w:spacing w:after="0" w:line="20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February 9, 2021</w:t>
      </w:r>
    </w:p>
    <w:p>
      <w:pPr>
        <w:spacing w:after="0" w:line="1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9" w:lineRule="exact"/>
        <w:rPr>
          <w:sz w:val="24"/>
          <w:szCs w:val="24"/>
          <w:color w:val="auto"/>
        </w:rPr>
      </w:pPr>
    </w:p>
    <w:p>
      <w:pPr>
        <w:ind w:right="100"/>
        <w:spacing w:after="0" w:line="280" w:lineRule="exact"/>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21"/>
          <w:szCs w:val="21"/>
          <w:color w:val="auto"/>
        </w:rPr>
        <w:t>☐</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ind w:right="200"/>
        <w:spacing w:after="0" w:line="262" w:lineRule="auto"/>
        <w:rPr>
          <w:sz w:val="20"/>
          <w:szCs w:val="20"/>
          <w:color w:val="auto"/>
        </w:rPr>
      </w:pPr>
      <w:r>
        <w:rPr>
          <w:rFonts w:ascii="Times New Roman" w:cs="Times New Roman" w:eastAsia="Times New Roman" w:hAnsi="Times New Roman"/>
          <w:sz w:val="22"/>
          <w:szCs w:val="22"/>
          <w:b w:val="1"/>
          <w:bCs w:val="1"/>
          <w:color w:val="auto"/>
        </w:rPr>
        <w:t>Note</w:t>
      </w:r>
      <w:r>
        <w:rPr>
          <w:rFonts w:ascii="Times New Roman" w:cs="Times New Roman" w:eastAsia="Times New Roman" w:hAnsi="Times New Roman"/>
          <w:sz w:val="22"/>
          <w:szCs w:val="22"/>
          <w:color w:val="auto"/>
        </w:rPr>
        <w:t>: Schedules filed in paper format shall include a signed original and five copies of the schedule, including all exhibits. See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240.13d-7 for other parties to whom copies are to be sent.</w:t>
      </w:r>
    </w:p>
    <w:p>
      <w:pPr>
        <w:spacing w:after="0" w:line="200" w:lineRule="exact"/>
        <w:rPr>
          <w:sz w:val="24"/>
          <w:szCs w:val="24"/>
          <w:color w:val="auto"/>
        </w:rPr>
      </w:pPr>
    </w:p>
    <w:p>
      <w:pPr>
        <w:spacing w:after="0" w:line="233" w:lineRule="exact"/>
        <w:rPr>
          <w:sz w:val="24"/>
          <w:szCs w:val="24"/>
          <w:color w:val="auto"/>
        </w:rPr>
      </w:pPr>
    </w:p>
    <w:p>
      <w:pPr>
        <w:ind w:left="460" w:right="200" w:hanging="452"/>
        <w:spacing w:after="0" w:line="282"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**Reflects the CINS number for the Company’s Ordinary Shares.</w:t>
      </w:r>
    </w:p>
    <w:p>
      <w:pPr>
        <w:spacing w:after="0" w:line="233" w:lineRule="exact"/>
        <w:rPr>
          <w:sz w:val="24"/>
          <w:szCs w:val="24"/>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as amended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86" w:right="3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N69605108</w:t>
            </w:r>
          </w:p>
        </w:tc>
        <w:tc>
          <w:tcPr>
            <w:tcW w:w="520" w:type="dxa"/>
            <w:vAlign w:val="bottom"/>
          </w:tcPr>
          <w:p>
            <w:pPr>
              <w:spacing w:after="0"/>
              <w:rPr>
                <w:sz w:val="20"/>
                <w:szCs w:val="20"/>
                <w:color w:val="auto"/>
              </w:rPr>
            </w:pPr>
          </w:p>
        </w:tc>
        <w:tc>
          <w:tcPr>
            <w:tcW w:w="8520" w:type="dxa"/>
            <w:vAlign w:val="bottom"/>
            <w:gridSpan w:val="3"/>
          </w:tcPr>
          <w:p>
            <w:pPr>
              <w:ind w:left="7160"/>
              <w:spacing w:after="0"/>
              <w:rPr>
                <w:sz w:val="20"/>
                <w:szCs w:val="20"/>
                <w:color w:val="auto"/>
              </w:rPr>
            </w:pPr>
            <w:r>
              <w:rPr>
                <w:rFonts w:ascii="Times New Roman" w:cs="Times New Roman" w:eastAsia="Times New Roman" w:hAnsi="Times New Roman"/>
                <w:sz w:val="18"/>
                <w:szCs w:val="18"/>
                <w:color w:val="auto"/>
                <w:w w:val="96"/>
              </w:rPr>
              <w:t>Page 2 of 11 Pages</w:t>
            </w:r>
          </w:p>
        </w:tc>
        <w:tc>
          <w:tcPr>
            <w:tcW w:w="0" w:type="dxa"/>
            <w:vAlign w:val="bottom"/>
          </w:tcPr>
          <w:p>
            <w:pPr>
              <w:spacing w:after="0"/>
              <w:rPr>
                <w:sz w:val="1"/>
                <w:szCs w:val="1"/>
                <w:color w:val="auto"/>
              </w:rPr>
            </w:pPr>
          </w:p>
        </w:tc>
      </w:tr>
      <w:tr>
        <w:trPr>
          <w:trHeight w:val="418"/>
        </w:trPr>
        <w:tc>
          <w:tcPr>
            <w:tcW w:w="140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gridSpan w:val="4"/>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venBio Global Strategic Fund III, L.P.</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WC</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Cayman Islands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Times New Roman" w:cs="Times New Roman" w:eastAsia="Times New Roman" w:hAnsi="Times New Roman"/>
                <w:sz w:val="32"/>
                <w:szCs w:val="32"/>
                <w:b w:val="1"/>
                <w:bCs w:val="1"/>
                <w:color w:val="auto"/>
              </w:rPr>
              <w:t>7</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Times New Roman" w:cs="Times New Roman" w:eastAsia="Times New Roman" w:hAnsi="Times New Roman"/>
                <w:sz w:val="32"/>
                <w:szCs w:val="32"/>
                <w:b w:val="1"/>
                <w:bCs w:val="1"/>
                <w:color w:val="auto"/>
              </w:rPr>
              <w:t>8</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2,303,310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80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60" w:type="dxa"/>
            <w:vAlign w:val="bottom"/>
          </w:tcPr>
          <w:p>
            <w:pPr>
              <w:spacing w:after="0"/>
              <w:rPr>
                <w:sz w:val="18"/>
                <w:szCs w:val="18"/>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Times New Roman" w:cs="Times New Roman" w:eastAsia="Times New Roman" w:hAnsi="Times New Roman"/>
                <w:sz w:val="32"/>
                <w:szCs w:val="32"/>
                <w:b w:val="1"/>
                <w:bCs w:val="1"/>
                <w:color w:val="auto"/>
              </w:rPr>
              <w:t>9</w:t>
            </w: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5"/>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Borders>
              <w:right w:val="single" w:sz="8" w:color="auto"/>
            </w:tcBorders>
            <w:vMerge w:val="continue"/>
          </w:tcPr>
          <w:p>
            <w:pPr>
              <w:spacing w:after="0"/>
              <w:rPr>
                <w:sz w:val="16"/>
                <w:szCs w:val="16"/>
                <w:color w:val="auto"/>
              </w:rPr>
            </w:pPr>
          </w:p>
        </w:tc>
        <w:tc>
          <w:tcPr>
            <w:tcW w:w="800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Times New Roman" w:cs="Times New Roman" w:eastAsia="Times New Roman" w:hAnsi="Times New Roman"/>
                <w:sz w:val="32"/>
                <w:szCs w:val="32"/>
                <w:b w:val="1"/>
                <w:bCs w:val="1"/>
                <w:color w:val="auto"/>
              </w:rPr>
              <w:t>10</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2,303,310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7"/>
              </w:rPr>
              <w:t>2,303,310</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PN</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75"/>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N69605108</w:t>
            </w:r>
          </w:p>
        </w:tc>
        <w:tc>
          <w:tcPr>
            <w:tcW w:w="520" w:type="dxa"/>
            <w:vAlign w:val="bottom"/>
          </w:tcPr>
          <w:p>
            <w:pPr>
              <w:spacing w:after="0"/>
              <w:rPr>
                <w:sz w:val="20"/>
                <w:szCs w:val="20"/>
                <w:color w:val="auto"/>
              </w:rPr>
            </w:pPr>
          </w:p>
        </w:tc>
        <w:tc>
          <w:tcPr>
            <w:tcW w:w="8520" w:type="dxa"/>
            <w:vAlign w:val="bottom"/>
            <w:gridSpan w:val="3"/>
          </w:tcPr>
          <w:p>
            <w:pPr>
              <w:ind w:left="7160"/>
              <w:spacing w:after="0"/>
              <w:rPr>
                <w:sz w:val="20"/>
                <w:szCs w:val="20"/>
                <w:color w:val="auto"/>
              </w:rPr>
            </w:pPr>
            <w:r>
              <w:rPr>
                <w:rFonts w:ascii="Times New Roman" w:cs="Times New Roman" w:eastAsia="Times New Roman" w:hAnsi="Times New Roman"/>
                <w:sz w:val="18"/>
                <w:szCs w:val="18"/>
                <w:color w:val="auto"/>
                <w:w w:val="96"/>
              </w:rPr>
              <w:t>Page 3 of 11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9320" w:type="dxa"/>
            <w:vAlign w:val="bottom"/>
            <w:tcBorders>
              <w:bottom w:val="single" w:sz="8" w:color="auto"/>
            </w:tcBorders>
            <w:gridSpan w:val="4"/>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venBio Global Strategic GP III, L.P.</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AF</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Cayman Islands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Times New Roman" w:cs="Times New Roman" w:eastAsia="Times New Roman" w:hAnsi="Times New Roman"/>
                <w:sz w:val="32"/>
                <w:szCs w:val="32"/>
                <w:b w:val="1"/>
                <w:bCs w:val="1"/>
                <w:color w:val="auto"/>
              </w:rPr>
              <w:t>7</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Times New Roman" w:cs="Times New Roman" w:eastAsia="Times New Roman" w:hAnsi="Times New Roman"/>
                <w:sz w:val="32"/>
                <w:szCs w:val="32"/>
                <w:b w:val="1"/>
                <w:bCs w:val="1"/>
                <w:color w:val="auto"/>
              </w:rPr>
              <w:t>8</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2,303,310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80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60" w:type="dxa"/>
            <w:vAlign w:val="bottom"/>
          </w:tcPr>
          <w:p>
            <w:pPr>
              <w:spacing w:after="0"/>
              <w:rPr>
                <w:sz w:val="18"/>
                <w:szCs w:val="18"/>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Times New Roman" w:cs="Times New Roman" w:eastAsia="Times New Roman" w:hAnsi="Times New Roman"/>
                <w:sz w:val="32"/>
                <w:szCs w:val="32"/>
                <w:b w:val="1"/>
                <w:bCs w:val="1"/>
                <w:color w:val="auto"/>
              </w:rPr>
              <w:t>9</w:t>
            </w: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5"/>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Borders>
              <w:right w:val="single" w:sz="8" w:color="auto"/>
            </w:tcBorders>
            <w:vMerge w:val="continue"/>
          </w:tcPr>
          <w:p>
            <w:pPr>
              <w:spacing w:after="0"/>
              <w:rPr>
                <w:sz w:val="16"/>
                <w:szCs w:val="16"/>
                <w:color w:val="auto"/>
              </w:rPr>
            </w:pPr>
          </w:p>
        </w:tc>
        <w:tc>
          <w:tcPr>
            <w:tcW w:w="800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Times New Roman" w:cs="Times New Roman" w:eastAsia="Times New Roman" w:hAnsi="Times New Roman"/>
                <w:sz w:val="32"/>
                <w:szCs w:val="32"/>
                <w:b w:val="1"/>
                <w:bCs w:val="1"/>
                <w:color w:val="auto"/>
              </w:rPr>
              <w:t>10</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2,303,310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7"/>
              </w:rPr>
              <w:t>2,303,310</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PN</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76"/>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N69605108</w:t>
            </w:r>
          </w:p>
        </w:tc>
        <w:tc>
          <w:tcPr>
            <w:tcW w:w="520" w:type="dxa"/>
            <w:vAlign w:val="bottom"/>
          </w:tcPr>
          <w:p>
            <w:pPr>
              <w:spacing w:after="0"/>
              <w:rPr>
                <w:sz w:val="20"/>
                <w:szCs w:val="20"/>
                <w:color w:val="auto"/>
              </w:rPr>
            </w:pPr>
          </w:p>
        </w:tc>
        <w:tc>
          <w:tcPr>
            <w:tcW w:w="8520" w:type="dxa"/>
            <w:vAlign w:val="bottom"/>
            <w:gridSpan w:val="3"/>
          </w:tcPr>
          <w:p>
            <w:pPr>
              <w:ind w:left="7160"/>
              <w:spacing w:after="0"/>
              <w:rPr>
                <w:sz w:val="20"/>
                <w:szCs w:val="20"/>
                <w:color w:val="auto"/>
              </w:rPr>
            </w:pPr>
            <w:r>
              <w:rPr>
                <w:rFonts w:ascii="Times New Roman" w:cs="Times New Roman" w:eastAsia="Times New Roman" w:hAnsi="Times New Roman"/>
                <w:sz w:val="18"/>
                <w:szCs w:val="18"/>
                <w:color w:val="auto"/>
                <w:w w:val="96"/>
              </w:rPr>
              <w:t>Page 4 of 11 Pages</w:t>
            </w:r>
          </w:p>
        </w:tc>
        <w:tc>
          <w:tcPr>
            <w:tcW w:w="0" w:type="dxa"/>
            <w:vAlign w:val="bottom"/>
          </w:tcPr>
          <w:p>
            <w:pPr>
              <w:spacing w:after="0"/>
              <w:rPr>
                <w:sz w:val="1"/>
                <w:szCs w:val="1"/>
                <w:color w:val="auto"/>
              </w:rPr>
            </w:pPr>
          </w:p>
        </w:tc>
      </w:tr>
      <w:tr>
        <w:trPr>
          <w:trHeight w:val="418"/>
        </w:trPr>
        <w:tc>
          <w:tcPr>
            <w:tcW w:w="140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gridSpan w:val="4"/>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venBio Global Strategic GP III, Ltd.</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AF</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Cayman Islands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Times New Roman" w:cs="Times New Roman" w:eastAsia="Times New Roman" w:hAnsi="Times New Roman"/>
                <w:sz w:val="32"/>
                <w:szCs w:val="32"/>
                <w:b w:val="1"/>
                <w:bCs w:val="1"/>
                <w:color w:val="auto"/>
              </w:rPr>
              <w:t>7</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Times New Roman" w:cs="Times New Roman" w:eastAsia="Times New Roman" w:hAnsi="Times New Roman"/>
                <w:sz w:val="32"/>
                <w:szCs w:val="32"/>
                <w:b w:val="1"/>
                <w:bCs w:val="1"/>
                <w:color w:val="auto"/>
              </w:rPr>
              <w:t>8</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2,303,310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80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60" w:type="dxa"/>
            <w:vAlign w:val="bottom"/>
          </w:tcPr>
          <w:p>
            <w:pPr>
              <w:spacing w:after="0"/>
              <w:rPr>
                <w:sz w:val="18"/>
                <w:szCs w:val="18"/>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Times New Roman" w:cs="Times New Roman" w:eastAsia="Times New Roman" w:hAnsi="Times New Roman"/>
                <w:sz w:val="32"/>
                <w:szCs w:val="32"/>
                <w:b w:val="1"/>
                <w:bCs w:val="1"/>
                <w:color w:val="auto"/>
              </w:rPr>
              <w:t>9</w:t>
            </w: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5"/>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Borders>
              <w:right w:val="single" w:sz="8" w:color="auto"/>
            </w:tcBorders>
            <w:vMerge w:val="continue"/>
          </w:tcPr>
          <w:p>
            <w:pPr>
              <w:spacing w:after="0"/>
              <w:rPr>
                <w:sz w:val="16"/>
                <w:szCs w:val="16"/>
                <w:color w:val="auto"/>
              </w:rPr>
            </w:pPr>
          </w:p>
        </w:tc>
        <w:tc>
          <w:tcPr>
            <w:tcW w:w="800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Times New Roman" w:cs="Times New Roman" w:eastAsia="Times New Roman" w:hAnsi="Times New Roman"/>
                <w:sz w:val="32"/>
                <w:szCs w:val="32"/>
                <w:b w:val="1"/>
                <w:bCs w:val="1"/>
                <w:color w:val="auto"/>
              </w:rPr>
              <w:t>10</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2,303,310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7"/>
              </w:rPr>
              <w:t>2,303,310</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75"/>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N69605108</w:t>
            </w:r>
          </w:p>
        </w:tc>
        <w:tc>
          <w:tcPr>
            <w:tcW w:w="520" w:type="dxa"/>
            <w:vAlign w:val="bottom"/>
          </w:tcPr>
          <w:p>
            <w:pPr>
              <w:spacing w:after="0"/>
              <w:rPr>
                <w:sz w:val="20"/>
                <w:szCs w:val="20"/>
                <w:color w:val="auto"/>
              </w:rPr>
            </w:pPr>
          </w:p>
        </w:tc>
        <w:tc>
          <w:tcPr>
            <w:tcW w:w="8520" w:type="dxa"/>
            <w:vAlign w:val="bottom"/>
            <w:gridSpan w:val="3"/>
          </w:tcPr>
          <w:p>
            <w:pPr>
              <w:ind w:left="7160"/>
              <w:spacing w:after="0"/>
              <w:rPr>
                <w:sz w:val="20"/>
                <w:szCs w:val="20"/>
                <w:color w:val="auto"/>
              </w:rPr>
            </w:pPr>
            <w:r>
              <w:rPr>
                <w:rFonts w:ascii="Times New Roman" w:cs="Times New Roman" w:eastAsia="Times New Roman" w:hAnsi="Times New Roman"/>
                <w:sz w:val="18"/>
                <w:szCs w:val="18"/>
                <w:color w:val="auto"/>
                <w:w w:val="96"/>
              </w:rPr>
              <w:t>Page 5 of 11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9320" w:type="dxa"/>
            <w:vAlign w:val="bottom"/>
            <w:tcBorders>
              <w:bottom w:val="single" w:sz="8" w:color="auto"/>
            </w:tcBorders>
            <w:gridSpan w:val="4"/>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Aaron Royston</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AF</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Times New Roman" w:cs="Times New Roman" w:eastAsia="Times New Roman" w:hAnsi="Times New Roman"/>
                <w:sz w:val="32"/>
                <w:szCs w:val="32"/>
                <w:b w:val="1"/>
                <w:bCs w:val="1"/>
                <w:color w:val="auto"/>
              </w:rPr>
              <w:t>7</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Times New Roman" w:cs="Times New Roman" w:eastAsia="Times New Roman" w:hAnsi="Times New Roman"/>
                <w:sz w:val="32"/>
                <w:szCs w:val="32"/>
                <w:b w:val="1"/>
                <w:bCs w:val="1"/>
                <w:color w:val="auto"/>
              </w:rPr>
              <w:t>8</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2,303,310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80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60" w:type="dxa"/>
            <w:vAlign w:val="bottom"/>
          </w:tcPr>
          <w:p>
            <w:pPr>
              <w:spacing w:after="0"/>
              <w:rPr>
                <w:sz w:val="18"/>
                <w:szCs w:val="18"/>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Times New Roman" w:cs="Times New Roman" w:eastAsia="Times New Roman" w:hAnsi="Times New Roman"/>
                <w:sz w:val="32"/>
                <w:szCs w:val="32"/>
                <w:b w:val="1"/>
                <w:bCs w:val="1"/>
                <w:color w:val="auto"/>
              </w:rPr>
              <w:t>9</w:t>
            </w: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5"/>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Borders>
              <w:right w:val="single" w:sz="8" w:color="auto"/>
            </w:tcBorders>
            <w:vMerge w:val="continue"/>
          </w:tcPr>
          <w:p>
            <w:pPr>
              <w:spacing w:after="0"/>
              <w:rPr>
                <w:sz w:val="16"/>
                <w:szCs w:val="16"/>
                <w:color w:val="auto"/>
              </w:rPr>
            </w:pPr>
          </w:p>
        </w:tc>
        <w:tc>
          <w:tcPr>
            <w:tcW w:w="800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Times New Roman" w:cs="Times New Roman" w:eastAsia="Times New Roman" w:hAnsi="Times New Roman"/>
                <w:sz w:val="32"/>
                <w:szCs w:val="32"/>
                <w:b w:val="1"/>
                <w:bCs w:val="1"/>
                <w:color w:val="auto"/>
              </w:rPr>
              <w:t>10</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2,303,310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7"/>
              </w:rPr>
              <w:t>2,303,310</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76"/>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N69605108</w:t>
            </w:r>
          </w:p>
        </w:tc>
        <w:tc>
          <w:tcPr>
            <w:tcW w:w="520" w:type="dxa"/>
            <w:vAlign w:val="bottom"/>
          </w:tcPr>
          <w:p>
            <w:pPr>
              <w:spacing w:after="0"/>
              <w:rPr>
                <w:sz w:val="20"/>
                <w:szCs w:val="20"/>
                <w:color w:val="auto"/>
              </w:rPr>
            </w:pPr>
          </w:p>
        </w:tc>
        <w:tc>
          <w:tcPr>
            <w:tcW w:w="8520" w:type="dxa"/>
            <w:vAlign w:val="bottom"/>
            <w:gridSpan w:val="3"/>
          </w:tcPr>
          <w:p>
            <w:pPr>
              <w:ind w:left="7160"/>
              <w:spacing w:after="0"/>
              <w:rPr>
                <w:sz w:val="20"/>
                <w:szCs w:val="20"/>
                <w:color w:val="auto"/>
              </w:rPr>
            </w:pPr>
            <w:r>
              <w:rPr>
                <w:rFonts w:ascii="Times New Roman" w:cs="Times New Roman" w:eastAsia="Times New Roman" w:hAnsi="Times New Roman"/>
                <w:sz w:val="18"/>
                <w:szCs w:val="18"/>
                <w:color w:val="auto"/>
                <w:w w:val="96"/>
              </w:rPr>
              <w:t>Page 6 of 11 Pages</w:t>
            </w:r>
          </w:p>
        </w:tc>
        <w:tc>
          <w:tcPr>
            <w:tcW w:w="0" w:type="dxa"/>
            <w:vAlign w:val="bottom"/>
          </w:tcPr>
          <w:p>
            <w:pPr>
              <w:spacing w:after="0"/>
              <w:rPr>
                <w:sz w:val="1"/>
                <w:szCs w:val="1"/>
                <w:color w:val="auto"/>
              </w:rPr>
            </w:pPr>
          </w:p>
        </w:tc>
      </w:tr>
      <w:tr>
        <w:trPr>
          <w:trHeight w:val="661"/>
        </w:trPr>
        <w:tc>
          <w:tcPr>
            <w:tcW w:w="140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gridSpan w:val="4"/>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Corey Goodman</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AF</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Times New Roman" w:cs="Times New Roman" w:eastAsia="Times New Roman" w:hAnsi="Times New Roman"/>
                <w:sz w:val="32"/>
                <w:szCs w:val="32"/>
                <w:b w:val="1"/>
                <w:bCs w:val="1"/>
                <w:color w:val="auto"/>
              </w:rPr>
              <w:t>7</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Times New Roman" w:cs="Times New Roman" w:eastAsia="Times New Roman" w:hAnsi="Times New Roman"/>
                <w:sz w:val="32"/>
                <w:szCs w:val="32"/>
                <w:b w:val="1"/>
                <w:bCs w:val="1"/>
                <w:color w:val="auto"/>
              </w:rPr>
              <w:t>8</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2,303,310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80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60" w:type="dxa"/>
            <w:vAlign w:val="bottom"/>
          </w:tcPr>
          <w:p>
            <w:pPr>
              <w:spacing w:after="0"/>
              <w:rPr>
                <w:sz w:val="18"/>
                <w:szCs w:val="18"/>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Times New Roman" w:cs="Times New Roman" w:eastAsia="Times New Roman" w:hAnsi="Times New Roman"/>
                <w:sz w:val="32"/>
                <w:szCs w:val="32"/>
                <w:b w:val="1"/>
                <w:bCs w:val="1"/>
                <w:color w:val="auto"/>
              </w:rPr>
              <w:t>9</w:t>
            </w: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5"/>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Borders>
              <w:right w:val="single" w:sz="8" w:color="auto"/>
            </w:tcBorders>
            <w:vMerge w:val="continue"/>
          </w:tcPr>
          <w:p>
            <w:pPr>
              <w:spacing w:after="0"/>
              <w:rPr>
                <w:sz w:val="16"/>
                <w:szCs w:val="16"/>
                <w:color w:val="auto"/>
              </w:rPr>
            </w:pPr>
          </w:p>
        </w:tc>
        <w:tc>
          <w:tcPr>
            <w:tcW w:w="800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Times New Roman" w:cs="Times New Roman" w:eastAsia="Times New Roman" w:hAnsi="Times New Roman"/>
                <w:sz w:val="32"/>
                <w:szCs w:val="32"/>
                <w:b w:val="1"/>
                <w:bCs w:val="1"/>
                <w:color w:val="auto"/>
              </w:rPr>
              <w:t>10</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2,303,310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7"/>
              </w:rPr>
              <w:t>2,303,310</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N69605108</w:t>
            </w:r>
          </w:p>
        </w:tc>
        <w:tc>
          <w:tcPr>
            <w:tcW w:w="520" w:type="dxa"/>
            <w:vAlign w:val="bottom"/>
          </w:tcPr>
          <w:p>
            <w:pPr>
              <w:spacing w:after="0"/>
              <w:rPr>
                <w:sz w:val="20"/>
                <w:szCs w:val="20"/>
                <w:color w:val="auto"/>
              </w:rPr>
            </w:pPr>
          </w:p>
        </w:tc>
        <w:tc>
          <w:tcPr>
            <w:tcW w:w="8520" w:type="dxa"/>
            <w:vAlign w:val="bottom"/>
            <w:gridSpan w:val="3"/>
          </w:tcPr>
          <w:p>
            <w:pPr>
              <w:ind w:left="7160"/>
              <w:spacing w:after="0"/>
              <w:rPr>
                <w:sz w:val="20"/>
                <w:szCs w:val="20"/>
                <w:color w:val="auto"/>
              </w:rPr>
            </w:pPr>
            <w:r>
              <w:rPr>
                <w:rFonts w:ascii="Times New Roman" w:cs="Times New Roman" w:eastAsia="Times New Roman" w:hAnsi="Times New Roman"/>
                <w:sz w:val="18"/>
                <w:szCs w:val="18"/>
                <w:color w:val="auto"/>
                <w:w w:val="96"/>
              </w:rPr>
              <w:t>Page 7 of 11 Pages</w:t>
            </w:r>
          </w:p>
        </w:tc>
        <w:tc>
          <w:tcPr>
            <w:tcW w:w="0" w:type="dxa"/>
            <w:vAlign w:val="bottom"/>
          </w:tcPr>
          <w:p>
            <w:pPr>
              <w:spacing w:after="0"/>
              <w:rPr>
                <w:sz w:val="1"/>
                <w:szCs w:val="1"/>
                <w:color w:val="auto"/>
              </w:rPr>
            </w:pPr>
          </w:p>
        </w:tc>
      </w:tr>
      <w:tr>
        <w:trPr>
          <w:trHeight w:val="418"/>
        </w:trPr>
        <w:tc>
          <w:tcPr>
            <w:tcW w:w="140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gridSpan w:val="4"/>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Robert Adelman</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AF</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Times New Roman" w:cs="Times New Roman" w:eastAsia="Times New Roman" w:hAnsi="Times New Roman"/>
                <w:sz w:val="32"/>
                <w:szCs w:val="32"/>
                <w:b w:val="1"/>
                <w:bCs w:val="1"/>
                <w:color w:val="auto"/>
              </w:rPr>
              <w:t>7</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Times New Roman" w:cs="Times New Roman" w:eastAsia="Times New Roman" w:hAnsi="Times New Roman"/>
                <w:sz w:val="32"/>
                <w:szCs w:val="32"/>
                <w:b w:val="1"/>
                <w:bCs w:val="1"/>
                <w:color w:val="auto"/>
              </w:rPr>
              <w:t>8</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2,303,310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80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60" w:type="dxa"/>
            <w:vAlign w:val="bottom"/>
          </w:tcPr>
          <w:p>
            <w:pPr>
              <w:spacing w:after="0"/>
              <w:rPr>
                <w:sz w:val="18"/>
                <w:szCs w:val="18"/>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Times New Roman" w:cs="Times New Roman" w:eastAsia="Times New Roman" w:hAnsi="Times New Roman"/>
                <w:sz w:val="32"/>
                <w:szCs w:val="32"/>
                <w:b w:val="1"/>
                <w:bCs w:val="1"/>
                <w:color w:val="auto"/>
              </w:rPr>
              <w:t>9</w:t>
            </w: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5"/>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Borders>
              <w:right w:val="single" w:sz="8" w:color="auto"/>
            </w:tcBorders>
            <w:vMerge w:val="continue"/>
          </w:tcPr>
          <w:p>
            <w:pPr>
              <w:spacing w:after="0"/>
              <w:rPr>
                <w:sz w:val="16"/>
                <w:szCs w:val="16"/>
                <w:color w:val="auto"/>
              </w:rPr>
            </w:pPr>
          </w:p>
        </w:tc>
        <w:tc>
          <w:tcPr>
            <w:tcW w:w="800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Times New Roman" w:cs="Times New Roman" w:eastAsia="Times New Roman" w:hAnsi="Times New Roman"/>
                <w:sz w:val="32"/>
                <w:szCs w:val="32"/>
                <w:b w:val="1"/>
                <w:bCs w:val="1"/>
                <w:color w:val="auto"/>
              </w:rPr>
              <w:t>10</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2,303,310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7"/>
              </w:rPr>
              <w:t>2,303,310</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w:t>
            </w:r>
          </w:p>
        </w:tc>
        <w:tc>
          <w:tcPr>
            <w:tcW w:w="5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7" w:name="page8"/>
    <w:bookmarkEnd w:id="7"/>
    <w:p>
      <w:pPr>
        <w:spacing w:after="0"/>
        <w:tabs>
          <w:tab w:leader="none" w:pos="9860" w:val="left"/>
        </w:tabs>
        <w:rPr>
          <w:sz w:val="20"/>
          <w:szCs w:val="20"/>
          <w:color w:val="auto"/>
        </w:rPr>
      </w:pPr>
      <w:r>
        <w:rPr>
          <w:rFonts w:ascii="Times New Roman" w:cs="Times New Roman" w:eastAsia="Times New Roman" w:hAnsi="Times New Roman"/>
          <w:sz w:val="18"/>
          <w:szCs w:val="18"/>
          <w:color w:val="auto"/>
        </w:rPr>
        <w:t>CUSIP No. N69605108</w:t>
      </w:r>
      <w:r>
        <w:rPr>
          <w:sz w:val="20"/>
          <w:szCs w:val="20"/>
          <w:color w:val="auto"/>
        </w:rPr>
        <w:tab/>
      </w:r>
      <w:r>
        <w:rPr>
          <w:rFonts w:ascii="Times New Roman" w:cs="Times New Roman" w:eastAsia="Times New Roman" w:hAnsi="Times New Roman"/>
          <w:sz w:val="17"/>
          <w:szCs w:val="17"/>
          <w:color w:val="auto"/>
        </w:rPr>
        <w:t>Page 8 of 11 Pages</w:t>
      </w:r>
    </w:p>
    <w:p>
      <w:pPr>
        <w:spacing w:after="0" w:line="200" w:lineRule="exact"/>
        <w:rPr>
          <w:sz w:val="20"/>
          <w:szCs w:val="20"/>
          <w:color w:val="auto"/>
        </w:rPr>
      </w:pPr>
    </w:p>
    <w:p>
      <w:pPr>
        <w:spacing w:after="0" w:line="22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Security and Issuer</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This Schedule 13D relates to the Ordinary shares, par value €0.12 per share (the “</w:t>
      </w:r>
      <w:r>
        <w:rPr>
          <w:rFonts w:ascii="Times New Roman" w:cs="Times New Roman" w:eastAsia="Times New Roman" w:hAnsi="Times New Roman"/>
          <w:sz w:val="22"/>
          <w:szCs w:val="22"/>
          <w:u w:val="single" w:color="auto"/>
          <w:color w:val="auto"/>
        </w:rPr>
        <w:t>Common Shares</w:t>
      </w:r>
      <w:r>
        <w:rPr>
          <w:rFonts w:ascii="Times New Roman" w:cs="Times New Roman" w:eastAsia="Times New Roman" w:hAnsi="Times New Roman"/>
          <w:sz w:val="22"/>
          <w:szCs w:val="22"/>
          <w:color w:val="auto"/>
        </w:rPr>
        <w:t>”), of Pharvaris N.V. (the “</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The address of the principal executive offices of the Issuer is J.H. Oortweg 21, 2333 CH Leiden, The Netherlands.</w:t>
      </w:r>
    </w:p>
    <w:p>
      <w:pPr>
        <w:spacing w:after="0" w:line="19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Identity and Background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Schedule 13D is being filed by the following persons (each a “</w:t>
      </w:r>
      <w:r>
        <w:rPr>
          <w:rFonts w:ascii="Times New Roman" w:cs="Times New Roman" w:eastAsia="Times New Roman" w:hAnsi="Times New Roman"/>
          <w:sz w:val="22"/>
          <w:szCs w:val="22"/>
          <w:u w:val="single" w:color="auto"/>
          <w:color w:val="auto"/>
        </w:rPr>
        <w:t>Reporting Person</w:t>
      </w:r>
      <w:r>
        <w:rPr>
          <w:rFonts w:ascii="Times New Roman" w:cs="Times New Roman" w:eastAsia="Times New Roman" w:hAnsi="Times New Roman"/>
          <w:sz w:val="22"/>
          <w:szCs w:val="22"/>
          <w:color w:val="auto"/>
        </w:rPr>
        <w:t>” and together the “</w:t>
      </w:r>
      <w:r>
        <w:rPr>
          <w:rFonts w:ascii="Times New Roman" w:cs="Times New Roman" w:eastAsia="Times New Roman" w:hAnsi="Times New Roman"/>
          <w:sz w:val="22"/>
          <w:szCs w:val="22"/>
          <w:u w:val="single" w:color="auto"/>
          <w:color w:val="auto"/>
        </w:rPr>
        <w:t>Reporting Persons</w:t>
      </w:r>
      <w:r>
        <w:rPr>
          <w:rFonts w:ascii="Times New Roman" w:cs="Times New Roman" w:eastAsia="Times New Roman" w:hAnsi="Times New Roman"/>
          <w:sz w:val="22"/>
          <w:szCs w:val="22"/>
          <w:color w:val="auto"/>
        </w:rPr>
        <w:t>”):</w:t>
      </w:r>
    </w:p>
    <w:p>
      <w:pPr>
        <w:spacing w:after="0" w:line="242"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venBio Global Strategic Fund III, L.P., a Cayman Islands partnership (the “Fund III”);</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venBio Global Strategic GP III, L.P., a Cayman Islands partnership (the “General Partner III”), which is the sole general partner of Fund III;</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venBio Global Strategic GP III, Ltd., a Cayman Islands company (the “GP Ltd. III”), which is the sole general partner of the General Partner III;</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Aaron Royston, a citizen of the United States of America and a director of the GP Ltd. III;</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Adelman, a citizen of the United States of America and a director of the GP Ltd. III; and</w:t>
      </w:r>
    </w:p>
    <w:p>
      <w:pPr>
        <w:spacing w:after="0" w:line="9" w:lineRule="exact"/>
        <w:rPr>
          <w:rFonts w:ascii="Times New Roman" w:cs="Times New Roman" w:eastAsia="Times New Roman" w:hAnsi="Times New Roman"/>
          <w:sz w:val="18"/>
          <w:szCs w:val="18"/>
          <w:color w:val="auto"/>
        </w:rPr>
      </w:pPr>
    </w:p>
    <w:p>
      <w:pPr>
        <w:ind w:left="460" w:right="80" w:hanging="452"/>
        <w:spacing w:after="0" w:line="260"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Corey Goodman (together with Aaron Royston and Robert Adelman, the “Directors”), a citizen of the United States of America and a director of the GP Ltd. III.</w:t>
      </w:r>
    </w:p>
    <w:p>
      <w:pPr>
        <w:spacing w:after="0" w:line="1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principal business address of each Reporting Person is c/o venBio Partners, LLC, 1700 Owens Street, Suite 595, San Francisco, CA 94158. The principal business of Fund III is to make strategic equity and equity-related investments principally in entities operating in the life sciences industry and/or assets relating thereto. The principal business of the General Partner III is to act as the sole general partner of the Fund III. The principal business of the GP Ltd. III is to act as the sole general partner of the General Partner III. The principal business of each of the Directors is to manage the General Partner III and the GP Ltd. III.</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During the last five years, none of the Reporting Persons has been convicted in a criminal proceeding (excluding traffic violations or similar misdemeanors).</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During the last five years, none of the Reporting Persons has been party to a civil proceeding of a judicial or administrative body of competent jurisdiction and as a result of such proceeding were or are subject to a judgment, decree or final order enjoining future violations of, or prohibiting or mandating activities subject to, federal or state securities laws or finding any violation with respect to such laws.</w:t>
      </w:r>
    </w:p>
    <w:p>
      <w:pPr>
        <w:spacing w:after="0" w:line="21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Source and Amount of Funds or Other Consideration</w:t>
      </w:r>
    </w:p>
    <w:p>
      <w:pPr>
        <w:spacing w:after="0" w:line="247"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21"/>
          <w:szCs w:val="21"/>
          <w:color w:val="auto"/>
        </w:rPr>
        <w:t>On February 4, 2021, the Registration Statement on Form F-1 filed with the Securities and Exchange Commission by the Issuer in connection with its initial public offering (the “IPO”) was declared effective. The closing of the IPO took place on February 9, 2021 and at such closing Fund III purchased an aggregate of 300,000 Common Shares at the IPO price of $20.00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tabs>
          <w:tab w:leader="none" w:pos="9860" w:val="left"/>
        </w:tabs>
        <w:rPr>
          <w:sz w:val="20"/>
          <w:szCs w:val="20"/>
          <w:color w:val="auto"/>
        </w:rPr>
      </w:pPr>
      <w:r>
        <w:rPr>
          <w:rFonts w:ascii="Times New Roman" w:cs="Times New Roman" w:eastAsia="Times New Roman" w:hAnsi="Times New Roman"/>
          <w:sz w:val="18"/>
          <w:szCs w:val="18"/>
          <w:color w:val="auto"/>
        </w:rPr>
        <w:t>CUSIP No. N69605108</w:t>
      </w:r>
      <w:r>
        <w:rPr>
          <w:sz w:val="20"/>
          <w:szCs w:val="20"/>
          <w:color w:val="auto"/>
        </w:rPr>
        <w:tab/>
      </w:r>
      <w:r>
        <w:rPr>
          <w:rFonts w:ascii="Times New Roman" w:cs="Times New Roman" w:eastAsia="Times New Roman" w:hAnsi="Times New Roman"/>
          <w:sz w:val="17"/>
          <w:szCs w:val="17"/>
          <w:color w:val="auto"/>
        </w:rPr>
        <w:t>Page 9 of 11 Pages</w:t>
      </w:r>
    </w:p>
    <w:p>
      <w:pPr>
        <w:spacing w:after="0" w:line="200" w:lineRule="exact"/>
        <w:rPr>
          <w:sz w:val="20"/>
          <w:szCs w:val="20"/>
          <w:color w:val="auto"/>
        </w:rPr>
      </w:pPr>
    </w:p>
    <w:p>
      <w:pPr>
        <w:spacing w:after="0" w:line="218" w:lineRule="exact"/>
        <w:rPr>
          <w:sz w:val="20"/>
          <w:szCs w:val="20"/>
          <w:color w:val="auto"/>
        </w:rPr>
      </w:pPr>
    </w:p>
    <w:p>
      <w:pPr>
        <w:jc w:val="both"/>
        <w:ind w:right="300"/>
        <w:spacing w:after="0" w:line="244" w:lineRule="auto"/>
        <w:rPr>
          <w:sz w:val="20"/>
          <w:szCs w:val="20"/>
          <w:color w:val="auto"/>
        </w:rPr>
      </w:pPr>
      <w:r>
        <w:rPr>
          <w:rFonts w:ascii="Times New Roman" w:cs="Times New Roman" w:eastAsia="Times New Roman" w:hAnsi="Times New Roman"/>
          <w:sz w:val="22"/>
          <w:szCs w:val="22"/>
          <w:color w:val="auto"/>
        </w:rPr>
        <w:t>Prior to the IPO, Fund III purchased from the Issuer 500,565 Series B-1 Convertible Preferred Stock (the “Series B-1 Stock”), 774,460 Series B-2 Convertible Preferred Stock (the “Series B-2 Stock”), and 728,285 Series C Preferred Stock (the “Series C Stock”).</w:t>
      </w:r>
    </w:p>
    <w:p>
      <w:pPr>
        <w:spacing w:after="0" w:line="20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Immediately prior to the closing of the IPO, the Series B-1 Stock, Series B-2 Stock, and Series C Stock (collectively, the “Preferred Stock”) held by Fund III automatically converted into Ordinary Shares on a one-for-one basis. Fund III holds a total of 2,303,310 Common Shares.</w:t>
      </w:r>
    </w:p>
    <w:p>
      <w:pPr>
        <w:spacing w:after="0" w:line="20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1"/>
          <w:szCs w:val="21"/>
          <w:color w:val="auto"/>
        </w:rPr>
        <w:t>The working capital of Fund III was the source of the funds for the purchase of the Common Shares and Preferred Stock. No part of the purchase price of the Common Shares and Preferred Stock (together, the “venBio Shares”) was represented by funds or other consideration borrowed or otherwise obtained for the purpose of acquiring, holding, trading or voting the venBio Shares. A total of approximately $27,000,013, including commissions, was paid by Fund III to acquire the venBio Shares reported herein.</w:t>
      </w:r>
    </w:p>
    <w:p>
      <w:pPr>
        <w:spacing w:after="0" w:line="19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Fund III acquired the venBio Shares and holds the Common Shares for investment purposes. Subject to a number of factors, including market conditions and their general investment and trading policies, the Reporting Persons may, in the ordinary course of their business, dispose of the shares of Common Stock that they beneficially own. These dispositions may occur in open market transactions, privately negotiated transactions or through other methods. Additionally, Fund III may distribute the Common Shares that it directly holds to its limited partners.</w:t>
      </w:r>
    </w:p>
    <w:p>
      <w:pPr>
        <w:spacing w:after="0" w:line="20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Richard Gaster, who is a partner of General Partner III, is a director of the Issuer. The Reporting Persons, either directly or indirectly through Mr. Gaster, may engage in discussions from time to time with the Issuer’s board of directors, the Issuer’s management or the Issuer’s other stockholders. These discussions may be with respect to (i) acquiring or disposing Common Shares or other securities of the Issuer (collectively, the “Securities”); (ii) maintaining or changing the Issuer’s business, operations, governance, management, strategy or capitalization; or (iii) implementing transactions that may relate to or may result in any matter set forth in paragraphs (a) through (j) of Item 4 of Schedule 13D. Additionally, the Reporting Persons may acquire additional Securities through open market transactions, privately negotiated transactions or other methods.</w:t>
      </w:r>
    </w:p>
    <w:p>
      <w:pPr>
        <w:spacing w:after="0" w:line="21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(a)-(b) The information set forth in rows 7 through 13 of the cover pages to this Schedule 13D is incorporated by reference. The percentage set forth in row 13 is based on 33,080,351 outstanding Common Shares outstanding after the IPO, which includes the full exercise of the underwriters’ over-allotment option, as disclosed in the Issuer’s prospectus filed on February 8, 2021, pursuant to Rule 424(b)(4) under the Securities Act of 1933, as amended, which is part of the Issuer’s Registration Statement.</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Fund III directly holds 2,303,310 Common Shares. As the sole general partner of Fund III, the General Partner III may be deemed to beneficially own the shares held by Fund III and as the sole general partner of the General Partner III, the GP Ltd. III may be deemed to beneficially own the shares held by Fund III. As directors of the GP Ltd. III, each of the Directors may be deemed to beneficially own the shares held by Fund III.</w:t>
      </w:r>
    </w:p>
    <w:p>
      <w:pPr>
        <w:spacing w:after="0" w:line="207" w:lineRule="exact"/>
        <w:rPr>
          <w:sz w:val="20"/>
          <w:szCs w:val="20"/>
          <w:color w:val="auto"/>
        </w:rPr>
      </w:pPr>
    </w:p>
    <w:p>
      <w:pPr>
        <w:jc w:val="both"/>
        <w:ind w:firstLine="8"/>
        <w:spacing w:after="0" w:line="244" w:lineRule="auto"/>
        <w:tabs>
          <w:tab w:leader="none" w:pos="297"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February 5, 2021, Fund III purchased 300,000 Common Shares in connection with the Issuer’s IPO. On February 9, 2021, each share of the Preferred Stock held by Fund III automatically converted into Common Shares on a one-for-one basis upon the closing of the Issuer’s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tabs>
          <w:tab w:leader="none" w:pos="9760" w:val="left"/>
        </w:tabs>
        <w:rPr>
          <w:sz w:val="20"/>
          <w:szCs w:val="20"/>
          <w:color w:val="auto"/>
        </w:rPr>
      </w:pPr>
      <w:r>
        <w:rPr>
          <w:rFonts w:ascii="Times New Roman" w:cs="Times New Roman" w:eastAsia="Times New Roman" w:hAnsi="Times New Roman"/>
          <w:sz w:val="18"/>
          <w:szCs w:val="18"/>
          <w:color w:val="auto"/>
        </w:rPr>
        <w:t>CUSIP No. N69605108</w:t>
      </w:r>
      <w:r>
        <w:rPr>
          <w:sz w:val="20"/>
          <w:szCs w:val="20"/>
          <w:color w:val="auto"/>
        </w:rPr>
        <w:tab/>
      </w:r>
      <w:r>
        <w:rPr>
          <w:rFonts w:ascii="Times New Roman" w:cs="Times New Roman" w:eastAsia="Times New Roman" w:hAnsi="Times New Roman"/>
          <w:sz w:val="17"/>
          <w:szCs w:val="17"/>
          <w:color w:val="auto"/>
        </w:rPr>
        <w:t>Page 10 of 11 Pages</w:t>
      </w:r>
    </w:p>
    <w:p>
      <w:pPr>
        <w:spacing w:after="0" w:line="200" w:lineRule="exact"/>
        <w:rPr>
          <w:sz w:val="20"/>
          <w:szCs w:val="20"/>
          <w:color w:val="auto"/>
        </w:rPr>
      </w:pPr>
    </w:p>
    <w:p>
      <w:pPr>
        <w:spacing w:after="0" w:line="218" w:lineRule="exact"/>
        <w:rPr>
          <w:sz w:val="20"/>
          <w:szCs w:val="20"/>
          <w:color w:val="auto"/>
        </w:rPr>
      </w:pPr>
    </w:p>
    <w:p>
      <w:pPr>
        <w:ind w:firstLine="8"/>
        <w:spacing w:after="0" w:line="258" w:lineRule="auto"/>
        <w:tabs>
          <w:tab w:leader="none" w:pos="30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described herein, no other person has the right to receive or the power to direct the receipt of dividends from, or the proceeds from the sale of, securities covered by this statement.</w:t>
      </w:r>
    </w:p>
    <w:p>
      <w:pPr>
        <w:spacing w:after="0" w:line="185" w:lineRule="exact"/>
        <w:rPr>
          <w:rFonts w:ascii="Times New Roman" w:cs="Times New Roman" w:eastAsia="Times New Roman" w:hAnsi="Times New Roman"/>
          <w:sz w:val="22"/>
          <w:szCs w:val="22"/>
          <w:color w:val="auto"/>
        </w:rPr>
      </w:pPr>
    </w:p>
    <w:p>
      <w:pPr>
        <w:ind w:left="300" w:hanging="292"/>
        <w:spacing w:after="0"/>
        <w:tabs>
          <w:tab w:leader="none" w:pos="3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Item 5(e) is not applicable.</w:t>
      </w:r>
    </w:p>
    <w:p>
      <w:pPr>
        <w:spacing w:after="0" w:line="23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Contracts, Arrangements, Understandings or Relationships with Respect to Securities of the Issuer</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Except for the transactions described in this Schedule 13D, none of the Reporting Persons have any contract, arrangement, understanding or relationship (legal or otherwise) with any other person with respect to any securities of the Issuer, including but not limited to transfer or voting of any such securities, finder’s fees, joint ventures, loan or option arrangements, puts or calls, guarantees of profits, division of profits or loss or the giving or withholding of proxies.</w:t>
      </w:r>
    </w:p>
    <w:p>
      <w:pPr>
        <w:spacing w:after="0" w:line="212" w:lineRule="exact"/>
        <w:rPr>
          <w:sz w:val="20"/>
          <w:szCs w:val="20"/>
          <w:color w:val="auto"/>
        </w:rPr>
      </w:pPr>
    </w:p>
    <w:p>
      <w:pPr>
        <w:ind w:left="8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Material to be Filed as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99.1</w:t>
            </w:r>
          </w:p>
        </w:tc>
        <w:tc>
          <w:tcPr>
            <w:tcW w:w="9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Agreement regarding filing of joint Schedule 13D.</w:t>
            </w:r>
          </w:p>
        </w:tc>
      </w:tr>
      <w:tr>
        <w:trPr>
          <w:trHeight w:val="648"/>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99.2</w:t>
            </w:r>
          </w:p>
        </w:tc>
        <w:tc>
          <w:tcPr>
            <w:tcW w:w="9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Power of Attorney regarding filings under the Act.</w:t>
            </w:r>
          </w:p>
        </w:tc>
      </w:tr>
      <w:tr>
        <w:trPr>
          <w:trHeight w:val="3355"/>
        </w:trPr>
        <w:tc>
          <w:tcPr>
            <w:tcW w:w="132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0" w:name="page11"/>
    <w:bookmarkEnd w:id="10"/>
    <w:p>
      <w:pPr>
        <w:spacing w:after="0"/>
        <w:tabs>
          <w:tab w:leader="none" w:pos="9780" w:val="left"/>
        </w:tabs>
        <w:rPr>
          <w:sz w:val="20"/>
          <w:szCs w:val="20"/>
          <w:color w:val="auto"/>
        </w:rPr>
      </w:pPr>
      <w:r>
        <w:rPr>
          <w:rFonts w:ascii="Times New Roman" w:cs="Times New Roman" w:eastAsia="Times New Roman" w:hAnsi="Times New Roman"/>
          <w:sz w:val="18"/>
          <w:szCs w:val="18"/>
          <w:color w:val="auto"/>
        </w:rPr>
        <w:t>CUSIP No. N69605108</w:t>
      </w:r>
      <w:r>
        <w:rPr>
          <w:sz w:val="20"/>
          <w:szCs w:val="20"/>
          <w:color w:val="auto"/>
        </w:rPr>
        <w:tab/>
      </w:r>
      <w:r>
        <w:rPr>
          <w:rFonts w:ascii="Times New Roman" w:cs="Times New Roman" w:eastAsia="Times New Roman" w:hAnsi="Times New Roman"/>
          <w:sz w:val="17"/>
          <w:szCs w:val="17"/>
          <w:color w:val="auto"/>
        </w:rPr>
        <w:t>Page 11 of 11 Pages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7"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19, 2021</w:t>
      </w:r>
    </w:p>
    <w:p>
      <w:pPr>
        <w:spacing w:after="0" w:line="24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VENBIO GLOBAL STRATEGIC FUND III, L.P.</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VENBIO GLOBAL STRATEGIC GP III, L.P.</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VENBIO GLOBAL STRATEGIC GP III, LTD.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600"/>
        <w:spacing w:after="0"/>
        <w:tabs>
          <w:tab w:leader="none" w:pos="7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24860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Title:Director</w:t>
      </w:r>
    </w:p>
    <w:p>
      <w:pPr>
        <w:spacing w:after="0" w:line="27" w:lineRule="exact"/>
        <w:rPr>
          <w:sz w:val="20"/>
          <w:szCs w:val="20"/>
          <w:color w:val="auto"/>
        </w:rPr>
      </w:pPr>
    </w:p>
    <w:p>
      <w:pPr>
        <w:ind w:left="5600"/>
        <w:spacing w:after="0"/>
        <w:tabs>
          <w:tab w:leader="none" w:pos="7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5715</wp:posOffset>
            </wp:positionV>
            <wp:extent cx="24860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ind w:left="5600"/>
        <w:spacing w:after="0"/>
        <w:rPr>
          <w:sz w:val="20"/>
          <w:szCs w:val="20"/>
          <w:color w:val="auto"/>
        </w:rPr>
      </w:pPr>
      <w:r>
        <w:rPr>
          <w:rFonts w:ascii="Times New Roman" w:cs="Times New Roman" w:eastAsia="Times New Roman" w:hAnsi="Times New Roman"/>
          <w:sz w:val="18"/>
          <w:szCs w:val="18"/>
          <w:color w:val="auto"/>
        </w:rPr>
        <w:t>Title:Director</w:t>
      </w:r>
    </w:p>
    <w:p>
      <w:pPr>
        <w:spacing w:after="0" w:line="27" w:lineRule="exact"/>
        <w:rPr>
          <w:sz w:val="20"/>
          <w:szCs w:val="20"/>
          <w:color w:val="auto"/>
        </w:rPr>
      </w:pPr>
    </w:p>
    <w:p>
      <w:pPr>
        <w:ind w:left="5600"/>
        <w:spacing w:after="0"/>
        <w:tabs>
          <w:tab w:leader="none" w:pos="7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5715</wp:posOffset>
            </wp:positionV>
            <wp:extent cx="24860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ind w:left="5600"/>
        <w:spacing w:after="0"/>
        <w:rPr>
          <w:sz w:val="20"/>
          <w:szCs w:val="20"/>
          <w:color w:val="auto"/>
        </w:rPr>
      </w:pPr>
      <w:r>
        <w:rPr>
          <w:rFonts w:ascii="Times New Roman" w:cs="Times New Roman" w:eastAsia="Times New Roman" w:hAnsi="Times New Roman"/>
          <w:sz w:val="18"/>
          <w:szCs w:val="18"/>
          <w:color w:val="auto"/>
        </w:rPr>
        <w:t>Title:Director</w:t>
      </w:r>
    </w:p>
    <w:p>
      <w:pPr>
        <w:spacing w:after="0" w:line="25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VENBIO GLOBAL STRATEGIC GP III, L.P.</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VENBIO GLOBAL STRATEGIC GP III, LTD.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600"/>
        <w:spacing w:after="0"/>
        <w:tabs>
          <w:tab w:leader="none" w:pos="7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24860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Title:Director</w:t>
      </w:r>
    </w:p>
    <w:p>
      <w:pPr>
        <w:spacing w:after="0" w:line="27" w:lineRule="exact"/>
        <w:rPr>
          <w:sz w:val="20"/>
          <w:szCs w:val="20"/>
          <w:color w:val="auto"/>
        </w:rPr>
      </w:pPr>
    </w:p>
    <w:p>
      <w:pPr>
        <w:ind w:left="5600"/>
        <w:spacing w:after="0"/>
        <w:tabs>
          <w:tab w:leader="none" w:pos="7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5715</wp:posOffset>
            </wp:positionV>
            <wp:extent cx="24860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ind w:left="5600"/>
        <w:spacing w:after="0"/>
        <w:rPr>
          <w:sz w:val="20"/>
          <w:szCs w:val="20"/>
          <w:color w:val="auto"/>
        </w:rPr>
      </w:pPr>
      <w:r>
        <w:rPr>
          <w:rFonts w:ascii="Times New Roman" w:cs="Times New Roman" w:eastAsia="Times New Roman" w:hAnsi="Times New Roman"/>
          <w:sz w:val="18"/>
          <w:szCs w:val="18"/>
          <w:color w:val="auto"/>
        </w:rPr>
        <w:t>Title:Director</w:t>
      </w:r>
    </w:p>
    <w:p>
      <w:pPr>
        <w:spacing w:after="0" w:line="27" w:lineRule="exact"/>
        <w:rPr>
          <w:sz w:val="20"/>
          <w:szCs w:val="20"/>
          <w:color w:val="auto"/>
        </w:rPr>
      </w:pPr>
    </w:p>
    <w:p>
      <w:pPr>
        <w:ind w:left="5600"/>
        <w:spacing w:after="0"/>
        <w:tabs>
          <w:tab w:leader="none" w:pos="7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5715</wp:posOffset>
            </wp:positionV>
            <wp:extent cx="24860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ind w:left="5600"/>
        <w:spacing w:after="0"/>
        <w:rPr>
          <w:sz w:val="20"/>
          <w:szCs w:val="20"/>
          <w:color w:val="auto"/>
        </w:rPr>
      </w:pPr>
      <w:r>
        <w:rPr>
          <w:rFonts w:ascii="Times New Roman" w:cs="Times New Roman" w:eastAsia="Times New Roman" w:hAnsi="Times New Roman"/>
          <w:sz w:val="18"/>
          <w:szCs w:val="18"/>
          <w:color w:val="auto"/>
        </w:rPr>
        <w:t>Title:Director</w:t>
      </w:r>
    </w:p>
    <w:p>
      <w:pPr>
        <w:spacing w:after="0" w:line="25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VENBIO GLOBAL STRATEGIC GP III, LTD.</w:t>
      </w:r>
    </w:p>
    <w:p>
      <w:pPr>
        <w:spacing w:after="0" w:line="225" w:lineRule="exact"/>
        <w:rPr>
          <w:sz w:val="20"/>
          <w:szCs w:val="20"/>
          <w:color w:val="auto"/>
        </w:rPr>
      </w:pPr>
    </w:p>
    <w:p>
      <w:pPr>
        <w:ind w:left="5600"/>
        <w:spacing w:after="0"/>
        <w:tabs>
          <w:tab w:leader="none" w:pos="7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24860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Title:Director</w:t>
      </w:r>
    </w:p>
    <w:p>
      <w:pPr>
        <w:spacing w:after="0" w:line="27" w:lineRule="exact"/>
        <w:rPr>
          <w:sz w:val="20"/>
          <w:szCs w:val="20"/>
          <w:color w:val="auto"/>
        </w:rPr>
      </w:pPr>
    </w:p>
    <w:p>
      <w:pPr>
        <w:ind w:left="5600"/>
        <w:spacing w:after="0"/>
        <w:tabs>
          <w:tab w:leader="none" w:pos="7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5715</wp:posOffset>
            </wp:positionV>
            <wp:extent cx="24860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ind w:left="5600"/>
        <w:spacing w:after="0"/>
        <w:rPr>
          <w:sz w:val="20"/>
          <w:szCs w:val="20"/>
          <w:color w:val="auto"/>
        </w:rPr>
      </w:pPr>
      <w:r>
        <w:rPr>
          <w:rFonts w:ascii="Times New Roman" w:cs="Times New Roman" w:eastAsia="Times New Roman" w:hAnsi="Times New Roman"/>
          <w:sz w:val="18"/>
          <w:szCs w:val="18"/>
          <w:color w:val="auto"/>
        </w:rPr>
        <w:t>Title:Director</w:t>
      </w:r>
    </w:p>
    <w:p>
      <w:pPr>
        <w:spacing w:after="0" w:line="27" w:lineRule="exact"/>
        <w:rPr>
          <w:sz w:val="20"/>
          <w:szCs w:val="20"/>
          <w:color w:val="auto"/>
        </w:rPr>
      </w:pPr>
    </w:p>
    <w:p>
      <w:pPr>
        <w:ind w:left="5600"/>
        <w:spacing w:after="0"/>
        <w:tabs>
          <w:tab w:leader="none" w:pos="7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5715</wp:posOffset>
            </wp:positionV>
            <wp:extent cx="24860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ind w:left="5600"/>
        <w:spacing w:after="0"/>
        <w:rPr>
          <w:sz w:val="20"/>
          <w:szCs w:val="20"/>
          <w:color w:val="auto"/>
        </w:rPr>
      </w:pPr>
      <w:r>
        <w:rPr>
          <w:rFonts w:ascii="Times New Roman" w:cs="Times New Roman" w:eastAsia="Times New Roman" w:hAnsi="Times New Roman"/>
          <w:sz w:val="18"/>
          <w:szCs w:val="18"/>
          <w:color w:val="auto"/>
        </w:rPr>
        <w:t>Title:Director</w:t>
      </w:r>
    </w:p>
    <w:p>
      <w:pPr>
        <w:spacing w:after="0" w:line="252"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27089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Aaron Royston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27089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Corey Goodman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27089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Robert Adelman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David Pezeshki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David Pezeshki</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As attorney-in-fact</w:t>
      </w:r>
    </w:p>
    <w:p>
      <w:pPr>
        <w:sectPr>
          <w:pgSz w:w="11900" w:h="16838" w:orient="portrait"/>
          <w:cols w:equalWidth="0" w:num="1">
            <w:col w:w="11240"/>
          </w:cols>
          <w:pgMar w:left="320" w:top="121" w:right="339" w:bottom="1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This Schedule 13D was executed by David Pezeshki on behalf of the individuals listed above pursuant to a Power of Attorney, a copy of which is attached as Exhibit 99.2.</w:t>
      </w:r>
    </w:p>
    <w:p>
      <w:pPr>
        <w:sectPr>
          <w:pgSz w:w="11900" w:h="16838" w:orient="portrait"/>
          <w:cols w:equalWidth="0" w:num="1">
            <w:col w:w="11240"/>
          </w:cols>
          <w:pgMar w:left="320" w:top="121" w:right="339" w:bottom="160" w:gutter="0" w:footer="0" w:header="0"/>
          <w:type w:val="continuous"/>
        </w:sectPr>
      </w:pPr>
    </w:p>
    <w:bookmarkStart w:id="11" w:name="page12"/>
    <w:bookmarkEnd w:id="11"/>
    <w:p>
      <w:pPr>
        <w:spacing w:after="0" w:line="25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00" w:lineRule="exact"/>
        <w:rPr>
          <w:sz w:val="20"/>
          <w:szCs w:val="20"/>
          <w:color w:val="auto"/>
        </w:rPr>
      </w:pPr>
    </w:p>
    <w:p>
      <w:pPr>
        <w:spacing w:after="0" w:line="2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persons below hereby agree that the Schedule 13D to which this agreement is attached as an exhibit, as well as all future amendments to such Schedule 13D, shall be filed jointly on behalf of each of them. This agreement is intended to satisfy the requirements of Rule 13d-1(k)(1)(iii) under the Securities Exchange Act of 1934.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19, 2021</w:t>
      </w:r>
    </w:p>
    <w:p>
      <w:pPr>
        <w:spacing w:after="0" w:line="24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VENBIO GLOBAL STRATEGIC FUND III, L.P.</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VENBIO GLOBAL STRATEGIC GP III, L.P.</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VENBIO GLOBAL STRATEGIC GP III, LTD.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600"/>
        <w:spacing w:after="0"/>
        <w:tabs>
          <w:tab w:leader="none" w:pos="7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24860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Title:Director</w:t>
      </w:r>
    </w:p>
    <w:p>
      <w:pPr>
        <w:spacing w:after="0" w:line="27" w:lineRule="exact"/>
        <w:rPr>
          <w:sz w:val="20"/>
          <w:szCs w:val="20"/>
          <w:color w:val="auto"/>
        </w:rPr>
      </w:pPr>
    </w:p>
    <w:p>
      <w:pPr>
        <w:ind w:left="5600"/>
        <w:spacing w:after="0"/>
        <w:tabs>
          <w:tab w:leader="none" w:pos="7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5715</wp:posOffset>
            </wp:positionV>
            <wp:extent cx="24860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ind w:left="5600"/>
        <w:spacing w:after="0"/>
        <w:rPr>
          <w:sz w:val="20"/>
          <w:szCs w:val="20"/>
          <w:color w:val="auto"/>
        </w:rPr>
      </w:pPr>
      <w:r>
        <w:rPr>
          <w:rFonts w:ascii="Times New Roman" w:cs="Times New Roman" w:eastAsia="Times New Roman" w:hAnsi="Times New Roman"/>
          <w:sz w:val="18"/>
          <w:szCs w:val="18"/>
          <w:color w:val="auto"/>
        </w:rPr>
        <w:t>Title:Director</w:t>
      </w:r>
    </w:p>
    <w:p>
      <w:pPr>
        <w:spacing w:after="0" w:line="27" w:lineRule="exact"/>
        <w:rPr>
          <w:sz w:val="20"/>
          <w:szCs w:val="20"/>
          <w:color w:val="auto"/>
        </w:rPr>
      </w:pPr>
    </w:p>
    <w:p>
      <w:pPr>
        <w:ind w:left="5600"/>
        <w:spacing w:after="0"/>
        <w:tabs>
          <w:tab w:leader="none" w:pos="7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5715</wp:posOffset>
            </wp:positionV>
            <wp:extent cx="24860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ind w:left="5600"/>
        <w:spacing w:after="0"/>
        <w:rPr>
          <w:sz w:val="20"/>
          <w:szCs w:val="20"/>
          <w:color w:val="auto"/>
        </w:rPr>
      </w:pPr>
      <w:r>
        <w:rPr>
          <w:rFonts w:ascii="Times New Roman" w:cs="Times New Roman" w:eastAsia="Times New Roman" w:hAnsi="Times New Roman"/>
          <w:sz w:val="18"/>
          <w:szCs w:val="18"/>
          <w:color w:val="auto"/>
        </w:rPr>
        <w:t>Title:Director</w:t>
      </w:r>
    </w:p>
    <w:p>
      <w:pPr>
        <w:spacing w:after="0" w:line="25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VENBIO GLOBAL STRATEGIC GP III, L.P.</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VENBIO GLOBAL STRATEGIC GP III, LTD.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600"/>
        <w:spacing w:after="0"/>
        <w:tabs>
          <w:tab w:leader="none" w:pos="7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24860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Title:Director</w:t>
      </w:r>
    </w:p>
    <w:p>
      <w:pPr>
        <w:spacing w:after="0" w:line="27" w:lineRule="exact"/>
        <w:rPr>
          <w:sz w:val="20"/>
          <w:szCs w:val="20"/>
          <w:color w:val="auto"/>
        </w:rPr>
      </w:pPr>
    </w:p>
    <w:p>
      <w:pPr>
        <w:ind w:left="5600"/>
        <w:spacing w:after="0"/>
        <w:tabs>
          <w:tab w:leader="none" w:pos="7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5715</wp:posOffset>
            </wp:positionV>
            <wp:extent cx="24860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ind w:left="5600"/>
        <w:spacing w:after="0"/>
        <w:rPr>
          <w:sz w:val="20"/>
          <w:szCs w:val="20"/>
          <w:color w:val="auto"/>
        </w:rPr>
      </w:pPr>
      <w:r>
        <w:rPr>
          <w:rFonts w:ascii="Times New Roman" w:cs="Times New Roman" w:eastAsia="Times New Roman" w:hAnsi="Times New Roman"/>
          <w:sz w:val="18"/>
          <w:szCs w:val="18"/>
          <w:color w:val="auto"/>
        </w:rPr>
        <w:t>Title:Director</w:t>
      </w:r>
    </w:p>
    <w:p>
      <w:pPr>
        <w:spacing w:after="0" w:line="27" w:lineRule="exact"/>
        <w:rPr>
          <w:sz w:val="20"/>
          <w:szCs w:val="20"/>
          <w:color w:val="auto"/>
        </w:rPr>
      </w:pPr>
    </w:p>
    <w:p>
      <w:pPr>
        <w:ind w:left="5600"/>
        <w:spacing w:after="0"/>
        <w:tabs>
          <w:tab w:leader="none" w:pos="7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5715</wp:posOffset>
            </wp:positionV>
            <wp:extent cx="24860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ind w:left="5600"/>
        <w:spacing w:after="0"/>
        <w:rPr>
          <w:sz w:val="20"/>
          <w:szCs w:val="20"/>
          <w:color w:val="auto"/>
        </w:rPr>
      </w:pPr>
      <w:r>
        <w:rPr>
          <w:rFonts w:ascii="Times New Roman" w:cs="Times New Roman" w:eastAsia="Times New Roman" w:hAnsi="Times New Roman"/>
          <w:sz w:val="18"/>
          <w:szCs w:val="18"/>
          <w:color w:val="auto"/>
        </w:rPr>
        <w:t>Title:Director</w:t>
      </w:r>
    </w:p>
    <w:p>
      <w:pPr>
        <w:spacing w:after="0" w:line="25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VENBIO GLOBAL STRATEGIC GP III, LTD.</w:t>
      </w:r>
    </w:p>
    <w:p>
      <w:pPr>
        <w:spacing w:after="0" w:line="225" w:lineRule="exact"/>
        <w:rPr>
          <w:sz w:val="20"/>
          <w:szCs w:val="20"/>
          <w:color w:val="auto"/>
        </w:rPr>
      </w:pPr>
    </w:p>
    <w:p>
      <w:pPr>
        <w:ind w:left="5600"/>
        <w:spacing w:after="0"/>
        <w:tabs>
          <w:tab w:leader="none" w:pos="7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24860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Title:Director</w:t>
      </w:r>
    </w:p>
    <w:p>
      <w:pPr>
        <w:spacing w:after="0" w:line="27" w:lineRule="exact"/>
        <w:rPr>
          <w:sz w:val="20"/>
          <w:szCs w:val="20"/>
          <w:color w:val="auto"/>
        </w:rPr>
      </w:pPr>
    </w:p>
    <w:p>
      <w:pPr>
        <w:ind w:left="5600"/>
        <w:spacing w:after="0"/>
        <w:tabs>
          <w:tab w:leader="none" w:pos="7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5715</wp:posOffset>
            </wp:positionV>
            <wp:extent cx="24860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ind w:left="5600"/>
        <w:spacing w:after="0"/>
        <w:rPr>
          <w:sz w:val="20"/>
          <w:szCs w:val="20"/>
          <w:color w:val="auto"/>
        </w:rPr>
      </w:pPr>
      <w:r>
        <w:rPr>
          <w:rFonts w:ascii="Times New Roman" w:cs="Times New Roman" w:eastAsia="Times New Roman" w:hAnsi="Times New Roman"/>
          <w:sz w:val="18"/>
          <w:szCs w:val="18"/>
          <w:color w:val="auto"/>
        </w:rPr>
        <w:t>Title:Director</w:t>
      </w:r>
    </w:p>
    <w:p>
      <w:pPr>
        <w:spacing w:after="0" w:line="27" w:lineRule="exact"/>
        <w:rPr>
          <w:sz w:val="20"/>
          <w:szCs w:val="20"/>
          <w:color w:val="auto"/>
        </w:rPr>
      </w:pPr>
    </w:p>
    <w:p>
      <w:pPr>
        <w:ind w:left="5600"/>
        <w:spacing w:after="0"/>
        <w:tabs>
          <w:tab w:leader="none" w:pos="7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5715</wp:posOffset>
            </wp:positionV>
            <wp:extent cx="24860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ind w:left="5600"/>
        <w:spacing w:after="0"/>
        <w:rPr>
          <w:sz w:val="20"/>
          <w:szCs w:val="20"/>
          <w:color w:val="auto"/>
        </w:rPr>
      </w:pPr>
      <w:r>
        <w:rPr>
          <w:rFonts w:ascii="Times New Roman" w:cs="Times New Roman" w:eastAsia="Times New Roman" w:hAnsi="Times New Roman"/>
          <w:sz w:val="18"/>
          <w:szCs w:val="18"/>
          <w:color w:val="auto"/>
        </w:rPr>
        <w:t>Title:Director</w:t>
      </w:r>
    </w:p>
    <w:p>
      <w:pPr>
        <w:spacing w:after="0" w:line="252"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270891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Aaron Royston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270891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Corey Goodman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270891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Robert Adelman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David Pezeshki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David Pezeshki</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As attorney-in-fact</w:t>
      </w:r>
    </w:p>
    <w:p>
      <w:pPr>
        <w:sectPr>
          <w:pgSz w:w="11900" w:h="16838" w:orient="portrait"/>
          <w:cols w:equalWidth="0" w:num="1">
            <w:col w:w="11240"/>
          </w:cols>
          <w:pgMar w:left="320" w:top="594" w:right="339" w:bottom="564" w:gutter="0" w:footer="0" w:header="0"/>
        </w:sectPr>
      </w:pPr>
    </w:p>
    <w:bookmarkStart w:id="13" w:name="page14"/>
    <w:bookmarkEnd w:id="13"/>
    <w:p>
      <w:pPr>
        <w:spacing w:after="0" w:line="259" w:lineRule="auto"/>
        <w:rPr>
          <w:sz w:val="20"/>
          <w:szCs w:val="20"/>
          <w:color w:val="auto"/>
        </w:rPr>
      </w:pPr>
      <w:r>
        <w:rPr>
          <w:rFonts w:ascii="Times New Roman" w:cs="Times New Roman" w:eastAsia="Times New Roman" w:hAnsi="Times New Roman"/>
          <w:sz w:val="22"/>
          <w:szCs w:val="22"/>
          <w:color w:val="auto"/>
        </w:rPr>
        <w:t>This Schedule 13D was executed by David Pezeshki on behalf of the individuals listed above pursuant to a Power of Attorney, a copy of which is attached as 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12" w:right="47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00" w:lineRule="exact"/>
        <w:rPr>
          <w:sz w:val="20"/>
          <w:szCs w:val="20"/>
          <w:color w:val="auto"/>
        </w:rPr>
      </w:pPr>
    </w:p>
    <w:p>
      <w:pPr>
        <w:spacing w:after="0" w:line="280" w:lineRule="exact"/>
        <w:rPr>
          <w:sz w:val="20"/>
          <w:szCs w:val="20"/>
          <w:color w:val="auto"/>
        </w:rPr>
      </w:pPr>
    </w:p>
    <w:p>
      <w:pPr>
        <w:jc w:val="both"/>
        <w:ind w:firstLine="441"/>
        <w:spacing w:after="0" w:line="246" w:lineRule="auto"/>
        <w:rPr>
          <w:sz w:val="20"/>
          <w:szCs w:val="20"/>
          <w:color w:val="auto"/>
        </w:rPr>
      </w:pPr>
      <w:r>
        <w:rPr>
          <w:rFonts w:ascii="Times New Roman" w:cs="Times New Roman" w:eastAsia="Times New Roman" w:hAnsi="Times New Roman"/>
          <w:sz w:val="21"/>
          <w:szCs w:val="21"/>
          <w:color w:val="auto"/>
        </w:rPr>
        <w:t>KNOW ALL MEN BY THESE PRESENTS, that the undersigned hereby constitutes and appoints David Pezeshki his true and lawful attorney-in-fact, with full power of substitution, to sign any and all instruments, certificates and documents that may be necessary, desirable or appropriate to be executed on behalf of himself as an individual or in his capacity as a direct or indirect general partner, director, officer, member or manager of any partnership, corporation or limited liability company, pursuant to section 13 or 16 of the Securities Exchange Act of 1934, as amended (the “Exchange Act”), and any and all regulations promulgated thereunder, and to file the same, with all exhibits thereto, and any other documents in connection therewith, with the Securities and Exchange Commission, and with any other entity when and if such is mandated by the Exchange Act or by the Financial Industry Regulatory Authority, granting unto said attorney-in-fact full power and authority to do and perform each and every act and thing necessary, desirable or appropriate, fully to all intents and purposes as he might or could do in person, thereby ratifying and confirming all that said attorney-in-fact, or his substitutes, may lawfully do or cause to be done by virtue hereof.</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IN WITNESS WHEREOF, this Power of Attorney has been signed as of the 10</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day of February, 2017.</w:t>
      </w:r>
    </w:p>
    <w:p>
      <w:pPr>
        <w:spacing w:after="0" w:line="9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/s/ Aaron Royston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17145</wp:posOffset>
            </wp:positionV>
            <wp:extent cx="213423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6"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Aaron Royston</w:t>
      </w:r>
    </w:p>
    <w:p>
      <w:pPr>
        <w:spacing w:after="0" w:line="252"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/s/ Corey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17145</wp:posOffset>
            </wp:positionV>
            <wp:extent cx="213423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6"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Corey Goodman</w:t>
      </w:r>
    </w:p>
    <w:p>
      <w:pPr>
        <w:spacing w:after="0" w:line="252"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/s/ Robert Adelman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17145</wp:posOffset>
            </wp:positionV>
            <wp:extent cx="213423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6"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Robert Adelman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2021-02-19T15:51:18Z</dcterms:created>
  <dcterms:modified xsi:type="dcterms:W3CDTF">2021-02-19T15:51:18Z</dcterms:modified>
</cp:coreProperties>
</file>