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158750</wp:posOffset>
            </wp:positionV>
            <wp:extent cx="274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186690</wp:posOffset>
            </wp:positionV>
            <wp:extent cx="2743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171450</wp:posOffset>
            </wp:positionV>
            <wp:extent cx="274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Pharvaris N.V.</w:t>
      </w: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177800</wp:posOffset>
            </wp:positionV>
            <wp:extent cx="2743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J.H. Oortweg 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2333 CH Leiden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Netherlands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52" w:lineRule="exact"/>
        <w:rPr>
          <w:sz w:val="24"/>
          <w:szCs w:val="24"/>
          <w:color w:val="auto"/>
        </w:rPr>
      </w:pPr>
    </w:p>
    <w:p>
      <w:pPr>
        <w:spacing w:after="0" w:line="207" w:lineRule="exact"/>
        <w:tabs>
          <w:tab w:leader="none" w:pos="28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75" w:lineRule="auto"/>
        <w:rPr>
          <w:sz w:val="20"/>
          <w:szCs w:val="20"/>
          <w:color w:val="auto"/>
        </w:rPr>
      </w:pPr>
      <w:r>
        <w:rPr>
          <w:rFonts w:ascii="Arial" w:cs="Arial" w:eastAsia="Arial" w:hAnsi="Arial"/>
          <w:sz w:val="17"/>
          <w:szCs w:val="17"/>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828040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746" w:right="3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PHARVARIS N.V.</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10, 2021, Pharvaris N.V. issued a press release. A copy of the press release is attached hereto as Exhibit 99.1 and is incorporated by reference herein. 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160" w:type="dxa"/>
            <w:vAlign w:val="bottom"/>
            <w:gridSpan w:val="3"/>
          </w:tcPr>
          <w:p>
            <w:pPr>
              <w:ind w:left="84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1010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6"/>
                <w:szCs w:val="16"/>
                <w:color w:val="auto"/>
              </w:rPr>
            </w:pPr>
          </w:p>
        </w:tc>
        <w:tc>
          <w:tcPr>
            <w:tcW w:w="10100" w:type="dxa"/>
            <w:vAlign w:val="bottom"/>
            <w:tcBorders>
              <w:top w:val="single" w:sz="8" w:color="auto"/>
            </w:tcBorders>
            <w:gridSpan w:val="5"/>
          </w:tcPr>
          <w:p>
            <w:pPr>
              <w:spacing w:after="0" w:line="189" w:lineRule="exact"/>
              <w:rPr>
                <w:rFonts w:ascii="Arial" w:cs="Arial" w:eastAsia="Arial" w:hAnsi="Arial"/>
                <w:sz w:val="18"/>
                <w:szCs w:val="18"/>
                <w:color w:val="0000EE"/>
              </w:rPr>
            </w:pPr>
            <w:hyperlink w:anchor="page5">
              <w:r>
                <w:rPr>
                  <w:rFonts w:ascii="Arial" w:cs="Arial" w:eastAsia="Arial" w:hAnsi="Arial"/>
                  <w:sz w:val="18"/>
                  <w:szCs w:val="18"/>
                  <w:color w:val="0000EE"/>
                </w:rPr>
                <w:t>Press Release, dated November 10, 2021</w:t>
              </w:r>
            </w:hyperlink>
            <w:r>
              <w:rPr>
                <w:rFonts w:ascii="Arial" w:cs="Arial" w:eastAsia="Arial" w:hAnsi="Arial"/>
                <w:sz w:val="18"/>
                <w:szCs w:val="18"/>
                <w:u w:val="single" w:color="auto"/>
                <w:color w:val="000000"/>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4"/>
                <w:szCs w:val="24"/>
                <w:color w:val="auto"/>
              </w:rPr>
            </w:pPr>
          </w:p>
        </w:tc>
        <w:tc>
          <w:tcPr>
            <w:tcW w:w="99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Management’s Discussion and Analysis of Financial Condition and Results of Operations as of and for the Three and Nine Months Ended</w:t>
              </w:r>
            </w:hyperlink>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September 30, 2021</w:t>
              </w:r>
              <w:r>
                <w:rPr>
                  <w:rFonts w:ascii="Arial" w:cs="Arial" w:eastAsia="Arial" w:hAnsi="Arial"/>
                  <w:sz w:val="18"/>
                  <w:szCs w:val="18"/>
                  <w:u w:val="single" w:color="auto"/>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5"/>
          </w:tcPr>
          <w:p>
            <w:pPr>
              <w:spacing w:after="0"/>
              <w:rPr>
                <w:rFonts w:ascii="Arial" w:cs="Arial" w:eastAsia="Arial" w:hAnsi="Arial"/>
                <w:sz w:val="18"/>
                <w:szCs w:val="18"/>
                <w:color w:val="0000EE"/>
                <w:w w:val="93"/>
              </w:rPr>
            </w:pPr>
            <w:hyperlink w:anchor="page22">
              <w:r>
                <w:rPr>
                  <w:rFonts w:ascii="Arial" w:cs="Arial" w:eastAsia="Arial" w:hAnsi="Arial"/>
                  <w:sz w:val="18"/>
                  <w:szCs w:val="18"/>
                  <w:color w:val="0000EE"/>
                  <w:w w:val="93"/>
                </w:rPr>
                <w:t>Unaudited Condensed Consolidated Interim Financial Statements as of and for the Three and Nine Months Ended September 30, 2021</w:t>
              </w:r>
            </w:hyperlink>
            <w:r>
              <w:rPr>
                <w:rFonts w:ascii="Arial" w:cs="Arial" w:eastAsia="Arial" w:hAnsi="Arial"/>
                <w:sz w:val="18"/>
                <w:szCs w:val="18"/>
                <w:u w:val="single" w:color="auto"/>
                <w:color w:val="000000"/>
                <w:w w:val="93"/>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40" w:type="dxa"/>
            <w:vAlign w:val="bottom"/>
            <w:tcBorders>
              <w:top w:val="single" w:sz="8" w:color="0000EE"/>
              <w:bottom w:val="single" w:sz="8" w:color="9A9A9A"/>
            </w:tcBorders>
          </w:tcPr>
          <w:p>
            <w:pPr>
              <w:spacing w:after="0"/>
              <w:rPr>
                <w:sz w:val="24"/>
                <w:szCs w:val="24"/>
                <w:color w:val="auto"/>
              </w:rPr>
            </w:pPr>
          </w:p>
        </w:tc>
        <w:tc>
          <w:tcPr>
            <w:tcW w:w="1500" w:type="dxa"/>
            <w:vAlign w:val="bottom"/>
            <w:tcBorders>
              <w:top w:val="single" w:sz="8" w:color="0000EE"/>
              <w:bottom w:val="single" w:sz="8" w:color="9A9A9A"/>
            </w:tcBorders>
          </w:tcPr>
          <w:p>
            <w:pPr>
              <w:spacing w:after="0"/>
              <w:rPr>
                <w:sz w:val="24"/>
                <w:szCs w:val="24"/>
                <w:color w:val="auto"/>
              </w:rPr>
            </w:pPr>
          </w:p>
        </w:tc>
        <w:tc>
          <w:tcPr>
            <w:tcW w:w="6740" w:type="dxa"/>
            <w:vAlign w:val="bottom"/>
            <w:tcBorders>
              <w:top w:val="single" w:sz="8" w:color="0000EE"/>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21"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b w:val="1"/>
                <w:bCs w:val="1"/>
                <w:color w:val="auto"/>
              </w:rPr>
              <w:t>PHARVARIS N.V.</w:t>
            </w:r>
          </w:p>
        </w:tc>
      </w:tr>
      <w:tr>
        <w:trPr>
          <w:trHeight w:val="493"/>
        </w:trPr>
        <w:tc>
          <w:tcPr>
            <w:tcW w:w="3760" w:type="dxa"/>
            <w:vAlign w:val="bottom"/>
          </w:tcPr>
          <w:p>
            <w:pPr>
              <w:spacing w:after="0"/>
              <w:rPr>
                <w:sz w:val="20"/>
                <w:szCs w:val="20"/>
                <w:color w:val="auto"/>
              </w:rPr>
            </w:pPr>
            <w:r>
              <w:rPr>
                <w:rFonts w:ascii="Arial" w:cs="Arial" w:eastAsia="Arial" w:hAnsi="Arial"/>
                <w:sz w:val="18"/>
                <w:szCs w:val="18"/>
                <w:color w:val="auto"/>
              </w:rPr>
              <w:t>Date: November 10, 2021</w:t>
            </w:r>
          </w:p>
        </w:tc>
        <w:tc>
          <w:tcPr>
            <w:tcW w:w="2600" w:type="dxa"/>
            <w:vAlign w:val="bottom"/>
          </w:tcPr>
          <w:p>
            <w:pPr>
              <w:ind w:left="188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29"/>
        </w:trPr>
        <w:tc>
          <w:tcPr>
            <w:tcW w:w="3760" w:type="dxa"/>
            <w:vAlign w:val="bottom"/>
          </w:tcPr>
          <w:p>
            <w:pPr>
              <w:spacing w:after="0"/>
              <w:rPr>
                <w:sz w:val="19"/>
                <w:szCs w:val="19"/>
                <w:color w:val="auto"/>
              </w:rPr>
            </w:pPr>
          </w:p>
        </w:tc>
        <w:tc>
          <w:tcPr>
            <w:tcW w:w="2600" w:type="dxa"/>
            <w:vAlign w:val="bottom"/>
          </w:tcPr>
          <w:p>
            <w:pPr>
              <w:ind w:left="1880"/>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30"/>
        </w:trPr>
        <w:tc>
          <w:tcPr>
            <w:tcW w:w="3760" w:type="dxa"/>
            <w:vAlign w:val="bottom"/>
          </w:tcPr>
          <w:p>
            <w:pPr>
              <w:spacing w:after="0"/>
              <w:rPr>
                <w:sz w:val="20"/>
                <w:szCs w:val="20"/>
                <w:color w:val="auto"/>
              </w:rPr>
            </w:pPr>
          </w:p>
        </w:tc>
        <w:tc>
          <w:tcPr>
            <w:tcW w:w="2600" w:type="dxa"/>
            <w:vAlign w:val="bottom"/>
          </w:tcPr>
          <w:p>
            <w:pPr>
              <w:ind w:left="188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8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Pharvaris Reports Third Quarter 2021 Financial Results and Provides Business Highlights</w:t>
      </w:r>
    </w:p>
    <w:p>
      <w:pPr>
        <w:spacing w:after="0" w:line="226" w:lineRule="exact"/>
        <w:rPr>
          <w:sz w:val="20"/>
          <w:szCs w:val="20"/>
          <w:color w:val="auto"/>
        </w:rPr>
      </w:pPr>
    </w:p>
    <w:p>
      <w:pPr>
        <w:ind w:left="880" w:right="200" w:hanging="440"/>
        <w:spacing w:after="0" w:line="250" w:lineRule="auto"/>
        <w:tabs>
          <w:tab w:leader="none" w:pos="88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RAPIDe-1, Phase 2 on-demand study of PHVS416 for the treatment of HAE attacks, proceeding; topline data reaffirmed for 2022</w:t>
      </w:r>
    </w:p>
    <w:p>
      <w:pPr>
        <w:spacing w:after="0" w:line="1" w:lineRule="exact"/>
        <w:rPr>
          <w:rFonts w:ascii="Arial" w:cs="Arial" w:eastAsia="Arial" w:hAnsi="Arial"/>
          <w:sz w:val="20"/>
          <w:szCs w:val="20"/>
          <w:color w:val="auto"/>
        </w:rPr>
      </w:pPr>
    </w:p>
    <w:p>
      <w:pPr>
        <w:ind w:left="880" w:right="20" w:hanging="440"/>
        <w:spacing w:after="0" w:line="239" w:lineRule="auto"/>
        <w:tabs>
          <w:tab w:leader="none" w:pos="88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CHAPTER-1, Phase 2 prophylactic study of PHVS416 for the prevention of HAE attacks, recruiting; topline data expected in 2022</w:t>
      </w:r>
    </w:p>
    <w:p>
      <w:pPr>
        <w:ind w:left="880" w:hanging="440"/>
        <w:spacing w:after="0"/>
        <w:tabs>
          <w:tab w:leader="none" w:pos="88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PHVS719 Phase 1 pharmacokinetics study initiating this month</w:t>
      </w: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Executing from a strong financial position with cash and cash equivalents of €218.6 million as of September 30, 2021</w:t>
      </w:r>
    </w:p>
    <w:p>
      <w:pPr>
        <w:spacing w:after="0" w:line="244"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auto"/>
        </w:rPr>
        <w:t xml:space="preserve">Zug, Switzerland, Nov. 10, 2021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Pharvaris</w:t>
      </w:r>
      <w:r>
        <w:rPr>
          <w:rFonts w:ascii="Arial" w:cs="Arial" w:eastAsia="Arial" w:hAnsi="Arial"/>
          <w:sz w:val="20"/>
          <w:szCs w:val="20"/>
          <w:b w:val="1"/>
          <w:bCs w:val="1"/>
          <w:color w:val="auto"/>
        </w:rPr>
        <w:t xml:space="preserve"> </w:t>
      </w:r>
      <w:r>
        <w:rPr>
          <w:rFonts w:ascii="Arial" w:cs="Arial" w:eastAsia="Arial" w:hAnsi="Arial"/>
          <w:sz w:val="20"/>
          <w:szCs w:val="20"/>
          <w:color w:val="auto"/>
        </w:rPr>
        <w:t>(Nasdaq: PHVS), a clinical-stage company focused on the development and commercialization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novel oral bradykinin-B2-receptor antagonists for the treatment of hereditary angioedema (HAE) and other bradykinin-B2-receptor-mediated indications, today reported financial results for the third quarter ended September 30, 2021, and provided an update on recent business highlights.</w:t>
      </w:r>
    </w:p>
    <w:p>
      <w:pPr>
        <w:spacing w:after="0" w:line="203"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“This quarter we continued to execute on our robust clinical development strategy as we seek to advance novel treatments for HAE patients that offer efficacy without compromising on convenience,” said Berndt Modig, co-founder and chief executive officer of Pharvaris. “We continue enrolling patients in RAPIDe-1, our Phase 2 on-demand study of PHVS416, and have begun recruiting in CHAPTER-1, our Phase 2 prophylactic study of PHVS416 for the prevention of HAE attacks. We expect to report top-line data, including efficacy and safety, for both studies in 2022. This month, in the PHVS719 program for HAE prophylaxis we also expect to initiate dosing in a Phase 1 pharmacokinetic study designed to assess the bioavailability of extended-release formulation.”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Pipeline and Business Highlights and Upcoming Milestones</w:t>
      </w:r>
    </w:p>
    <w:p>
      <w:pPr>
        <w:spacing w:after="0" w:line="229" w:lineRule="exact"/>
        <w:rPr>
          <w:sz w:val="20"/>
          <w:szCs w:val="20"/>
          <w:color w:val="auto"/>
        </w:rPr>
      </w:pPr>
    </w:p>
    <w:p>
      <w:pPr>
        <w:jc w:val="both"/>
        <w:ind w:left="880" w:right="320" w:hanging="440"/>
        <w:spacing w:after="0" w:line="265" w:lineRule="auto"/>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 xml:space="preserve">Phase 2 on-demand study (RAPIDe-1) of PHVS416 proceeding toward data readout in 2022. </w:t>
      </w:r>
      <w:r>
        <w:rPr>
          <w:rFonts w:ascii="Arial" w:cs="Arial" w:eastAsia="Arial" w:hAnsi="Arial"/>
          <w:sz w:val="19"/>
          <w:szCs w:val="19"/>
          <w:color w:val="auto"/>
        </w:rPr>
        <w:t>In February 2021, Pharvaris</w:t>
      </w:r>
      <w:r>
        <w:rPr>
          <w:rFonts w:ascii="Arial" w:cs="Arial" w:eastAsia="Arial" w:hAnsi="Arial"/>
          <w:sz w:val="19"/>
          <w:szCs w:val="19"/>
          <w:b w:val="1"/>
          <w:bCs w:val="1"/>
          <w:color w:val="auto"/>
        </w:rPr>
        <w:t xml:space="preserve"> </w:t>
      </w:r>
      <w:r>
        <w:rPr>
          <w:rFonts w:ascii="Arial" w:cs="Arial" w:eastAsia="Arial" w:hAnsi="Arial"/>
          <w:sz w:val="19"/>
          <w:szCs w:val="19"/>
          <w:color w:val="auto"/>
        </w:rPr>
        <w:t>announced that dosing had commenced in its Phase 2 clinical study of PHVS416 for the on-demand treatment of HAE attacks. The company reaffirms guidance for reporting topline efficacy and safety data from this study in 2022. Pharvaris is conducting RAPIDe-1 at 33 sites in Canada, Europe, Israel, the UK, and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ind w:left="880" w:right="60" w:hanging="440"/>
        <w:spacing w:after="0" w:line="256" w:lineRule="auto"/>
        <w:tabs>
          <w:tab w:leader="none" w:pos="880"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 xml:space="preserve">Phase 2 prophylactic study (HAE CHAPTER-1) of PHVS416 recruiting. </w:t>
      </w:r>
      <w:r>
        <w:rPr>
          <w:rFonts w:ascii="Arial" w:cs="Arial" w:eastAsia="Arial" w:hAnsi="Arial"/>
          <w:sz w:val="19"/>
          <w:szCs w:val="19"/>
          <w:color w:val="auto"/>
        </w:rPr>
        <w:t>In addition to developing PHVS416 for the on-demand treatment of HAE attacks, the company plans to investigate the therapeutic potential of the PHVS416 formulation of PHA121 for the prophylactic prevention of HAE attacks. In April 2021, Pharvaris announced that an IND was in effect in the US. Patient recruitment has begun and the study is expanding to Canada, Europe, Israel, and the UK. Pharvaris anticipates reporting topline safety and efficacy data from this study in 2022.</w:t>
      </w:r>
    </w:p>
    <w:p>
      <w:pPr>
        <w:spacing w:after="0" w:line="4" w:lineRule="exact"/>
        <w:rPr>
          <w:rFonts w:ascii="Arial" w:cs="Arial" w:eastAsia="Arial" w:hAnsi="Arial"/>
          <w:sz w:val="19"/>
          <w:szCs w:val="19"/>
          <w:color w:val="auto"/>
        </w:rPr>
      </w:pPr>
    </w:p>
    <w:p>
      <w:pPr>
        <w:ind w:left="880" w:right="320" w:hanging="440"/>
        <w:spacing w:after="0" w:line="266"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Phase 1 pharmacokinetics study of PHVS719 initiating shortly. </w:t>
      </w:r>
      <w:r>
        <w:rPr>
          <w:rFonts w:ascii="Arial" w:cs="Arial" w:eastAsia="Arial" w:hAnsi="Arial"/>
          <w:sz w:val="18"/>
          <w:szCs w:val="18"/>
          <w:color w:val="auto"/>
        </w:rPr>
        <w:t>PHVS719 is under development as an extended-release</w:t>
      </w:r>
      <w:r>
        <w:rPr>
          <w:rFonts w:ascii="Arial" w:cs="Arial" w:eastAsia="Arial" w:hAnsi="Arial"/>
          <w:sz w:val="18"/>
          <w:szCs w:val="18"/>
          <w:b w:val="1"/>
          <w:bCs w:val="1"/>
          <w:color w:val="auto"/>
        </w:rPr>
        <w:t xml:space="preserve"> </w:t>
      </w:r>
      <w:r>
        <w:rPr>
          <w:rFonts w:ascii="Arial" w:cs="Arial" w:eastAsia="Arial" w:hAnsi="Arial"/>
          <w:sz w:val="18"/>
          <w:szCs w:val="18"/>
          <w:color w:val="auto"/>
        </w:rPr>
        <w:t>formulation of PHA121 intended for use in the prophylactic treatment of HAE. Dosing of a Phase 1 pharmacokinetics study to assess the bioavailability of the extended-release formulation is expected to begin this month.</w:t>
      </w:r>
    </w:p>
    <w:p>
      <w:pPr>
        <w:jc w:val="both"/>
        <w:ind w:left="880" w:right="160" w:hanging="440"/>
        <w:spacing w:after="0" w:line="281"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Expanding corporate capabilities. </w:t>
      </w:r>
      <w:r>
        <w:rPr>
          <w:rFonts w:ascii="Arial" w:cs="Arial" w:eastAsia="Arial" w:hAnsi="Arial"/>
          <w:sz w:val="18"/>
          <w:szCs w:val="18"/>
          <w:color w:val="auto"/>
        </w:rPr>
        <w:t>With Wim Souverijns joining as Chief Community Engagement and Commercial Officer to</w:t>
      </w:r>
      <w:r>
        <w:rPr>
          <w:rFonts w:ascii="Arial" w:cs="Arial" w:eastAsia="Arial" w:hAnsi="Arial"/>
          <w:sz w:val="18"/>
          <w:szCs w:val="18"/>
          <w:b w:val="1"/>
          <w:bCs w:val="1"/>
          <w:color w:val="auto"/>
        </w:rPr>
        <w:t xml:space="preserve"> </w:t>
      </w:r>
      <w:r>
        <w:rPr>
          <w:rFonts w:ascii="Arial" w:cs="Arial" w:eastAsia="Arial" w:hAnsi="Arial"/>
          <w:sz w:val="18"/>
          <w:szCs w:val="18"/>
          <w:color w:val="auto"/>
        </w:rPr>
        <w:t>engage with patient advocacy groups, clinicians, and payers, in the third quarter the company further strengthened capabilities in Community Engagement and Commercialization, as well as CMC, Clinical, and organizational development.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2021 Financial Results</w:t>
      </w:r>
    </w:p>
    <w:p>
      <w:pPr>
        <w:spacing w:after="0" w:line="22" w:lineRule="exact"/>
        <w:rPr>
          <w:sz w:val="20"/>
          <w:szCs w:val="20"/>
          <w:color w:val="auto"/>
        </w:rPr>
      </w:pPr>
    </w:p>
    <w:p>
      <w:pPr>
        <w:ind w:left="880" w:right="320" w:hanging="440"/>
        <w:spacing w:after="0" w:line="239"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Liquidity position. </w:t>
      </w:r>
      <w:r>
        <w:rPr>
          <w:rFonts w:ascii="Arial" w:cs="Arial" w:eastAsia="Arial" w:hAnsi="Arial"/>
          <w:sz w:val="20"/>
          <w:szCs w:val="20"/>
          <w:color w:val="auto"/>
        </w:rPr>
        <w:t>Cash and cash equivalents were €218.6 million as of September 30, 2021, compared to €98.6 million as of</w:t>
      </w:r>
      <w:r>
        <w:rPr>
          <w:rFonts w:ascii="Arial" w:cs="Arial" w:eastAsia="Arial" w:hAnsi="Arial"/>
          <w:sz w:val="20"/>
          <w:szCs w:val="20"/>
          <w:b w:val="1"/>
          <w:bCs w:val="1"/>
          <w:color w:val="auto"/>
        </w:rPr>
        <w:t xml:space="preserve"> </w:t>
      </w:r>
      <w:r>
        <w:rPr>
          <w:rFonts w:ascii="Arial" w:cs="Arial" w:eastAsia="Arial" w:hAnsi="Arial"/>
          <w:sz w:val="20"/>
          <w:szCs w:val="20"/>
          <w:color w:val="auto"/>
        </w:rPr>
        <w:t>December 31, 2020.</w:t>
      </w:r>
    </w:p>
    <w:p>
      <w:pPr>
        <w:ind w:left="880" w:right="500" w:hanging="440"/>
        <w:spacing w:after="0" w:line="239"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Research and Development (R&amp;D) expenses. </w:t>
      </w:r>
      <w:r>
        <w:rPr>
          <w:rFonts w:ascii="Arial" w:cs="Arial" w:eastAsia="Arial" w:hAnsi="Arial"/>
          <w:sz w:val="20"/>
          <w:szCs w:val="20"/>
          <w:color w:val="auto"/>
        </w:rPr>
        <w:t>R&amp;D expenses were €9.0 million for the quarter ended September 30, 2021,</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€5.1 million for the quarter ended September 30, 2020.</w:t>
      </w:r>
    </w:p>
    <w:p>
      <w:pPr>
        <w:ind w:left="880" w:right="400" w:hanging="440"/>
        <w:spacing w:after="0" w:line="239"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General and Administrative (G&amp;A) expenses</w:t>
      </w:r>
      <w:r>
        <w:rPr>
          <w:rFonts w:ascii="Arial" w:cs="Arial" w:eastAsia="Arial" w:hAnsi="Arial"/>
          <w:sz w:val="20"/>
          <w:szCs w:val="20"/>
          <w:color w:val="auto"/>
        </w:rPr>
        <w:t>. G&amp;A expenses were €4.4 million for the quarter ended September 30, 2021,</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€1.2 million for the quarter ended September 30, 2020.</w:t>
      </w:r>
    </w:p>
    <w:p>
      <w:pPr>
        <w:jc w:val="both"/>
        <w:ind w:left="880" w:hanging="440"/>
        <w:spacing w:after="0" w:line="241"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Loss for the period. </w:t>
      </w:r>
      <w:r>
        <w:rPr>
          <w:rFonts w:ascii="Arial" w:cs="Arial" w:eastAsia="Arial" w:hAnsi="Arial"/>
          <w:sz w:val="20"/>
          <w:szCs w:val="20"/>
          <w:color w:val="auto"/>
        </w:rPr>
        <w:t>Loss for the quarter ended September 30, 2021 was €9.1 million, or basic and diluted loss per share of €0.39,</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quarter ended September 30, 2021, compared to loss for the quarter ended September 30, 2020 of €6.4 million, or basic and diluted loss per share of €1.32 for the quarter ended September 30, 2020.</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on International Financial Reporting Standards (IFRS)</w:t>
      </w:r>
    </w:p>
    <w:p>
      <w:pPr>
        <w:spacing w:after="0" w:line="22" w:lineRule="exact"/>
        <w:rPr>
          <w:sz w:val="20"/>
          <w:szCs w:val="20"/>
          <w:color w:val="auto"/>
        </w:rPr>
      </w:pPr>
    </w:p>
    <w:p>
      <w:pPr>
        <w:ind w:right="80"/>
        <w:spacing w:after="0" w:line="297" w:lineRule="auto"/>
        <w:rPr>
          <w:sz w:val="20"/>
          <w:szCs w:val="20"/>
          <w:color w:val="auto"/>
        </w:rPr>
      </w:pPr>
      <w:r>
        <w:rPr>
          <w:rFonts w:ascii="Arial" w:cs="Arial" w:eastAsia="Arial" w:hAnsi="Arial"/>
          <w:sz w:val="18"/>
          <w:szCs w:val="18"/>
          <w:color w:val="auto"/>
        </w:rP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RAPIDe-1</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 w:name="page7"/>
    <w:bookmarkEnd w:id="6"/>
    <w:p>
      <w:pPr>
        <w:ind w:right="40"/>
        <w:spacing w:after="0" w:line="244" w:lineRule="auto"/>
        <w:rPr>
          <w:sz w:val="20"/>
          <w:szCs w:val="20"/>
          <w:color w:val="auto"/>
        </w:rPr>
      </w:pPr>
      <w:r>
        <w:rPr>
          <w:rFonts w:ascii="Arial" w:cs="Arial" w:eastAsia="Arial" w:hAnsi="Arial"/>
          <w:sz w:val="20"/>
          <w:szCs w:val="20"/>
          <w:color w:val="auto"/>
        </w:rPr>
        <w:t xml:space="preserve">The RAPIDe-1 study is a clinical research study for people who have been diagnosed with HAE. The main purpose of the study is to find out how effective three different doses of the study drug, PHVS416, are in relieving symptoms associated with HAE attacks. Researchers developed the study drug in the form of soft capsules which are taken orally and could be a more convenient alternative to an injection into a vein or under the skin for resolving HAE attacks. For more information, visit </w:t>
      </w:r>
      <w:r>
        <w:rPr>
          <w:rFonts w:ascii="Arial" w:cs="Arial" w:eastAsia="Arial" w:hAnsi="Arial"/>
          <w:sz w:val="20"/>
          <w:szCs w:val="20"/>
          <w:u w:val="single" w:color="auto"/>
          <w:color w:val="auto"/>
        </w:rPr>
        <w:t>https://hae-rapide.com/</w:t>
      </w:r>
      <w:r>
        <w:rPr>
          <w:rFonts w:ascii="Arial" w:cs="Arial" w:eastAsia="Arial" w:hAnsi="Arial"/>
          <w:sz w:val="20"/>
          <w:szCs w:val="20"/>
          <w:color w:val="auto"/>
        </w:rPr>
        <w:t xml:space="preserve">, </w:t>
      </w:r>
      <w:r>
        <w:rPr>
          <w:rFonts w:ascii="Arial" w:cs="Arial" w:eastAsia="Arial" w:hAnsi="Arial"/>
          <w:sz w:val="20"/>
          <w:szCs w:val="20"/>
          <w:u w:val="single" w:color="auto"/>
          <w:color w:val="auto"/>
        </w:rPr>
        <w:t>https://hae-rapide.us/</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https://clinicaltrials.gov/ct2/show/NCT04618211</w:t>
      </w:r>
      <w:r>
        <w:rPr>
          <w:rFonts w:ascii="Arial" w:cs="Arial" w:eastAsia="Arial" w:hAnsi="Arial"/>
          <w:sz w:val="20"/>
          <w:szCs w:val="20"/>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HAE CHAPTER-1</w:t>
      </w:r>
    </w:p>
    <w:p>
      <w:pPr>
        <w:spacing w:after="0" w:line="22"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 xml:space="preserve">The HAE CHAPTER-1 study is a clinical research study for people who have been diagnosed with HAE. The main purpose of the study is to evaluate two different doses of the study drug, PHVS416, in preventing HAE attacks. Researchers developed the study drug in the form of soft capsules which are taken orally and could be a more convenient alternative to an injection into a vein or under the skin for preventing HAE attacks. For more information, visit </w:t>
      </w:r>
      <w:r>
        <w:rPr>
          <w:rFonts w:ascii="Arial" w:cs="Arial" w:eastAsia="Arial" w:hAnsi="Arial"/>
          <w:sz w:val="18"/>
          <w:szCs w:val="18"/>
          <w:u w:val="single" w:color="auto"/>
          <w:color w:val="auto"/>
        </w:rPr>
        <w:t>https://haechapter-1.com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https://clinicaltrials.gov/show/NCT05047185</w:t>
      </w:r>
      <w:r>
        <w:rPr>
          <w:rFonts w:ascii="Arial" w:cs="Arial" w:eastAsia="Arial" w:hAnsi="Arial"/>
          <w:sz w:val="18"/>
          <w:szCs w:val="18"/>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PHVS416</w:t>
      </w:r>
    </w:p>
    <w:p>
      <w:pPr>
        <w:spacing w:after="0" w:line="2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PHVS416 is a softgel capsule formulation containing PHA121, a highly potent, specific, and orally bioavailable competitive antagonist of the bradykinin B2 receptor. Pharvaris is developing this formulation to provide fast and reliable symptom relief when patients want, through rapid exposure of attack-mitigating medicine in a convenient, small oral dosage form. PHVS416 is currently in Phase 2 clinical development for the on-demand treatment of HAE.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PHVS719</w:t>
      </w:r>
    </w:p>
    <w:p>
      <w:pPr>
        <w:spacing w:after="0" w:line="22"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PHVS719 is an extended-release tablet formulation containing PHA121, a highly potent, specific, and orally bioavailable competitive antagonist of the bradykinin B2 receptor. Pharvaris is developing this formulation to provide an easy way to prevent attacks with sustained exposure of attack-preventing medicine in a convenient, small oral dosage form. PHVS719 is currently entering Phase 1 clinical development for the prophylactic treatment of HAE.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PHA121</w:t>
      </w:r>
    </w:p>
    <w:p>
      <w:pPr>
        <w:spacing w:after="0" w:line="22"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PHA121 (PHA-022121) is a highly potent, specific, and orally bioavailable competitive antagonist of the bradykinin B2 receptor that has completed Phase 1 clinical development for the treatment of HAE. PHA121 utilizes the same mechanism as icatibant, the leading therapy for on-demand treatment of HAE. Pharvaris is developing this novel small molecule for on-demand and prophylactic treatment of HAE and other bradykinin-mediated diseases through formulations optimized for each setting. Data from single-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 w:name="page8"/>
    <w:bookmarkEnd w:id="7"/>
    <w:p>
      <w:pPr>
        <w:ind w:right="40"/>
        <w:spacing w:after="0" w:line="278" w:lineRule="auto"/>
        <w:rPr>
          <w:sz w:val="20"/>
          <w:szCs w:val="20"/>
          <w:color w:val="auto"/>
        </w:rPr>
      </w:pPr>
      <w:r>
        <w:rPr>
          <w:rFonts w:ascii="Arial" w:cs="Arial" w:eastAsia="Arial" w:hAnsi="Arial"/>
          <w:sz w:val="18"/>
          <w:szCs w:val="18"/>
          <w:color w:val="auto"/>
        </w:rPr>
        <w:t>and multiple-ascending-dose Phase 1 studies in healthy volunteers demonstrate rapid exposure and linear pharmacokinetics at doses up to 50 mg. In a bradykinin-challenge study in healthy volunteers, PHA121 showed significant inhibition of bradykinin-induced hemodynamic changes with an average composite EC</w:t>
      </w:r>
      <w:r>
        <w:rPr>
          <w:rFonts w:ascii="Arial" w:cs="Arial" w:eastAsia="Arial" w:hAnsi="Arial"/>
          <w:sz w:val="14"/>
          <w:szCs w:val="14"/>
          <w:color w:val="auto"/>
        </w:rPr>
        <w:t>50</w:t>
      </w:r>
      <w:r>
        <w:rPr>
          <w:rFonts w:ascii="Arial" w:cs="Arial" w:eastAsia="Arial" w:hAnsi="Arial"/>
          <w:sz w:val="18"/>
          <w:szCs w:val="18"/>
          <w:color w:val="auto"/>
        </w:rPr>
        <w:t xml:space="preserve"> of 2.4 ng/mL and EC</w:t>
      </w:r>
      <w:r>
        <w:rPr>
          <w:rFonts w:ascii="Arial" w:cs="Arial" w:eastAsia="Arial" w:hAnsi="Arial"/>
          <w:sz w:val="14"/>
          <w:szCs w:val="14"/>
          <w:color w:val="auto"/>
        </w:rPr>
        <w:t>85</w:t>
      </w:r>
      <w:r>
        <w:rPr>
          <w:rFonts w:ascii="Arial" w:cs="Arial" w:eastAsia="Arial" w:hAnsi="Arial"/>
          <w:sz w:val="18"/>
          <w:szCs w:val="18"/>
          <w:color w:val="auto"/>
        </w:rPr>
        <w:t xml:space="preserve"> of 13.8 ng/mL, approximately four-fold more potent than historical data for icatibant. Quantitative modeling indicates that single oral doses of PHA121 will maintain pharmacological effectiveness for a substantially longer time than 30 mg of subcutaneous icatibant. PHA121 has been observed to be well-tolerated at all doses studied to date.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Pharvaris</w:t>
      </w:r>
    </w:p>
    <w:p>
      <w:pPr>
        <w:spacing w:after="0" w:line="22"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 xml:space="preserve">Pharvaris is a clinical-stage company focused on bringing oral bradykinin-B2-receptor antagonists to patients. By targeting this clinically proven therapeutic target with novel small molecules, the Pharvaris team is advancing new alternatives to injected therapies for all sub-types of HAE and other bradykinin-mediated diseases. The Company brings together executives with a breadth of expertise across pharmaceutical development and rare disorders, including HAE. For more information, visit </w:t>
      </w:r>
      <w:r>
        <w:rPr>
          <w:rFonts w:ascii="Arial" w:cs="Arial" w:eastAsia="Arial" w:hAnsi="Arial"/>
          <w:sz w:val="18"/>
          <w:szCs w:val="18"/>
          <w:u w:val="single" w:color="auto"/>
          <w:color w:val="auto"/>
        </w:rPr>
        <w:t>https://pharvaris.com/</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the expected timing, progress, or success of our clinical development programs, especially for PHVS416 and PHVS719, which are in early-stage clinical trials; risks associated with the COVID-19 pandemic, which may adversely impact our business, preclinical studies, and clinical trials;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and with competitive generic products; our ability to market, commercialize and achieve market acceptance for our product candidates;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8" w:name="page9"/>
    <w:bookmarkEnd w:id="8"/>
    <w:p>
      <w:pPr>
        <w:spacing w:after="0" w:line="276" w:lineRule="auto"/>
        <w:rPr>
          <w:sz w:val="20"/>
          <w:szCs w:val="20"/>
          <w:color w:val="auto"/>
        </w:rPr>
      </w:pPr>
      <w:r>
        <w:rPr>
          <w:rFonts w:ascii="Arial" w:cs="Arial" w:eastAsia="Arial" w:hAnsi="Arial"/>
          <w:sz w:val="18"/>
          <w:szCs w:val="18"/>
          <w:color w:val="auto"/>
        </w:rPr>
        <w:t>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 in our internal control over financial reporting and to maintain an effective system of internal control over financial reporting; and the other factors described under the heading “Risk Factors” in our Annual Report on Form 20-F and other periodic filings with the Securities and Exchange Commission.</w:t>
      </w:r>
    </w:p>
    <w:p>
      <w:pPr>
        <w:spacing w:after="0" w:line="192"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Pharvaris</w:t>
      </w:r>
    </w:p>
    <w:p>
      <w:pPr>
        <w:spacing w:after="0"/>
        <w:rPr>
          <w:sz w:val="20"/>
          <w:szCs w:val="20"/>
          <w:color w:val="auto"/>
        </w:rPr>
      </w:pPr>
      <w:r>
        <w:rPr>
          <w:rFonts w:ascii="Arial" w:cs="Arial" w:eastAsia="Arial" w:hAnsi="Arial"/>
          <w:sz w:val="20"/>
          <w:szCs w:val="20"/>
          <w:color w:val="auto"/>
        </w:rPr>
        <w:t>Maryann Cimino</w:t>
      </w:r>
    </w:p>
    <w:p>
      <w:pPr>
        <w:spacing w:after="0"/>
        <w:rPr>
          <w:sz w:val="20"/>
          <w:szCs w:val="20"/>
          <w:color w:val="auto"/>
        </w:rPr>
      </w:pPr>
      <w:r>
        <w:rPr>
          <w:rFonts w:ascii="Arial" w:cs="Arial" w:eastAsia="Arial" w:hAnsi="Arial"/>
          <w:sz w:val="20"/>
          <w:szCs w:val="20"/>
          <w:color w:val="auto"/>
        </w:rPr>
        <w:t>Director of Corporate Relations</w:t>
      </w:r>
    </w:p>
    <w:p>
      <w:pPr>
        <w:spacing w:after="0"/>
        <w:rPr>
          <w:sz w:val="20"/>
          <w:szCs w:val="20"/>
          <w:color w:val="auto"/>
        </w:rPr>
      </w:pPr>
      <w:r>
        <w:rPr>
          <w:rFonts w:ascii="Arial" w:cs="Arial" w:eastAsia="Arial" w:hAnsi="Arial"/>
          <w:sz w:val="20"/>
          <w:szCs w:val="20"/>
          <w:color w:val="auto"/>
        </w:rPr>
        <w:t>+1-617-710-7305</w:t>
      </w:r>
    </w:p>
    <w:p>
      <w:pPr>
        <w:spacing w:after="0"/>
        <w:rPr>
          <w:sz w:val="20"/>
          <w:szCs w:val="20"/>
          <w:color w:val="auto"/>
        </w:rPr>
      </w:pPr>
      <w:r>
        <w:rPr>
          <w:rFonts w:ascii="Arial" w:cs="Arial" w:eastAsia="Arial" w:hAnsi="Arial"/>
          <w:sz w:val="20"/>
          <w:szCs w:val="20"/>
          <w:u w:val="single" w:color="auto"/>
          <w:color w:val="auto"/>
        </w:rPr>
        <w:t>maryann.cimino@pharvaris.com</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Sarah McCabe</w:t>
      </w:r>
    </w:p>
    <w:p>
      <w:pPr>
        <w:spacing w:after="0"/>
        <w:rPr>
          <w:sz w:val="20"/>
          <w:szCs w:val="20"/>
          <w:color w:val="auto"/>
        </w:rPr>
      </w:pPr>
      <w:r>
        <w:rPr>
          <w:rFonts w:ascii="Arial" w:cs="Arial" w:eastAsia="Arial" w:hAnsi="Arial"/>
          <w:sz w:val="20"/>
          <w:szCs w:val="20"/>
          <w:u w:val="single" w:color="auto"/>
          <w:color w:val="auto"/>
        </w:rPr>
        <w:t>sarah.mccabe@sternir.com</w:t>
      </w:r>
    </w:p>
    <w:p>
      <w:pPr>
        <w:spacing w:after="0"/>
        <w:rPr>
          <w:sz w:val="20"/>
          <w:szCs w:val="20"/>
          <w:color w:val="auto"/>
        </w:rPr>
      </w:pPr>
      <w:r>
        <w:rPr>
          <w:rFonts w:ascii="Arial" w:cs="Arial" w:eastAsia="Arial" w:hAnsi="Arial"/>
          <w:sz w:val="20"/>
          <w:szCs w:val="20"/>
          <w:color w:val="auto"/>
        </w:rPr>
        <w:t>+1-212-362-1200</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Maggie Beller, Russo Partners, LLC</w:t>
      </w:r>
    </w:p>
    <w:p>
      <w:pPr>
        <w:spacing w:after="0"/>
        <w:rPr>
          <w:sz w:val="20"/>
          <w:szCs w:val="20"/>
          <w:color w:val="auto"/>
        </w:rPr>
      </w:pPr>
      <w:r>
        <w:rPr>
          <w:rFonts w:ascii="Arial" w:cs="Arial" w:eastAsia="Arial" w:hAnsi="Arial"/>
          <w:sz w:val="20"/>
          <w:szCs w:val="20"/>
          <w:u w:val="single" w:color="auto"/>
          <w:color w:val="auto"/>
        </w:rPr>
        <w:t>maggie.beller@russopartnersllc.com</w:t>
      </w:r>
    </w:p>
    <w:p>
      <w:pPr>
        <w:spacing w:after="0"/>
        <w:rPr>
          <w:sz w:val="20"/>
          <w:szCs w:val="20"/>
          <w:color w:val="auto"/>
        </w:rPr>
      </w:pPr>
      <w:r>
        <w:rPr>
          <w:rFonts w:ascii="Arial" w:cs="Arial" w:eastAsia="Arial" w:hAnsi="Arial"/>
          <w:sz w:val="20"/>
          <w:szCs w:val="20"/>
          <w:color w:val="auto"/>
        </w:rPr>
        <w:t>+1-646-942-5631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82"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70" w:lineRule="exact"/>
        <w:rPr>
          <w:sz w:val="20"/>
          <w:szCs w:val="20"/>
          <w:color w:val="auto"/>
        </w:rPr>
      </w:pPr>
    </w:p>
    <w:p>
      <w:pPr>
        <w:ind w:right="300" w:firstLine="432"/>
        <w:spacing w:after="0" w:line="254" w:lineRule="auto"/>
        <w:rPr>
          <w:sz w:val="20"/>
          <w:szCs w:val="20"/>
          <w:color w:val="auto"/>
        </w:rPr>
      </w:pPr>
      <w:r>
        <w:rPr>
          <w:rFonts w:ascii="Arial" w:cs="Arial" w:eastAsia="Arial" w:hAnsi="Arial"/>
          <w:sz w:val="18"/>
          <w:szCs w:val="18"/>
          <w:color w:val="auto"/>
        </w:rPr>
        <w:t>This management’s discussion and analysis is designed to provide you with a narrative explanation of our financial condition and results of operations. We recommend that you read this discussion together with our unaudited condensed consolidated interim financial statements, including the notes thereto, for the three- and nine-months ended September 30, 2021 and 2020 included as Exhibit 99.3 to the Report on Form 6-K to which this discussion is attached as Exhibit 99.2. We also recommend that you read “Item 4. Information on the Company” and our audited consolidated financial statements for fiscal year 2020, and the notes thereto, which appear in our Annual Report on Form 20-F for the year ended December 31, 2020 (the “Annual Report”) filed with the U.S. Securities and Exchange Commission (the “SEC”). In addition, we recommend that you read any public announcements made from time to time by Pharvaris N.V.</w:t>
      </w:r>
    </w:p>
    <w:p>
      <w:pPr>
        <w:spacing w:after="0" w:line="16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following discussion is based on our financial information prepared in accordance with the International Financial Reporting Standards (“IFRS”) as issued by the International Accounting Standards Board (the “IASB”), which may differ in material respects from generally accepted accounting principles in the United States and other jurisdictions. We maintain our books and records in euros. Unless otherwise indicated, all references to currency amounts in this discussion are in euros.</w:t>
      </w:r>
    </w:p>
    <w:p>
      <w:pPr>
        <w:spacing w:after="0" w:line="146" w:lineRule="exact"/>
        <w:rPr>
          <w:sz w:val="20"/>
          <w:szCs w:val="20"/>
          <w:color w:val="auto"/>
        </w:rPr>
      </w:pPr>
    </w:p>
    <w:p>
      <w:pPr>
        <w:ind w:right="160" w:firstLine="432"/>
        <w:spacing w:after="0" w:line="263" w:lineRule="auto"/>
        <w:rPr>
          <w:sz w:val="20"/>
          <w:szCs w:val="20"/>
          <w:color w:val="auto"/>
        </w:rPr>
      </w:pPr>
      <w:r>
        <w:rPr>
          <w:rFonts w:ascii="Arial" w:cs="Arial" w:eastAsia="Arial" w:hAnsi="Arial"/>
          <w:sz w:val="18"/>
          <w:szCs w:val="18"/>
          <w:color w:val="auto"/>
        </w:rPr>
        <w:t>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in the Annual Report.</w:t>
      </w:r>
    </w:p>
    <w:p>
      <w:pPr>
        <w:spacing w:after="0" w:line="143"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to “Pharvaris” or the “Company,” “we,” “our,” “ours,” “us”, or similar terms refer to Pharvaris N.V. and its subsidiaries.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 xml:space="preserve">We are a clinical-stage biopharmaceutical company focused on the development and commercialization of innovative therapies for rare diseases with significant unmet need, initially focused on angioedema and other bradykinin-mediated diseases. Our first molecule, PHA121, is a novel, small-molecule bradykinin B2-receptor antagonist for the treatment of hereditary angioedema, or HAE. Bradykinin-B2-receptor inhibition is a clinically validated mechanism for the treatment of HAE, as demonstrated by icatibant, a bradykinin B2-receptor antagonist approved in Europe in 2008 and in the United States in 2011 (as FIRAZYR®). We designed PHA121 to improve upon the therapeutic profile of existing therapies and, through oral delivery, to provide patients with quality of life and convenience that is superior to current standard-of-care HAE treatments, which are injectables. Besides the route of administration, the HAE market can be characterized by two distinct medical interventions, </w:t>
      </w:r>
      <w:r>
        <w:rPr>
          <w:rFonts w:ascii="Arial" w:cs="Arial" w:eastAsia="Arial" w:hAnsi="Arial"/>
          <w:sz w:val="17"/>
          <w:szCs w:val="17"/>
          <w:i w:val="1"/>
          <w:iCs w:val="1"/>
          <w:color w:val="auto"/>
        </w:rPr>
        <w:t>i.e.</w:t>
      </w:r>
      <w:r>
        <w:rPr>
          <w:rFonts w:ascii="Arial" w:cs="Arial" w:eastAsia="Arial" w:hAnsi="Arial"/>
          <w:sz w:val="17"/>
          <w:szCs w:val="17"/>
          <w:color w:val="auto"/>
        </w:rPr>
        <w:t>, acute treatment trying to counter an actual attack the patient is undergoing and prophylactic treatment which aims at preventing attacks. In order to address both distinct patient needs, we are developing two specific products with PHVS416 as our on-demand rapid-exposure product candidate, and PHVS719, a small daily dose extended-release product candidate for prophylaxis of HAE. We believe that our product candidates may address a broader range of angioedema attacks than other available treatments since PHA121 blocks the actual signal that leads to angioedema (the interaction of bradykinin, or BK, with the bradykinin B2 receptor), rather than an upstream signal. By blocking the action of bradykinin, we can prevent its aberrant signaling regardless of the pathway and enzymes involved in BK generation.</w:t>
      </w:r>
    </w:p>
    <w:p>
      <w:pPr>
        <w:spacing w:after="0" w:line="146"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 our completed Phase 1 trials to-date, we have observed that PHA121 was orally bioavailable and well tolerated at all doses studied, with approximately dose-proportional exposure. We also have successfully demonstrated proof-of-mechanism through a clinical pharmacodynamics, or PD, assessment with the bradykinin challenge in healthy volunteers, a surrogate assessment for dose selection previously validated in the icatibant development program. The data also allowed us to project the therapeutic performance of PHA121 in comparison with that of icatibant. We do not yet have data from any Phase 2 efficacy studies in patients. We plan to efficiently progress through clinical development for on-demand and prophylactic use with our on-demand product candidate, PHVS416, and extended-release product candidate, PHVS719,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right="380" w:firstLine="432"/>
        <w:spacing w:after="0" w:line="308" w:lineRule="auto"/>
        <w:rPr>
          <w:sz w:val="20"/>
          <w:szCs w:val="20"/>
          <w:color w:val="auto"/>
        </w:rPr>
      </w:pPr>
      <w:r>
        <w:rPr>
          <w:rFonts w:ascii="Arial" w:cs="Arial" w:eastAsia="Arial" w:hAnsi="Arial"/>
          <w:sz w:val="17"/>
          <w:szCs w:val="17"/>
          <w:color w:val="auto"/>
        </w:rPr>
        <w:t>We commenced our RAPIDe-1 Phase 2 clinical trial of PHVS416 in February 2021 and are conducting this study at 33 sites in Canada, Europe, Israel, the UK, and the US. We expect to have top-line results for the acute treatment of patients with HAE attacks in 2022.</w:t>
      </w:r>
    </w:p>
    <w:p>
      <w:pPr>
        <w:spacing w:after="0" w:line="119"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are also planning to initiate our prophylactic program for PHVS719 in 2021. To that end, a Phase 1 clinical trial to assess its pharmacokinetic profile is expected to start this year. In parallel, we intend to commence a Phase 2 clinical trial (CHAPTER-1) in 2021 using twice-daily dosing of the PHVS416, the softgel capsule product. The objective of this study is to establish the dose-exposure relationship of PHA121 while assessing its safety and efficacy profile when used as prophylaxis in HAE patients. These data are intended to enable us to select the optimal dose for PHVS719, the extended-release product, for prophylactic use. Our Investigational New Drug, or IND, application for developing PHVS416 in the prophylactic indication has been in effect since April 2021. We have initiated patient recruitment and the study is expanding to Canada, Europe, Israel, and the UK. We anticipate reporting top-line safety and efficacy data from this study in 2022.</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COVID-19 outbreak has spread globally and severely restricted the level of economic activity around the world. In response to the COVID-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 outbreak, the governments of many countries, states, cities and other geographic regions have taken preventative or protective actions, such as imposing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restrictions on travel and business operations and advising or requiring individuals to limit or forego their time outside of their homes.</w:t>
      </w:r>
    </w:p>
    <w:p>
      <w:pPr>
        <w:spacing w:after="0" w:line="17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are monitoring developments surrounding the COVID-19 pandemic and have taken steps to identify and mitigate the adverse effects and risks to the Company as a result of the pandemic. As a result, we have modified our business practices, including implementing work from home arrangements for employees able to perform their duties remotely, restricting nonessential travel, and practicing safe social distancing in our operations. We expect to continue to take actions as may be required or recommended by government authorities or in the best interests of our employees and business partners. While the impact of COVID-19 on the Company’s operations and financial performance is limited, the extent to which COVID-19 may impact our financial condition or results of operations is uncertain. For instance, the ongoing spread of COVID-19 may continue to interrupt, or delay, clinical trial activities, regulatory reviews, manufacturing activities and supply chain. For example, we previously experienced an approximate two-month delay in starting the enrollment of our Phase 1 multiple ascending dose study of PHA121 in healthy volunteers as a result of COVID-19. In addition, even with our distributed operations and our observation of social distancing measures, there remains the possibility that key personnel may become ill or are otherwise unable to work, which could adversely affect our operations.</w:t>
      </w:r>
    </w:p>
    <w:p>
      <w:pPr>
        <w:spacing w:after="0" w:line="158" w:lineRule="exact"/>
        <w:rPr>
          <w:sz w:val="20"/>
          <w:szCs w:val="20"/>
          <w:color w:val="auto"/>
        </w:rPr>
      </w:pPr>
    </w:p>
    <w:p>
      <w:pPr>
        <w:jc w:val="both"/>
        <w:ind w:right="60" w:firstLine="432"/>
        <w:spacing w:after="0" w:line="279" w:lineRule="auto"/>
        <w:rPr>
          <w:sz w:val="20"/>
          <w:szCs w:val="20"/>
          <w:color w:val="auto"/>
        </w:rPr>
      </w:pPr>
      <w:r>
        <w:rPr>
          <w:rFonts w:ascii="Arial" w:cs="Arial" w:eastAsia="Arial" w:hAnsi="Arial"/>
          <w:sz w:val="17"/>
          <w:szCs w:val="17"/>
          <w:color w:val="auto"/>
        </w:rPr>
        <w:t>Furthermore, the spread of the virus may affect the operations of key governmental agencies, such as the FDA, which may delay the development of our product candidates. The spread of COVID-19 may also result in the inability of our suppliers to deliver components or raw materials, and the inability of our CDMOs to provide supplies of our product candidates for our planned clinical trials, on a timely basis or at all. Further, COVID-19 may impact the ability of our CROs, including non-clinical CROs, to provide services to support our clinical program.</w:t>
      </w:r>
    </w:p>
    <w:p>
      <w:pPr>
        <w:spacing w:after="0" w:line="131" w:lineRule="exact"/>
        <w:rPr>
          <w:sz w:val="20"/>
          <w:szCs w:val="20"/>
          <w:color w:val="auto"/>
        </w:rPr>
      </w:pPr>
    </w:p>
    <w:p>
      <w:pPr>
        <w:ind w:right="120" w:firstLine="432"/>
        <w:spacing w:after="0" w:line="263" w:lineRule="auto"/>
        <w:rPr>
          <w:sz w:val="20"/>
          <w:szCs w:val="20"/>
          <w:color w:val="auto"/>
        </w:rPr>
      </w:pPr>
      <w:r>
        <w:rPr>
          <w:rFonts w:ascii="Arial" w:cs="Arial" w:eastAsia="Arial" w:hAnsi="Arial"/>
          <w:sz w:val="18"/>
          <w:szCs w:val="18"/>
          <w:color w:val="auto"/>
        </w:rPr>
        <w:t>Currently vaccine access and availability are on the rise and eligibility is being expanded. Nevertheless, the COVID-19 pandemic remains a rapidly evolving situation and we do not yet know the full extent of its potential impact on our business operations. However, we are making efforts to limit the financial impact of COVID-19 going forward.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8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On July 10, 2021, the Company presented clinical data supporting the multiple-dose safety and pharmacokinetic, or PK, profile of PHA121 for the treatment of HAE at the European Academy of Allergy and Clinical Immunology (EAACI) Annual Congress 2021.</w:t>
      </w:r>
    </w:p>
    <w:p>
      <w:pPr>
        <w:spacing w:after="0" w:line="143"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With Dr. Souverijns joining as Chief Community Engagement and Commercial Officer to engage with patient advocacy groups, clinicians, and payers, per July 1, 2021, the company further strengthened capabilities in Community Engagement and Commercialization, as well as CMC, Clinical, and organizational development.</w:t>
      </w:r>
    </w:p>
    <w:p>
      <w:pPr>
        <w:spacing w:after="0" w:line="143"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On April 21, 2021, the Company announced that an IND was in effect in the US for prophylactic treatment of HAE using PHVS416. Patient recruitment has begun and the study is expanding to Canada, Europe, Israel, and the UK.</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01"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We did not record any revenues during the period covered by the historical financial information included in this Report. We do not expect to recognize any revenues before we are able to commercialize our first product.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We are focused on the clinical development of PHA121. Since our inception, we have devoted substantially all our resources to research and development efforts relating to the development of PHA121 and our product candidates PHVS416 and PHVS719. We expect that we will continue to incur significant research and development expenses as we seek to complete the clinical development of, and achieve regulatory approval for, our product candidates PHVS416 and PHVS719, and in connection with discovery and development of any additional product candidates.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 development expenses consist of the following:</w:t>
      </w:r>
    </w:p>
    <w:p>
      <w:pPr>
        <w:spacing w:after="0" w:line="198" w:lineRule="exact"/>
        <w:rPr>
          <w:sz w:val="20"/>
          <w:szCs w:val="20"/>
          <w:color w:val="auto"/>
        </w:rPr>
      </w:pPr>
    </w:p>
    <w:p>
      <w:pPr>
        <w:ind w:left="880" w:right="32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benefits expenses, which includes salaries, pensions, share-based compensation expenses, bonus plans and other related costs for research and development staff;</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non-clinical expenses, which include costs of our outsourced discovery and non-clinical development studies;</w:t>
      </w:r>
    </w:p>
    <w:p>
      <w:pPr>
        <w:spacing w:after="0" w:line="184" w:lineRule="exact"/>
        <w:rPr>
          <w:rFonts w:ascii="Arial" w:cs="Arial" w:eastAsia="Arial" w:hAnsi="Arial"/>
          <w:sz w:val="18"/>
          <w:szCs w:val="18"/>
          <w:color w:val="auto"/>
        </w:rPr>
      </w:pPr>
    </w:p>
    <w:p>
      <w:pPr>
        <w:ind w:left="880" w:right="18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expenses, which includes costs of conducting and managing our sponsored clinical trials, including clinical investigator cost, costs of clinical sites, and costs for CRO’s assisting with our clinical development programs;</w:t>
      </w:r>
    </w:p>
    <w:p>
      <w:pPr>
        <w:spacing w:after="0" w:line="129" w:lineRule="exact"/>
        <w:rPr>
          <w:rFonts w:ascii="Arial" w:cs="Arial" w:eastAsia="Arial" w:hAnsi="Arial"/>
          <w:sz w:val="18"/>
          <w:szCs w:val="18"/>
          <w:color w:val="auto"/>
        </w:rPr>
      </w:pPr>
    </w:p>
    <w:p>
      <w:pPr>
        <w:ind w:left="880" w:right="10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manufacturing expenses, which include costs related to manufacturing of active pharmaceutical ingredients and manufacturing of the products used in our clinical trials and research and development activities;</w:t>
      </w:r>
    </w:p>
    <w:p>
      <w:pPr>
        <w:spacing w:after="0" w:line="129" w:lineRule="exact"/>
        <w:rPr>
          <w:rFonts w:ascii="Arial" w:cs="Arial" w:eastAsia="Arial" w:hAnsi="Arial"/>
          <w:sz w:val="18"/>
          <w:szCs w:val="18"/>
          <w:color w:val="auto"/>
        </w:rPr>
      </w:pPr>
    </w:p>
    <w:p>
      <w:pPr>
        <w:ind w:left="880" w:right="4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in connection with investigator-sponsored clinical trials and evaluations;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advisers’ fees, including discovery, non-clinical, clinical, chemistry, manufacturing, and controls- related and other consulting services;</w:t>
      </w:r>
    </w:p>
    <w:p>
      <w:pPr>
        <w:spacing w:after="0" w:line="196" w:lineRule="exact"/>
        <w:rPr>
          <w:rFonts w:ascii="Arial" w:cs="Arial" w:eastAsia="Arial" w:hAnsi="Arial"/>
          <w:sz w:val="17"/>
          <w:szCs w:val="17"/>
          <w:color w:val="auto"/>
        </w:rPr>
      </w:pPr>
    </w:p>
    <w:p>
      <w:pPr>
        <w:ind w:left="880" w:hanging="440"/>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intellectual property costs, which includes costs associated with obtaining and maintaining patents and other intellectual property; and</w:t>
      </w:r>
    </w:p>
    <w:p>
      <w:pPr>
        <w:spacing w:after="0" w:line="196" w:lineRule="exact"/>
        <w:rPr>
          <w:rFonts w:ascii="Arial" w:cs="Arial" w:eastAsia="Arial" w:hAnsi="Arial"/>
          <w:sz w:val="17"/>
          <w:szCs w:val="17"/>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license costs.</w:t>
      </w:r>
    </w:p>
    <w:p>
      <w:pPr>
        <w:spacing w:after="0" w:line="18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anticipate that research and development expenses will continue to increase as we continue to progress PHVS416 and PHVS719 through clinical development.</w:t>
      </w:r>
    </w:p>
    <w:p>
      <w:pPr>
        <w:spacing w:after="0" w:line="13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There is a risk that any clinical development or product discovery program may not result in commercial approval. To the extent that we fail to obtain approval to commercialize our product candidate in a timely manner, we would need to continue to conduct clinical trials over a longer period of time, and we anticipate that our research and development expenses may further increase.</w:t>
      </w:r>
    </w:p>
    <w:p>
      <w:pPr>
        <w:spacing w:after="0" w:line="143"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development of, or the period, if any, in which material net cash inflows may commence from, our product candidates.</w:t>
      </w:r>
    </w:p>
    <w:p>
      <w:pPr>
        <w:spacing w:after="0" w:line="198"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Moreover, we cannot assure that we will be able to successfully develop or commercialize our product candidates, if approved for marketing. This is due to numerous risks and uncertainties associated with developing drugs. See “Item 3. Key Information—D. Risk factors” in our Annual Report for a discussion of these risks and uncertainties.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185"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consist of the following:</w:t>
      </w:r>
    </w:p>
    <w:p>
      <w:pPr>
        <w:spacing w:after="0" w:line="170" w:lineRule="exact"/>
        <w:rPr>
          <w:sz w:val="20"/>
          <w:szCs w:val="20"/>
          <w:color w:val="auto"/>
        </w:rPr>
      </w:pPr>
    </w:p>
    <w:p>
      <w:pPr>
        <w:ind w:left="880" w:right="68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benefits, including salaries, pensions, share-based compensation expenses, bonus plans and other related costs for staff and independent contractors in executive and operational functions;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auditors’ and advisers’ fees, including accounting, tax, legal and other consulting services;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rental expenses, facilities and IT expenses and other general expenses relating to our operations.</w:t>
      </w:r>
    </w:p>
    <w:p>
      <w:pPr>
        <w:spacing w:after="0" w:line="185"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incur additional costs associated with being a public company in the United States.</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 expenses</w:t>
      </w:r>
    </w:p>
    <w:p>
      <w:pPr>
        <w:spacing w:after="0" w:line="185" w:lineRule="exact"/>
        <w:rPr>
          <w:sz w:val="20"/>
          <w:szCs w:val="20"/>
          <w:color w:val="auto"/>
        </w:rPr>
      </w:pPr>
    </w:p>
    <w:p>
      <w:pPr>
        <w:ind w:right="60" w:firstLine="432"/>
        <w:spacing w:after="0" w:line="275" w:lineRule="auto"/>
        <w:rPr>
          <w:sz w:val="20"/>
          <w:szCs w:val="20"/>
          <w:color w:val="auto"/>
        </w:rPr>
      </w:pPr>
      <w:r>
        <w:rPr>
          <w:rFonts w:ascii="Arial" w:cs="Arial" w:eastAsia="Arial" w:hAnsi="Arial"/>
          <w:sz w:val="17"/>
          <w:szCs w:val="17"/>
          <w:color w:val="auto"/>
        </w:rPr>
        <w:t>In 2016, we implemented an Equity Incentive Plan, or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The fair values of these instruments are recognized as personnel expenses in either research and development expenses or general and administrative expenses. The Plan has been superseded by the 2021 Long Term Incentive plan after completion of the initial public offering, or IPO in February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 of operations</w:t>
      </w:r>
    </w:p>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financial information shown below was derived from our unaudited condensed consolidated interim financial statements for the three- and nine-months ended September 30, 2021 and 2020 included as Exhibit 99.3 to</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301" w:right="439" w:bottom="1440" w:gutter="0" w:footer="0" w:header="0"/>
        </w:sectPr>
      </w:pPr>
    </w:p>
    <w:bookmarkStart w:id="13" w:name="page14"/>
    <w:bookmarkEnd w:id="13"/>
    <w:p>
      <w:pPr>
        <w:ind w:right="160"/>
        <w:spacing w:after="0" w:line="277" w:lineRule="auto"/>
        <w:rPr>
          <w:sz w:val="20"/>
          <w:szCs w:val="20"/>
          <w:color w:val="auto"/>
        </w:rPr>
      </w:pPr>
      <w:r>
        <w:rPr>
          <w:rFonts w:ascii="Arial" w:cs="Arial" w:eastAsia="Arial" w:hAnsi="Arial"/>
          <w:sz w:val="18"/>
          <w:szCs w:val="18"/>
          <w:color w:val="auto"/>
        </w:rPr>
        <w:t>this Report on Form 6-K. The discussion below should be read along with these condensed consolidated interim financial statements, and it is qualified in its entirety by reference to them.</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ind w:left="440"/>
              <w:spacing w:after="0"/>
              <w:rPr>
                <w:sz w:val="20"/>
                <w:szCs w:val="20"/>
                <w:color w:val="auto"/>
              </w:rPr>
            </w:pPr>
            <w:r>
              <w:rPr>
                <w:rFonts w:ascii="Arial" w:cs="Arial" w:eastAsia="Arial" w:hAnsi="Arial"/>
                <w:sz w:val="18"/>
                <w:szCs w:val="18"/>
                <w:i w:val="1"/>
                <w:iCs w:val="1"/>
                <w:color w:val="auto"/>
                <w:w w:val="94"/>
              </w:rPr>
              <w:t>Comparison of the three months ended September 30, 2021 and 2020</w:t>
            </w:r>
          </w:p>
        </w:tc>
        <w:tc>
          <w:tcPr>
            <w:tcW w:w="1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4"/>
        </w:trPr>
        <w:tc>
          <w:tcPr>
            <w:tcW w:w="5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90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9"/>
              </w:rPr>
              <w:t>For the three months ended</w:t>
            </w:r>
          </w:p>
        </w:tc>
        <w:tc>
          <w:tcPr>
            <w:tcW w:w="1220" w:type="dxa"/>
            <w:vAlign w:val="bottom"/>
          </w:tcPr>
          <w:p>
            <w:pPr>
              <w:spacing w:after="0"/>
              <w:rPr>
                <w:sz w:val="24"/>
                <w:szCs w:val="24"/>
                <w:color w:val="auto"/>
              </w:rPr>
            </w:pPr>
          </w:p>
        </w:tc>
      </w:tr>
      <w:tr>
        <w:trPr>
          <w:trHeight w:val="234"/>
        </w:trPr>
        <w:tc>
          <w:tcPr>
            <w:tcW w:w="5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2"/>
          </w:tcPr>
          <w:p>
            <w:pPr>
              <w:jc w:val="center"/>
              <w:ind w:right="31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5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Change</w:t>
            </w:r>
          </w:p>
        </w:tc>
        <w:tc>
          <w:tcPr>
            <w:tcW w:w="12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23"/>
        </w:trPr>
        <w:tc>
          <w:tcPr>
            <w:tcW w:w="57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40" w:type="dxa"/>
            <w:vAlign w:val="bottom"/>
          </w:tcPr>
          <w:p>
            <w:pPr>
              <w:jc w:val="center"/>
              <w:ind w:left="870"/>
              <w:spacing w:after="0"/>
              <w:rPr>
                <w:sz w:val="20"/>
                <w:szCs w:val="20"/>
                <w:color w:val="auto"/>
              </w:rPr>
            </w:pPr>
            <w:r>
              <w:rPr>
                <w:rFonts w:ascii="Arial" w:cs="Arial" w:eastAsia="Arial" w:hAnsi="Arial"/>
                <w:sz w:val="18"/>
                <w:szCs w:val="18"/>
                <w:b w:val="1"/>
                <w:bCs w:val="1"/>
                <w:color w:val="auto"/>
                <w:w w:val="97"/>
              </w:rPr>
              <w:t>(in €)</w:t>
            </w:r>
          </w:p>
        </w:tc>
        <w:tc>
          <w:tcPr>
            <w:tcW w:w="1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(8,956,174)</w:t>
            </w:r>
          </w:p>
        </w:tc>
        <w:tc>
          <w:tcPr>
            <w:tcW w:w="15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(5,062,742)</w:t>
            </w:r>
          </w:p>
        </w:tc>
        <w:tc>
          <w:tcPr>
            <w:tcW w:w="13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(3,893,432)</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(4,374,081)</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(1,210,757)</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(3,163,324)</w:t>
            </w:r>
          </w:p>
        </w:tc>
        <w:tc>
          <w:tcPr>
            <w:tcW w:w="122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operating expenses</w:t>
            </w:r>
          </w:p>
        </w:tc>
        <w:tc>
          <w:tcPr>
            <w:tcW w:w="13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(13,330,255)</w:t>
            </w:r>
          </w:p>
        </w:tc>
        <w:tc>
          <w:tcPr>
            <w:tcW w:w="1540" w:type="dxa"/>
            <w:vAlign w:val="bottom"/>
            <w:shd w:val="clear" w:color="auto" w:fill="CFF0FC"/>
          </w:tcPr>
          <w:p>
            <w:pPr>
              <w:jc w:val="right"/>
              <w:ind w:right="250"/>
              <w:spacing w:after="0"/>
              <w:rPr>
                <w:sz w:val="20"/>
                <w:szCs w:val="20"/>
                <w:color w:val="auto"/>
              </w:rPr>
            </w:pPr>
            <w:r>
              <w:rPr>
                <w:rFonts w:ascii="Arial" w:cs="Arial" w:eastAsia="Arial" w:hAnsi="Arial"/>
                <w:sz w:val="18"/>
                <w:szCs w:val="18"/>
                <w:b w:val="1"/>
                <w:bCs w:val="1"/>
                <w:color w:val="auto"/>
              </w:rPr>
              <w:t>(6,273,499)</w:t>
            </w:r>
          </w:p>
        </w:tc>
        <w:tc>
          <w:tcPr>
            <w:tcW w:w="1360" w:type="dxa"/>
            <w:vAlign w:val="bottom"/>
            <w:shd w:val="clear" w:color="auto" w:fill="CFF0FC"/>
          </w:tcPr>
          <w:p>
            <w:pPr>
              <w:jc w:val="right"/>
              <w:ind w:right="230"/>
              <w:spacing w:after="0"/>
              <w:rPr>
                <w:sz w:val="20"/>
                <w:szCs w:val="20"/>
                <w:color w:val="auto"/>
              </w:rPr>
            </w:pPr>
            <w:r>
              <w:rPr>
                <w:rFonts w:ascii="Arial" w:cs="Arial" w:eastAsia="Arial" w:hAnsi="Arial"/>
                <w:sz w:val="18"/>
                <w:szCs w:val="18"/>
                <w:b w:val="1"/>
                <w:bCs w:val="1"/>
                <w:color w:val="auto"/>
              </w:rPr>
              <w:t>(7,056,756)</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112%</w:t>
            </w:r>
          </w:p>
        </w:tc>
      </w:tr>
      <w:tr>
        <w:trPr>
          <w:trHeight w:val="229"/>
        </w:trPr>
        <w:tc>
          <w:tcPr>
            <w:tcW w:w="574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(13,330,255)</w:t>
            </w: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(6,273,499)</w:t>
            </w: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rPr>
              <w:t>(7,056,756)</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112%</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foreign exchange income/(loss)</w:t>
            </w:r>
          </w:p>
        </w:tc>
        <w:tc>
          <w:tcPr>
            <w:tcW w:w="1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4,254,526</w:t>
            </w:r>
          </w:p>
        </w:tc>
        <w:tc>
          <w:tcPr>
            <w:tcW w:w="15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(126,338)</w:t>
            </w:r>
          </w:p>
        </w:tc>
        <w:tc>
          <w:tcPr>
            <w:tcW w:w="13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4,380,864</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(3468)%</w:t>
            </w:r>
          </w:p>
        </w:tc>
      </w:tr>
      <w:tr>
        <w:trPr>
          <w:trHeight w:val="229"/>
        </w:trPr>
        <w:tc>
          <w:tcPr>
            <w:tcW w:w="5740" w:type="dxa"/>
            <w:vAlign w:val="bottom"/>
          </w:tcPr>
          <w:p>
            <w:pPr>
              <w:spacing w:after="0"/>
              <w:rPr>
                <w:sz w:val="20"/>
                <w:szCs w:val="20"/>
                <w:color w:val="auto"/>
              </w:rPr>
            </w:pPr>
            <w:r>
              <w:rPr>
                <w:rFonts w:ascii="Arial" w:cs="Arial" w:eastAsia="Arial" w:hAnsi="Arial"/>
                <w:sz w:val="18"/>
                <w:szCs w:val="18"/>
                <w:b w:val="1"/>
                <w:bCs w:val="1"/>
                <w:color w:val="auto"/>
              </w:rPr>
              <w:t>Loss before tax</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(9,075,729)</w:t>
            </w: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(6,399,837)</w:t>
            </w: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rPr>
              <w:t>(2,675,892)</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(68,190)</w:t>
            </w:r>
          </w:p>
        </w:tc>
        <w:tc>
          <w:tcPr>
            <w:tcW w:w="1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(68,190)</w:t>
            </w:r>
          </w:p>
        </w:tc>
        <w:tc>
          <w:tcPr>
            <w:tcW w:w="12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Loss for the period</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(9,143,919)</w:t>
            </w: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(6,399,837)</w:t>
            </w: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rPr>
              <w:t>(2,744,082)</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bl>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generate any revenues for the three months ended September 30, 2021 and September 30, 2020.</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 expenses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For the three months ended</w:t>
            </w:r>
          </w:p>
        </w:tc>
        <w:tc>
          <w:tcPr>
            <w:tcW w:w="136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36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23"/>
        </w:trPr>
        <w:tc>
          <w:tcPr>
            <w:tcW w:w="5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97"/>
              </w:rPr>
              <w:t>(in €)</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Personnel expenses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(2,382,973)</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(771,396)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(1,611,577)</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Clinical expenses</w:t>
            </w:r>
          </w:p>
        </w:tc>
        <w:tc>
          <w:tcPr>
            <w:tcW w:w="1240" w:type="dxa"/>
            <w:vAlign w:val="bottom"/>
          </w:tcPr>
          <w:p>
            <w:pPr>
              <w:jc w:val="right"/>
              <w:spacing w:after="0"/>
              <w:rPr>
                <w:sz w:val="20"/>
                <w:szCs w:val="20"/>
                <w:color w:val="auto"/>
              </w:rPr>
            </w:pPr>
            <w:r>
              <w:rPr>
                <w:rFonts w:ascii="Arial" w:cs="Arial" w:eastAsia="Arial" w:hAnsi="Arial"/>
                <w:sz w:val="18"/>
                <w:szCs w:val="18"/>
                <w:color w:val="auto"/>
              </w:rPr>
              <w:t>(4,568,346)</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(2,595,990)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(1,972,356)</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Nonclinical expenses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(924,636)</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(921,159)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Manufacturing costs</w:t>
            </w:r>
          </w:p>
        </w:tc>
        <w:tc>
          <w:tcPr>
            <w:tcW w:w="1240" w:type="dxa"/>
            <w:vAlign w:val="bottom"/>
          </w:tcPr>
          <w:p>
            <w:pPr>
              <w:jc w:val="right"/>
              <w:spacing w:after="0"/>
              <w:rPr>
                <w:sz w:val="20"/>
                <w:szCs w:val="20"/>
                <w:color w:val="auto"/>
              </w:rPr>
            </w:pPr>
            <w:r>
              <w:rPr>
                <w:rFonts w:ascii="Arial" w:cs="Arial" w:eastAsia="Arial" w:hAnsi="Arial"/>
                <w:sz w:val="18"/>
                <w:szCs w:val="18"/>
                <w:color w:val="auto"/>
              </w:rPr>
              <w:t>(1,052,191)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(717,371)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(334,820)</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License costs</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Intellectual Property costs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(28,028)</w:t>
            </w:r>
          </w:p>
        </w:tc>
        <w:tc>
          <w:tcPr>
            <w:tcW w:w="1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(56,826)</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28,798</w:t>
            </w:r>
          </w:p>
        </w:tc>
        <w:tc>
          <w:tcPr>
            <w:tcW w:w="14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(8,956,174)</w:t>
            </w: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(5,062,742)</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(3,893,432)</w:t>
            </w:r>
          </w:p>
        </w:tc>
        <w:tc>
          <w:tcPr>
            <w:tcW w:w="1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w:t>
            </w:r>
          </w:p>
        </w:tc>
      </w:tr>
      <w:tr>
        <w:trPr>
          <w:trHeight w:val="20"/>
        </w:trPr>
        <w:tc>
          <w:tcPr>
            <w:tcW w:w="5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Research and development expenses increased from €5,062,742 for the three months ended September 30, 2020 to €8,956,174 for the three months ended September 30, 2021. The increase in the research and development expenses is mainly driven by the progress made in the PHVS416 and PHVS719 development programs in the three months ended September 30, 2021. Clinical expenses increased by €1,972,356 for the three months ended September 30, 2021 compared to the three months ended September 30, 2020 due to the expansion of the Phase 1 clinical program, the initiation of the RAPIDe-1 Phase 2 on demand study and preparations for the prophylactic clinical trial. Non-clinical expenses increased by €3,477 for the three months ended September 30, 2021 compared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4" w:name="page15"/>
    <w:bookmarkEnd w:id="14"/>
    <w:p>
      <w:pPr>
        <w:ind w:right="60"/>
        <w:spacing w:after="0" w:line="254" w:lineRule="auto"/>
        <w:rPr>
          <w:sz w:val="20"/>
          <w:szCs w:val="20"/>
          <w:color w:val="auto"/>
        </w:rPr>
      </w:pPr>
      <w:r>
        <w:rPr>
          <w:rFonts w:ascii="Arial" w:cs="Arial" w:eastAsia="Arial" w:hAnsi="Arial"/>
          <w:sz w:val="18"/>
          <w:szCs w:val="18"/>
          <w:color w:val="auto"/>
        </w:rPr>
        <w:t>to the three months ended September 30, 2020 due to advancement of the preparations for the Phase 2 and Phase 3 clinical PHVS416 and PHVS719 programs. Manufacturing costs relating to the API and pharmaceutical development of PHVS416 and PHVS719 increased by €334,820 for the three months ended September 30, 2021 compared to the three months ended September 30, 2020 due to supply costs associated with both clinical programs and the Phase 3 non-clinical study package. In the personnel expenses for the three months ended September 30, 2021 and 2020 an amount of €1,004,956 and €311,842, respectively, was included which related to share-based payments arrangements. The increase in the share-based payment expenses is due to the new grants awarded in the nine months ended September 30, 2021. The remaining increase in personnel expenses is driven by the growth of our organization and yearly merit adjustments.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ind w:left="440"/>
              <w:spacing w:after="0"/>
              <w:rPr>
                <w:sz w:val="20"/>
                <w:szCs w:val="20"/>
                <w:color w:val="auto"/>
              </w:rPr>
            </w:pPr>
            <w:r>
              <w:rPr>
                <w:rFonts w:ascii="Arial" w:cs="Arial" w:eastAsia="Arial" w:hAnsi="Arial"/>
                <w:sz w:val="18"/>
                <w:szCs w:val="18"/>
                <w:i w:val="1"/>
                <w:iCs w:val="1"/>
                <w:color w:val="auto"/>
              </w:rPr>
              <w:t>General and administrative expenses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4"/>
        </w:trPr>
        <w:tc>
          <w:tcPr>
            <w:tcW w:w="5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For the three months ended</w:t>
            </w:r>
          </w:p>
        </w:tc>
        <w:tc>
          <w:tcPr>
            <w:tcW w:w="1360" w:type="dxa"/>
            <w:vAlign w:val="bottom"/>
          </w:tcPr>
          <w:p>
            <w:pPr>
              <w:spacing w:after="0"/>
              <w:rPr>
                <w:sz w:val="24"/>
                <w:szCs w:val="24"/>
                <w:color w:val="auto"/>
              </w:rPr>
            </w:pPr>
          </w:p>
        </w:tc>
      </w:tr>
      <w:tr>
        <w:trPr>
          <w:trHeight w:val="234"/>
        </w:trPr>
        <w:tc>
          <w:tcPr>
            <w:tcW w:w="57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36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23"/>
        </w:trPr>
        <w:tc>
          <w:tcPr>
            <w:tcW w:w="5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97"/>
              </w:rPr>
              <w:t>(in €)</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Personnel expenses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(1,982,190)</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(96,717)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(1,885,473)</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1949%</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Consulting fees</w:t>
            </w:r>
          </w:p>
        </w:tc>
        <w:tc>
          <w:tcPr>
            <w:tcW w:w="1240" w:type="dxa"/>
            <w:vAlign w:val="bottom"/>
          </w:tcPr>
          <w:p>
            <w:pPr>
              <w:jc w:val="right"/>
              <w:spacing w:after="0"/>
              <w:rPr>
                <w:sz w:val="20"/>
                <w:szCs w:val="20"/>
                <w:color w:val="auto"/>
              </w:rPr>
            </w:pPr>
            <w:r>
              <w:rPr>
                <w:rFonts w:ascii="Arial" w:cs="Arial" w:eastAsia="Arial" w:hAnsi="Arial"/>
                <w:sz w:val="18"/>
                <w:szCs w:val="18"/>
                <w:color w:val="auto"/>
              </w:rPr>
              <w:t>(207,461)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(254,215)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46,754</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(349,575)</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(277,615)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(71,960)</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Accounting, tax and auditing fees</w:t>
            </w:r>
          </w:p>
        </w:tc>
        <w:tc>
          <w:tcPr>
            <w:tcW w:w="1240" w:type="dxa"/>
            <w:vAlign w:val="bottom"/>
          </w:tcPr>
          <w:p>
            <w:pPr>
              <w:jc w:val="right"/>
              <w:spacing w:after="0"/>
              <w:rPr>
                <w:sz w:val="20"/>
                <w:szCs w:val="20"/>
                <w:color w:val="auto"/>
              </w:rPr>
            </w:pPr>
            <w:r>
              <w:rPr>
                <w:rFonts w:ascii="Arial" w:cs="Arial" w:eastAsia="Arial" w:hAnsi="Arial"/>
                <w:sz w:val="18"/>
                <w:szCs w:val="18"/>
                <w:color w:val="auto"/>
              </w:rPr>
              <w:t>(230,113)</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(375,096)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144,983</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Facilities, communication and office expenses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(1,550,713)</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(185,177)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(1,365,536)</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Travel expenses</w:t>
            </w:r>
          </w:p>
        </w:tc>
        <w:tc>
          <w:tcPr>
            <w:tcW w:w="1240" w:type="dxa"/>
            <w:vAlign w:val="bottom"/>
          </w:tcPr>
          <w:p>
            <w:pPr>
              <w:jc w:val="right"/>
              <w:spacing w:after="0"/>
              <w:rPr>
                <w:sz w:val="20"/>
                <w:szCs w:val="20"/>
                <w:color w:val="auto"/>
              </w:rPr>
            </w:pPr>
            <w:r>
              <w:rPr>
                <w:rFonts w:ascii="Arial" w:cs="Arial" w:eastAsia="Arial" w:hAnsi="Arial"/>
                <w:sz w:val="18"/>
                <w:szCs w:val="18"/>
                <w:color w:val="auto"/>
              </w:rPr>
              <w:t>(6,760)</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(3,117)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(3,643)</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(47,269)</w:t>
            </w:r>
          </w:p>
        </w:tc>
        <w:tc>
          <w:tcPr>
            <w:tcW w:w="1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(18,820)</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(28,449)</w:t>
            </w:r>
          </w:p>
        </w:tc>
        <w:tc>
          <w:tcPr>
            <w:tcW w:w="14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5740" w:type="dxa"/>
            <w:vAlign w:val="bottom"/>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(4,374,081)</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(1,210,757)</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(3,163,324)</w:t>
            </w:r>
          </w:p>
        </w:tc>
        <w:tc>
          <w:tcPr>
            <w:tcW w:w="14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w:t>
            </w:r>
          </w:p>
        </w:tc>
      </w:tr>
      <w:tr>
        <w:trPr>
          <w:trHeight w:val="20"/>
        </w:trPr>
        <w:tc>
          <w:tcPr>
            <w:tcW w:w="5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General and administrative expenses increased from €1,210,757 for the three months ended September 30, 2020 to €4,374,081 for the three months ended September 30, 2021. The increase in general and administrative expenses was mainly driven by the growth of the Company in connection with the completion of the IPO, which also led to additional expenses inherent to being a public company. In the personnel expenses for the three months ended September 30, 2021 and 2020 an amount of €1,333,004 and €78,450 respectively, was included which related to share-based payments arrangements. The increase in the share-based payment expenses is due to the new grants made in the nine months ended September 30, 2021. The remaining increase in personnel expenses is driven by the growth of our organization and yearly merit adjustments.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foreign exchange income/(loss)</w:t>
      </w:r>
    </w:p>
    <w:p>
      <w:pPr>
        <w:spacing w:after="0" w:line="185"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Net foreign exchange income/(loss) for the three months ended September 30, 2021 and 2020 were €4,254,526 and (€126,338) respectively, a change of €4,380,864. The amount mainly relates to unrealized foreign exchange income, which is mostly the result of translating the Company’s bank balances held in USD to EUR. The foreign exchange rates developed in favor of the Company in the third quarter 2021.</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have a history of losses. The tax charge over the three months ended September 30, 2021 relates to the Company’s US subsidiary as the result of a cost-plus agreement between the US entity and the Company’s principal entity resulting in a taxable profit in the United States of America, with no taxable income over the three months ended September 30, 2020. We have a tax loss carry-forward of approximately €84 million (September 30, 2020: €19.9 million) that is available for offsetting against future taxable profits of the companies in which the losses arose. Under Dutch tax law, for prior periods, the expiration period denoted 6/9 years for The Netherlands, but as of the second half of 2021 it has been substantively enacted that there is no longer an expiration period applicable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ind w:right="20"/>
        <w:spacing w:after="0" w:line="277" w:lineRule="auto"/>
        <w:rPr>
          <w:sz w:val="20"/>
          <w:szCs w:val="20"/>
          <w:color w:val="auto"/>
        </w:rPr>
      </w:pPr>
      <w:r>
        <w:rPr>
          <w:rFonts w:ascii="Arial" w:cs="Arial" w:eastAsia="Arial" w:hAnsi="Arial"/>
          <w:sz w:val="18"/>
          <w:szCs w:val="18"/>
          <w:color w:val="auto"/>
        </w:rPr>
        <w:t>the Dutch losses, whereby the loss settlement within the year is limited to € 1 million plus 50% of the remaining result for the year. Under Swiss law, losses can be offset against future income or capital gains for seven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440"/>
              <w:spacing w:after="0"/>
              <w:rPr>
                <w:sz w:val="20"/>
                <w:szCs w:val="20"/>
                <w:color w:val="auto"/>
              </w:rPr>
            </w:pPr>
            <w:r>
              <w:rPr>
                <w:rFonts w:ascii="Arial" w:cs="Arial" w:eastAsia="Arial" w:hAnsi="Arial"/>
                <w:sz w:val="18"/>
                <w:szCs w:val="18"/>
                <w:i w:val="1"/>
                <w:iCs w:val="1"/>
                <w:color w:val="auto"/>
              </w:rPr>
              <w:t>Comparison of the nine months ended September 30, 2021 and 2020</w:t>
            </w:r>
          </w:p>
        </w:tc>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4"/>
        </w:trPr>
        <w:tc>
          <w:tcPr>
            <w:tcW w:w="6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6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9"/>
              </w:rPr>
              <w:t>For the nine months ended</w:t>
            </w:r>
          </w:p>
        </w:tc>
        <w:tc>
          <w:tcPr>
            <w:tcW w:w="1140" w:type="dxa"/>
            <w:vAlign w:val="bottom"/>
          </w:tcPr>
          <w:p>
            <w:pPr>
              <w:spacing w:after="0"/>
              <w:rPr>
                <w:sz w:val="24"/>
                <w:szCs w:val="24"/>
                <w:color w:val="auto"/>
              </w:rPr>
            </w:pPr>
          </w:p>
        </w:tc>
      </w:tr>
      <w:tr>
        <w:trPr>
          <w:trHeight w:val="234"/>
        </w:trPr>
        <w:tc>
          <w:tcPr>
            <w:tcW w:w="62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2"/>
          </w:tcPr>
          <w:p>
            <w:pPr>
              <w:jc w:val="center"/>
              <w:ind w:right="270"/>
              <w:spacing w:after="0"/>
              <w:rPr>
                <w:sz w:val="20"/>
                <w:szCs w:val="20"/>
                <w:color w:val="auto"/>
              </w:rPr>
            </w:pPr>
            <w:r>
              <w:rPr>
                <w:rFonts w:ascii="Arial" w:cs="Arial" w:eastAsia="Arial" w:hAnsi="Arial"/>
                <w:sz w:val="18"/>
                <w:szCs w:val="18"/>
                <w:b w:val="1"/>
                <w:bCs w:val="1"/>
                <w:color w:val="auto"/>
                <w:w w:val="89"/>
              </w:rPr>
              <w:t>September 30</w:t>
            </w:r>
          </w:p>
        </w:tc>
        <w:tc>
          <w:tcPr>
            <w:tcW w:w="1140" w:type="dxa"/>
            <w:vAlign w:val="bottom"/>
            <w:tcBorders>
              <w:bottom w:val="single" w:sz="8" w:color="auto"/>
            </w:tcBorders>
          </w:tcPr>
          <w:p>
            <w:pPr>
              <w:spacing w:after="0"/>
              <w:rPr>
                <w:sz w:val="20"/>
                <w:szCs w:val="20"/>
                <w:color w:val="auto"/>
              </w:rPr>
            </w:pPr>
          </w:p>
        </w:tc>
      </w:tr>
      <w:tr>
        <w:trPr>
          <w:trHeight w:val="223"/>
        </w:trPr>
        <w:tc>
          <w:tcPr>
            <w:tcW w:w="6200" w:type="dxa"/>
            <w:vAlign w:val="bottom"/>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Change</w:t>
            </w: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23"/>
        </w:trPr>
        <w:tc>
          <w:tcPr>
            <w:tcW w:w="6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0" w:type="dxa"/>
            <w:vAlign w:val="bottom"/>
          </w:tcPr>
          <w:p>
            <w:pPr>
              <w:jc w:val="center"/>
              <w:ind w:left="830"/>
              <w:spacing w:after="0"/>
              <w:rPr>
                <w:sz w:val="20"/>
                <w:szCs w:val="20"/>
                <w:color w:val="auto"/>
              </w:rPr>
            </w:pPr>
            <w:r>
              <w:rPr>
                <w:rFonts w:ascii="Arial" w:cs="Arial" w:eastAsia="Arial" w:hAnsi="Arial"/>
                <w:sz w:val="18"/>
                <w:szCs w:val="18"/>
                <w:b w:val="1"/>
                <w:bCs w:val="1"/>
                <w:color w:val="auto"/>
                <w:w w:val="92"/>
              </w:rPr>
              <w:t>(in €)</w:t>
            </w: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(25,088,223)</w:t>
            </w:r>
          </w:p>
        </w:tc>
        <w:tc>
          <w:tcPr>
            <w:tcW w:w="1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(11,797,986)</w:t>
            </w:r>
          </w:p>
        </w:tc>
        <w:tc>
          <w:tcPr>
            <w:tcW w:w="12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4"/>
              </w:rPr>
              <w:t>(13,290,237)</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(12,810,500)</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(3,447,208)</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(9,363,292)</w:t>
            </w:r>
          </w:p>
        </w:tc>
        <w:tc>
          <w:tcPr>
            <w:tcW w:w="114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operating expenses</w:t>
            </w: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(37,898,723)</w:t>
            </w:r>
          </w:p>
        </w:tc>
        <w:tc>
          <w:tcPr>
            <w:tcW w:w="140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(15,245,194)</w:t>
            </w:r>
          </w:p>
        </w:tc>
        <w:tc>
          <w:tcPr>
            <w:tcW w:w="126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94"/>
              </w:rPr>
              <w:t>(22,653,529)</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149%</w:t>
            </w:r>
          </w:p>
        </w:tc>
      </w:tr>
      <w:tr>
        <w:trPr>
          <w:trHeight w:val="229"/>
        </w:trPr>
        <w:tc>
          <w:tcPr>
            <w:tcW w:w="620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(37,898,723)</w:t>
            </w: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(15,245,194)</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(22,653,529)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149%</w:t>
            </w: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Net foreign exchange income/(loss)</w:t>
            </w:r>
          </w:p>
        </w:tc>
        <w:tc>
          <w:tcPr>
            <w:tcW w:w="12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7,598,899</w:t>
            </w:r>
          </w:p>
        </w:tc>
        <w:tc>
          <w:tcPr>
            <w:tcW w:w="1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(176,602)</w:t>
            </w:r>
          </w:p>
        </w:tc>
        <w:tc>
          <w:tcPr>
            <w:tcW w:w="12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7,775,501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(4403)%</w:t>
            </w:r>
          </w:p>
        </w:tc>
      </w:tr>
      <w:tr>
        <w:trPr>
          <w:trHeight w:val="229"/>
        </w:trPr>
        <w:tc>
          <w:tcPr>
            <w:tcW w:w="6200" w:type="dxa"/>
            <w:vAlign w:val="bottom"/>
          </w:tcPr>
          <w:p>
            <w:pPr>
              <w:spacing w:after="0"/>
              <w:rPr>
                <w:sz w:val="20"/>
                <w:szCs w:val="20"/>
                <w:color w:val="auto"/>
              </w:rPr>
            </w:pPr>
            <w:r>
              <w:rPr>
                <w:rFonts w:ascii="Arial" w:cs="Arial" w:eastAsia="Arial" w:hAnsi="Arial"/>
                <w:sz w:val="18"/>
                <w:szCs w:val="18"/>
                <w:b w:val="1"/>
                <w:bCs w:val="1"/>
                <w:color w:val="auto"/>
              </w:rPr>
              <w:t>Loss before tax</w:t>
            </w: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(30,299,824)</w:t>
            </w: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(15,421,796)</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(14,878,028)</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96%</w:t>
            </w: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(89,744)</w:t>
            </w:r>
          </w:p>
        </w:tc>
        <w:tc>
          <w:tcPr>
            <w:tcW w:w="140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(89,744)</w:t>
            </w:r>
          </w:p>
        </w:tc>
        <w:tc>
          <w:tcPr>
            <w:tcW w:w="11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r>
      <w:tr>
        <w:trPr>
          <w:trHeight w:val="234"/>
        </w:trPr>
        <w:tc>
          <w:tcPr>
            <w:tcW w:w="6200" w:type="dxa"/>
            <w:vAlign w:val="bottom"/>
          </w:tcPr>
          <w:p>
            <w:pPr>
              <w:spacing w:after="0"/>
              <w:rPr>
                <w:sz w:val="20"/>
                <w:szCs w:val="20"/>
                <w:color w:val="auto"/>
              </w:rPr>
            </w:pPr>
            <w:r>
              <w:rPr>
                <w:rFonts w:ascii="Arial" w:cs="Arial" w:eastAsia="Arial" w:hAnsi="Arial"/>
                <w:sz w:val="18"/>
                <w:szCs w:val="18"/>
                <w:b w:val="1"/>
                <w:bCs w:val="1"/>
                <w:color w:val="auto"/>
              </w:rPr>
              <w:t>Loss for the period</w:t>
            </w: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(30,389,568)</w:t>
            </w: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(15,421,796)</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(14,967,772)</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97%</w:t>
            </w:r>
          </w:p>
        </w:tc>
      </w:tr>
    </w:tbl>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generate any revenues for the nine months ended September 30, 2021 and September 30, 2020.</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 expenses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w w:val="89"/>
              </w:rPr>
              <w:t>For the nine months ended</w:t>
            </w:r>
          </w:p>
        </w:tc>
        <w:tc>
          <w:tcPr>
            <w:tcW w:w="1360" w:type="dxa"/>
            <w:vAlign w:val="bottom"/>
          </w:tcPr>
          <w:p>
            <w:pPr>
              <w:spacing w:after="0"/>
              <w:rPr>
                <w:sz w:val="18"/>
                <w:szCs w:val="18"/>
                <w:color w:val="auto"/>
              </w:rPr>
            </w:pPr>
          </w:p>
        </w:tc>
      </w:tr>
      <w:tr>
        <w:trPr>
          <w:trHeight w:val="229"/>
        </w:trPr>
        <w:tc>
          <w:tcPr>
            <w:tcW w:w="48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88"/>
              </w:rPr>
              <w:t>September 30</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4"/>
        </w:trPr>
        <w:tc>
          <w:tcPr>
            <w:tcW w:w="4800" w:type="dxa"/>
            <w:vAlign w:val="bottom"/>
          </w:tcPr>
          <w:p>
            <w:pPr>
              <w:spacing w:after="0"/>
              <w:rPr>
                <w:sz w:val="20"/>
                <w:szCs w:val="20"/>
                <w:color w:val="auto"/>
              </w:rPr>
            </w:pPr>
          </w:p>
        </w:tc>
        <w:tc>
          <w:tcPr>
            <w:tcW w:w="16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23"/>
        </w:trPr>
        <w:tc>
          <w:tcPr>
            <w:tcW w:w="48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2"/>
              </w:rPr>
              <w:t>(in €)</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Personnel expenses</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(6,151,138)</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(1,677,630)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(4,473,508)</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Clinical expenses</w:t>
            </w:r>
          </w:p>
        </w:tc>
        <w:tc>
          <w:tcPr>
            <w:tcW w:w="1600" w:type="dxa"/>
            <w:vAlign w:val="bottom"/>
          </w:tcPr>
          <w:p>
            <w:pPr>
              <w:jc w:val="right"/>
              <w:spacing w:after="0"/>
              <w:rPr>
                <w:sz w:val="20"/>
                <w:szCs w:val="20"/>
                <w:color w:val="auto"/>
              </w:rPr>
            </w:pPr>
            <w:r>
              <w:rPr>
                <w:rFonts w:ascii="Arial" w:cs="Arial" w:eastAsia="Arial" w:hAnsi="Arial"/>
                <w:sz w:val="18"/>
                <w:szCs w:val="18"/>
                <w:color w:val="auto"/>
              </w:rPr>
              <w:t>(11,330,269)</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(5,293,514)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(6,036,755)</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Non-clinical expenses</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(3,068,349)</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(2,065,658)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(1,002,691)</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Manufacturing costs</w:t>
            </w:r>
          </w:p>
        </w:tc>
        <w:tc>
          <w:tcPr>
            <w:tcW w:w="1600" w:type="dxa"/>
            <w:vAlign w:val="bottom"/>
          </w:tcPr>
          <w:p>
            <w:pPr>
              <w:jc w:val="right"/>
              <w:spacing w:after="0"/>
              <w:rPr>
                <w:sz w:val="20"/>
                <w:szCs w:val="20"/>
                <w:color w:val="auto"/>
              </w:rPr>
            </w:pPr>
            <w:r>
              <w:rPr>
                <w:rFonts w:ascii="Arial" w:cs="Arial" w:eastAsia="Arial" w:hAnsi="Arial"/>
                <w:sz w:val="18"/>
                <w:szCs w:val="18"/>
                <w:color w:val="auto"/>
              </w:rPr>
              <w:t>(3,972,363)</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(2,624,638)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(1,347,725)</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License costs</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FF0FC"/>
          </w:tcPr>
          <w:p>
            <w:pPr>
              <w:spacing w:after="0"/>
              <w:rPr>
                <w:sz w:val="19"/>
                <w:szCs w:val="19"/>
                <w:color w:val="auto"/>
              </w:rPr>
            </w:pPr>
          </w:p>
        </w:tc>
        <w:tc>
          <w:tcPr>
            <w:tcW w:w="1940" w:type="dxa"/>
            <w:vAlign w:val="bottom"/>
            <w:gridSpan w:val="3"/>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Intellectual Property costs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(66,104)</w:t>
            </w:r>
          </w:p>
        </w:tc>
        <w:tc>
          <w:tcPr>
            <w:tcW w:w="18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(136,546)</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70,442</w:t>
            </w:r>
          </w:p>
        </w:tc>
        <w:tc>
          <w:tcPr>
            <w:tcW w:w="18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(25,088,223)</w:t>
            </w:r>
          </w:p>
        </w:tc>
        <w:tc>
          <w:tcPr>
            <w:tcW w:w="18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(11,797,986)</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(13,290,237)</w:t>
            </w:r>
          </w:p>
        </w:tc>
        <w:tc>
          <w:tcPr>
            <w:tcW w:w="18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w:t>
            </w:r>
          </w:p>
        </w:tc>
      </w:tr>
      <w:tr>
        <w:trPr>
          <w:trHeight w:val="20"/>
        </w:trPr>
        <w:tc>
          <w:tcPr>
            <w:tcW w:w="48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Research and development expenses increased from €11,797,986 for the nine months ended September 30, 2020 to €25,088,223 for the nine months ended September 30, 2021. The increase in the research and development expenses is mainly driven by the progress made in the PHVS416 and PHVS719 development programs in the first nine months of 2021. Clinical expenses increased by €6,036,755 for the nine months ended September 30, 2021 compared to the nine months ended September 30, 2020 due to the expansion of the Phase 1 clinical program, the initiation of the RAPIDe-1 Phase 2 on demand study and preparations for the prophylactic clinical trial. Non-clinical expenses increased by €1,002,691 for the nine months ended September 30, 2021 compared to the nine months ended September 30, 2020 due to advancement of the preparations for the Phase 2 and Phase 3 clinical PHVS416 and PHVS719 programs. Manufacturing costs relating to the API and pharmaceutical development of PHVS416 and PHVS719 increased by €1,347,725 for the nine months ended September 30, 2021 compared to the nine months ended September 30, 2020 due to supply costs associated with both clinical programs and the Phase 3 non-clinical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6" w:name="page17"/>
    <w:bookmarkEnd w:id="16"/>
    <w:p>
      <w:pPr>
        <w:ind w:right="40"/>
        <w:spacing w:after="0" w:line="257" w:lineRule="auto"/>
        <w:rPr>
          <w:sz w:val="20"/>
          <w:szCs w:val="20"/>
          <w:color w:val="auto"/>
        </w:rPr>
      </w:pPr>
      <w:r>
        <w:rPr>
          <w:rFonts w:ascii="Arial" w:cs="Arial" w:eastAsia="Arial" w:hAnsi="Arial"/>
          <w:sz w:val="18"/>
          <w:szCs w:val="18"/>
          <w:color w:val="auto"/>
        </w:rPr>
        <w:t>study package. For the nine months ended September 30, 2021 license costs reflected a milestone payment of €500,000 that was paid to AnalytiCon upon the start of the clinical Phase 2. In the personnel expenses for the nine months ended September 30, 2021 and 2020 an amount of €3,057,742 and €817,488, respectively, was included related to the share-based payment arrangements. The increase in the share-based payment expenses is mainly due to the grants awarded in the first nine months of 2021. Remaining increase in personnel expenses is driven by the growth of our organization and yearly merit adjustments.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For the nine months ended</w:t>
            </w:r>
          </w:p>
        </w:tc>
        <w:tc>
          <w:tcPr>
            <w:tcW w:w="136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36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23"/>
        </w:trPr>
        <w:tc>
          <w:tcPr>
            <w:tcW w:w="5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97"/>
              </w:rPr>
              <w:t>(in €)</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Personnel expenses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(5,018,977)</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(708,645)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(4,310,332)</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Consulting fees</w:t>
            </w:r>
          </w:p>
        </w:tc>
        <w:tc>
          <w:tcPr>
            <w:tcW w:w="1240" w:type="dxa"/>
            <w:vAlign w:val="bottom"/>
          </w:tcPr>
          <w:p>
            <w:pPr>
              <w:jc w:val="right"/>
              <w:spacing w:after="0"/>
              <w:rPr>
                <w:sz w:val="20"/>
                <w:szCs w:val="20"/>
                <w:color w:val="auto"/>
              </w:rPr>
            </w:pPr>
            <w:r>
              <w:rPr>
                <w:rFonts w:ascii="Arial" w:cs="Arial" w:eastAsia="Arial" w:hAnsi="Arial"/>
                <w:sz w:val="18"/>
                <w:szCs w:val="18"/>
                <w:color w:val="auto"/>
              </w:rPr>
              <w:t>(598,337)</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(732,915)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134,578</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(1,482,281)</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(656,798)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(825,483)</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Accounting, tax and auditing fees</w:t>
            </w:r>
          </w:p>
        </w:tc>
        <w:tc>
          <w:tcPr>
            <w:tcW w:w="1240" w:type="dxa"/>
            <w:vAlign w:val="bottom"/>
          </w:tcPr>
          <w:p>
            <w:pPr>
              <w:jc w:val="right"/>
              <w:spacing w:after="0"/>
              <w:rPr>
                <w:sz w:val="20"/>
                <w:szCs w:val="20"/>
                <w:color w:val="auto"/>
              </w:rPr>
            </w:pPr>
            <w:r>
              <w:rPr>
                <w:rFonts w:ascii="Arial" w:cs="Arial" w:eastAsia="Arial" w:hAnsi="Arial"/>
                <w:sz w:val="18"/>
                <w:szCs w:val="18"/>
                <w:color w:val="auto"/>
              </w:rPr>
              <w:t>(1,316,869)</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(778,696)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(538,173)</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Facilities, communication and office expenses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(4,012,860)</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(419,879)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(3,592,981)</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Travel expenses</w:t>
            </w:r>
          </w:p>
        </w:tc>
        <w:tc>
          <w:tcPr>
            <w:tcW w:w="1240" w:type="dxa"/>
            <w:vAlign w:val="bottom"/>
          </w:tcPr>
          <w:p>
            <w:pPr>
              <w:jc w:val="right"/>
              <w:spacing w:after="0"/>
              <w:rPr>
                <w:sz w:val="20"/>
                <w:szCs w:val="20"/>
                <w:color w:val="auto"/>
              </w:rPr>
            </w:pPr>
            <w:r>
              <w:rPr>
                <w:rFonts w:ascii="Arial" w:cs="Arial" w:eastAsia="Arial" w:hAnsi="Arial"/>
                <w:sz w:val="18"/>
                <w:szCs w:val="18"/>
                <w:color w:val="auto"/>
              </w:rPr>
              <w:t>(10,117)</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(25,161)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15,044</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(371,059)</w:t>
            </w:r>
          </w:p>
        </w:tc>
        <w:tc>
          <w:tcPr>
            <w:tcW w:w="1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(125,114)</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(245,945)</w:t>
            </w:r>
          </w:p>
        </w:tc>
        <w:tc>
          <w:tcPr>
            <w:tcW w:w="14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r>
      <w:tr>
        <w:trPr>
          <w:trHeight w:val="223"/>
        </w:trPr>
        <w:tc>
          <w:tcPr>
            <w:tcW w:w="5740" w:type="dxa"/>
            <w:vAlign w:val="bottom"/>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(12,810,500)</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(3,447,208)</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(9,363,292)</w:t>
            </w:r>
          </w:p>
        </w:tc>
        <w:tc>
          <w:tcPr>
            <w:tcW w:w="14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w:t>
            </w:r>
          </w:p>
        </w:tc>
      </w:tr>
      <w:tr>
        <w:trPr>
          <w:trHeight w:val="20"/>
        </w:trPr>
        <w:tc>
          <w:tcPr>
            <w:tcW w:w="5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General and administrative expenses increased from €3,447,208 for the nine months ended September 30, 2020 to €12,810,500 for the nine months ended September 30, 2021. This is mainly driven by the growth of our organization in connection with the completion of the IPO, which also led to additional expenses inherent to being a public company. In the personnel expenses for the nine months ended September 30, 2021 and 2020 an amount of €3,149,566 and €232,936 respectively, was included which related to share-based payments arrangements. The increase in the share-based payment expenses is due to the grants made in the first nine months of 2021.</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foreign exchange income/(loss)</w:t>
      </w:r>
    </w:p>
    <w:p>
      <w:pPr>
        <w:spacing w:after="0" w:line="252" w:lineRule="exact"/>
        <w:rPr>
          <w:sz w:val="20"/>
          <w:szCs w:val="20"/>
          <w:color w:val="auto"/>
        </w:rPr>
      </w:pPr>
    </w:p>
    <w:p>
      <w:pPr>
        <w:jc w:val="both"/>
        <w:ind w:right="80" w:firstLine="432"/>
        <w:spacing w:after="0" w:line="279" w:lineRule="auto"/>
        <w:rPr>
          <w:sz w:val="20"/>
          <w:szCs w:val="20"/>
          <w:color w:val="auto"/>
        </w:rPr>
      </w:pPr>
      <w:r>
        <w:rPr>
          <w:rFonts w:ascii="Arial" w:cs="Arial" w:eastAsia="Arial" w:hAnsi="Arial"/>
          <w:sz w:val="17"/>
          <w:szCs w:val="17"/>
          <w:color w:val="auto"/>
        </w:rPr>
        <w:t>Net foreign exchange income/(loss) for the nine months ended September 30, 2021 and 2020 were €7,598,899 and (€176,602) respectively, a change of €7,775,501. The amount mainly relates to unrealized foreign exchange income, which is mostly the result of translating Company’s bank balances held in USD to EUR. The EUR/USD exchange rate has been developing to our favor for the nine months ended September 30, 2021. The net foreign exchange impact in 2021 compared to 2020 is more significant due to USD proceeds from our IPO in February 2021.</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have a history of losses. The tax charge over the nine months ended September 30, 2021 relates to the Company’s US subsidiary as the result of a cost-plus agreement between the US entity and the Company’s principal entity resulting in a taxable profit in the United States of America, with no taxable income over the nine months ended September 30, 2020. We have a tax loss carry-forward of approximately €84 million (September 30, 2020: €19.9 million) that is available for offsetting against future taxable profits of the companies in which the losses arose. Under Dutch tax law, for prior periods, the expiration period denoted 6/9 years for The Netherlands, but as of the second half of 2021 it has been substantively enacted that there is no longer an expiration period applicable to the Dutch losses, whereby the loss settlement within the year is limited to € 1 million plus 50% of the remaining result for the year. Under Swiss law, losses can be offset against future income or capital gains for seven years.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440" w:firstLine="432"/>
        <w:spacing w:after="0" w:line="311" w:lineRule="auto"/>
        <w:rPr>
          <w:sz w:val="20"/>
          <w:szCs w:val="20"/>
          <w:color w:val="auto"/>
        </w:rPr>
      </w:pPr>
      <w:r>
        <w:rPr>
          <w:rFonts w:ascii="Arial" w:cs="Arial" w:eastAsia="Arial" w:hAnsi="Arial"/>
          <w:sz w:val="16"/>
          <w:szCs w:val="16"/>
          <w:color w:val="auto"/>
        </w:rPr>
        <w:t>Since inception, we have incurred significant operating losses. For the nine months ended September 30, 2021 and 2020 we incurred losses of €30,389,568 and €15,421,796 respectively. Since inception, we have not generated any revenues or net cash flows from sales. We will not receive any revenues or net cash flows from sales of our product candidate until it has been approved by regulatory authorities and we have commercialized it.</w:t>
      </w:r>
    </w:p>
    <w:p>
      <w:pPr>
        <w:spacing w:after="0" w:line="122"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To date, we have relied solely on the issuance of equity securities to finance our operations and internal growth. As of September 30, 2021 we had cash and cash equivalents of €218.6 million. Our cash and cash equivalents consist solely of cash at bank.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Comparison for the nine months ended September 30, 2021 and September 30, 2020</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primary sources and uses of our cash and cash equivalents for each of the periods set forth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8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89"/>
              </w:rPr>
              <w:t>For the nine months ended</w:t>
            </w:r>
          </w:p>
        </w:tc>
        <w:tc>
          <w:tcPr>
            <w:tcW w:w="120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2"/>
          </w:tcPr>
          <w:p>
            <w:pPr>
              <w:jc w:val="center"/>
              <w:ind w:right="290"/>
              <w:spacing w:after="0"/>
              <w:rPr>
                <w:sz w:val="20"/>
                <w:szCs w:val="20"/>
                <w:color w:val="auto"/>
              </w:rPr>
            </w:pPr>
            <w:r>
              <w:rPr>
                <w:rFonts w:ascii="Arial" w:cs="Arial" w:eastAsia="Arial" w:hAnsi="Arial"/>
                <w:sz w:val="18"/>
                <w:szCs w:val="18"/>
                <w:b w:val="1"/>
                <w:bCs w:val="1"/>
                <w:color w:val="auto"/>
                <w:w w:val="89"/>
              </w:rPr>
              <w:t>September 30</w:t>
            </w:r>
          </w:p>
        </w:tc>
        <w:tc>
          <w:tcPr>
            <w:tcW w:w="120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Change</w:t>
            </w:r>
          </w:p>
        </w:tc>
        <w:tc>
          <w:tcPr>
            <w:tcW w:w="12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23"/>
        </w:trPr>
        <w:tc>
          <w:tcPr>
            <w:tcW w:w="5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20" w:type="dxa"/>
            <w:vAlign w:val="bottom"/>
          </w:tcPr>
          <w:p>
            <w:pPr>
              <w:jc w:val="center"/>
              <w:ind w:left="890"/>
              <w:spacing w:after="0"/>
              <w:rPr>
                <w:sz w:val="20"/>
                <w:szCs w:val="20"/>
                <w:color w:val="auto"/>
              </w:rPr>
            </w:pPr>
            <w:r>
              <w:rPr>
                <w:rFonts w:ascii="Arial" w:cs="Arial" w:eastAsia="Arial" w:hAnsi="Arial"/>
                <w:sz w:val="18"/>
                <w:szCs w:val="18"/>
                <w:b w:val="1"/>
                <w:bCs w:val="1"/>
                <w:color w:val="auto"/>
                <w:w w:val="97"/>
              </w:rPr>
              <w:t>(in €)</w:t>
            </w:r>
          </w:p>
        </w:tc>
        <w:tc>
          <w:tcPr>
            <w:tcW w:w="1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used in operating activities</w:t>
            </w:r>
          </w:p>
        </w:tc>
        <w:tc>
          <w:tcPr>
            <w:tcW w:w="13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(32,096,567)</w:t>
            </w:r>
          </w:p>
        </w:tc>
        <w:tc>
          <w:tcPr>
            <w:tcW w:w="15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(12,588,520)</w:t>
            </w:r>
          </w:p>
        </w:tc>
        <w:tc>
          <w:tcPr>
            <w:tcW w:w="13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7"/>
              </w:rPr>
              <w:t>(19,508,047)</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Net cash flows used in investing activities</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(61,494)</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(35,657)</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(25,837)</w:t>
            </w: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provided by financing activities</w:t>
            </w:r>
          </w:p>
        </w:tc>
        <w:tc>
          <w:tcPr>
            <w:tcW w:w="13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144,290,697</w:t>
            </w:r>
          </w:p>
        </w:tc>
        <w:tc>
          <w:tcPr>
            <w:tcW w:w="1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34,246,281</w:t>
            </w:r>
          </w:p>
        </w:tc>
        <w:tc>
          <w:tcPr>
            <w:tcW w:w="13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3"/>
              </w:rPr>
              <w:t>110,044,416</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582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rPr>
              <w:t>112,132,636</w:t>
            </w: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21,622,104</w:t>
            </w: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90,510,532</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419%</w:t>
            </w: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at the beginning of the period</w:t>
            </w:r>
          </w:p>
        </w:tc>
        <w:tc>
          <w:tcPr>
            <w:tcW w:w="134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98,628,871</w:t>
            </w:r>
          </w:p>
        </w:tc>
        <w:tc>
          <w:tcPr>
            <w:tcW w:w="1520" w:type="dxa"/>
            <w:vAlign w:val="bottom"/>
            <w:shd w:val="clear" w:color="auto" w:fill="CFF0FC"/>
          </w:tcPr>
          <w:p>
            <w:pPr>
              <w:jc w:val="right"/>
              <w:ind w:right="330"/>
              <w:spacing w:after="0"/>
              <w:rPr>
                <w:sz w:val="20"/>
                <w:szCs w:val="20"/>
                <w:color w:val="auto"/>
              </w:rPr>
            </w:pPr>
            <w:r>
              <w:rPr>
                <w:rFonts w:ascii="Arial" w:cs="Arial" w:eastAsia="Arial" w:hAnsi="Arial"/>
                <w:sz w:val="18"/>
                <w:szCs w:val="18"/>
                <w:b w:val="1"/>
                <w:bCs w:val="1"/>
                <w:color w:val="auto"/>
              </w:rPr>
              <w:t>20,326,372</w:t>
            </w:r>
          </w:p>
        </w:tc>
        <w:tc>
          <w:tcPr>
            <w:tcW w:w="136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auto"/>
              </w:rPr>
              <w:t>78,302,499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385%</w:t>
            </w: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7,834,271</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7,834,271</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34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218,595,778</w:t>
            </w:r>
          </w:p>
        </w:tc>
        <w:tc>
          <w:tcPr>
            <w:tcW w:w="1520" w:type="dxa"/>
            <w:vAlign w:val="bottom"/>
            <w:shd w:val="clear" w:color="auto" w:fill="CFF0FC"/>
          </w:tcPr>
          <w:p>
            <w:pPr>
              <w:jc w:val="right"/>
              <w:ind w:right="330"/>
              <w:spacing w:after="0"/>
              <w:rPr>
                <w:sz w:val="20"/>
                <w:szCs w:val="20"/>
                <w:color w:val="auto"/>
              </w:rPr>
            </w:pPr>
            <w:r>
              <w:rPr>
                <w:rFonts w:ascii="Arial" w:cs="Arial" w:eastAsia="Arial" w:hAnsi="Arial"/>
                <w:sz w:val="18"/>
                <w:szCs w:val="18"/>
                <w:b w:val="1"/>
                <w:bCs w:val="1"/>
                <w:color w:val="auto"/>
              </w:rPr>
              <w:t>41,948,476</w:t>
            </w:r>
          </w:p>
        </w:tc>
        <w:tc>
          <w:tcPr>
            <w:tcW w:w="136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auto"/>
                <w:w w:val="93"/>
              </w:rPr>
              <w:t>176,647,302</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421%</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98"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Net cash used in operating activities reflects our results for the period adjusted for, among other things, depreciation, unrealized foreign exchange results, share-based payments, changes in working capital and interest accruals and payments.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cash used in operating activities was €32,096,567 for the nine months ended September 30, 2021, an increase of €19,508,047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€12,588,520 for the nine months ended September 30, 2020, primarily reflecting the increase in research and development expenses and other operating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due to progression made in the PHVS416 and PHVS719 development programs and the growth of our organization in 2021.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9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Net cash flows used in investing activities increased by €25,837 from €35,657 for the nine months ended September 30, 2020 to €61,494 for the nine months ended September 30, 2021, primarily as a result of capital expenditure related to office equipment in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jc w:val="both"/>
        <w:ind w:right="460" w:firstLine="432"/>
        <w:spacing w:after="0" w:line="263" w:lineRule="auto"/>
        <w:rPr>
          <w:sz w:val="20"/>
          <w:szCs w:val="20"/>
          <w:color w:val="auto"/>
        </w:rPr>
      </w:pPr>
      <w:r>
        <w:rPr>
          <w:rFonts w:ascii="Arial" w:cs="Arial" w:eastAsia="Arial" w:hAnsi="Arial"/>
          <w:sz w:val="18"/>
          <w:szCs w:val="18"/>
          <w:color w:val="auto"/>
        </w:rPr>
        <w:t>Net cash flows provided by financing activities increased by €110,044,416 from €34,246,281 for the nine months ended September 30, 2020 to €144,290,697 for the nine months ended September 30, 2021, primarily as a result of the proceeds of €144,306,260 from the IPO net of underwriting discount and other transaction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Our contractual obligations and commitments as of September 30, 2021 amounted to €18,500,000, primarily related to research and development commitments.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2021, we did not have any off-balance sheet arrangements other than the disclosed commitments.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jc w:val="both"/>
        <w:ind w:right="360" w:firstLine="432"/>
        <w:spacing w:after="0" w:line="263" w:lineRule="auto"/>
        <w:rPr>
          <w:sz w:val="20"/>
          <w:szCs w:val="20"/>
          <w:color w:val="auto"/>
        </w:rPr>
      </w:pPr>
      <w:r>
        <w:rPr>
          <w:rFonts w:ascii="Arial" w:cs="Arial" w:eastAsia="Arial" w:hAnsi="Arial"/>
          <w:sz w:val="18"/>
          <w:szCs w:val="18"/>
          <w:color w:val="auto"/>
        </w:rPr>
        <w:t>During the nine months ended September 30, 2021, there were no significant changes to our quantitative and qualitative disclosures about market risk from those reported in “Item 11. Quantitative and Qualitative Disclosures About Market Risk” in the Annual Report, except for the following: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02"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The Company is exposed to foreign exchange risk arising from various currency exposures, primarily with respect to the U.S. Dollar. We received the proceeds from our IPO in February 2021 in U.S. Dollars. We seek to minimize our exchange rate risk by maintaining cash positions in the currencies in which we expect to incur the majority of our future expenses and we make payments from those positions.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ind w:right="260" w:firstLine="432"/>
        <w:spacing w:after="0" w:line="263" w:lineRule="auto"/>
        <w:rPr>
          <w:sz w:val="20"/>
          <w:szCs w:val="20"/>
          <w:color w:val="auto"/>
        </w:rPr>
      </w:pPr>
      <w:r>
        <w:rPr>
          <w:rFonts w:ascii="Arial" w:cs="Arial" w:eastAsia="Arial" w:hAnsi="Arial"/>
          <w:sz w:val="18"/>
          <w:szCs w:val="18"/>
          <w:color w:val="auto"/>
        </w:rPr>
        <w:t>We have adopted an investment policy with the primary purpose of preserving capital, fulfilling our liquidity needs and diversifying the risks associated with cash. This investment policy establishes minimum ratings for institutions with which we hold cash, also ensuring that a negative interest rate is not paid.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Judgments</w:t>
      </w:r>
    </w:p>
    <w:p>
      <w:pPr>
        <w:spacing w:after="0" w:line="202"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There have been no material changes to the significant accounting policies and estimates described in “Item 5. Operating and Financial Review and Prospects—A. Operating —Critical accounting estimates and judgements” in the Annual Report, except for the share options granted.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89"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Certain statements in this management’s discussion and analysis are or may be forward-looking statements with respect to us, our industry and our business that involve substantial risks and uncertainties. All statements other than statements of historical fact contained in this management’s discussion and analysis,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ind w:right="300"/>
        <w:spacing w:after="0" w:line="277" w:lineRule="auto"/>
        <w:rPr>
          <w:sz w:val="20"/>
          <w:szCs w:val="20"/>
          <w:color w:val="auto"/>
        </w:rPr>
      </w:pPr>
      <w:r>
        <w:rPr>
          <w:rFonts w:ascii="Arial" w:cs="Arial" w:eastAsia="Arial" w:hAnsi="Arial"/>
          <w:sz w:val="18"/>
          <w:szCs w:val="18"/>
          <w:color w:val="auto"/>
        </w:rPr>
        <w:t>performance or achievements expressed or implied by such forward-looking statements. Factors that might cause such a difference include, but are not limited to:</w:t>
      </w:r>
    </w:p>
    <w:p>
      <w:pPr>
        <w:spacing w:after="0" w:line="197" w:lineRule="exact"/>
        <w:rPr>
          <w:sz w:val="20"/>
          <w:szCs w:val="20"/>
          <w:color w:val="auto"/>
        </w:rPr>
      </w:pPr>
    </w:p>
    <w:p>
      <w:pPr>
        <w:ind w:left="880" w:right="28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timing, progress or success of our clinical development programs, especially for PHVS416 and PHVS719, which are in early-stage clinical trials;</w:t>
      </w:r>
    </w:p>
    <w:p>
      <w:pPr>
        <w:spacing w:after="0" w:line="197" w:lineRule="exact"/>
        <w:rPr>
          <w:rFonts w:ascii="Arial" w:cs="Arial" w:eastAsia="Arial" w:hAnsi="Arial"/>
          <w:sz w:val="18"/>
          <w:szCs w:val="18"/>
          <w:color w:val="auto"/>
        </w:rPr>
      </w:pPr>
    </w:p>
    <w:p>
      <w:pPr>
        <w:ind w:left="880" w:right="4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the COVID-19 pandemic, which may adversely impact our business, non-clinical studies and clinical trials, the timing of regulatory approvals and the value of our ordinary shares;</w:t>
      </w:r>
    </w:p>
    <w:p>
      <w:pPr>
        <w:spacing w:after="0" w:line="197" w:lineRule="exact"/>
        <w:rPr>
          <w:rFonts w:ascii="Arial" w:cs="Arial" w:eastAsia="Arial" w:hAnsi="Arial"/>
          <w:sz w:val="18"/>
          <w:szCs w:val="18"/>
          <w:color w:val="auto"/>
        </w:rPr>
      </w:pPr>
    </w:p>
    <w:p>
      <w:pPr>
        <w:ind w:left="880" w:right="24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costs and other limitations involved in obtaining regulatory approval for our product candidates PHVS416 and PHVS719 or any other product candidate that we may develop in the future;</w:t>
      </w:r>
    </w:p>
    <w:p>
      <w:pPr>
        <w:spacing w:after="0" w:line="197" w:lineRule="exact"/>
        <w:rPr>
          <w:rFonts w:ascii="Arial" w:cs="Arial" w:eastAsia="Arial" w:hAnsi="Arial"/>
          <w:sz w:val="18"/>
          <w:szCs w:val="18"/>
          <w:color w:val="auto"/>
        </w:rPr>
      </w:pPr>
    </w:p>
    <w:p>
      <w:pPr>
        <w:ind w:left="880" w:right="20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our product candidates PHVS416 and PHVS719 or any of our other product candidates that we may develop in the future, if approved;</w:t>
      </w:r>
    </w:p>
    <w:p>
      <w:pPr>
        <w:spacing w:after="0" w:line="19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establish commercial capabilities or enter into agreements with third parties to market, sell and distribute our product candidates;</w:t>
      </w:r>
    </w:p>
    <w:p>
      <w:pPr>
        <w:spacing w:after="0" w:line="275" w:lineRule="exact"/>
        <w:rPr>
          <w:rFonts w:ascii="Arial" w:cs="Arial" w:eastAsia="Arial" w:hAnsi="Arial"/>
          <w:sz w:val="16"/>
          <w:szCs w:val="16"/>
          <w:color w:val="auto"/>
        </w:rPr>
      </w:pPr>
    </w:p>
    <w:p>
      <w:pPr>
        <w:ind w:left="880" w:hanging="440"/>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dependence on third parties to perform critical activities related to the research, development and manufacturing of our product candidates;</w:t>
      </w:r>
    </w:p>
    <w:p>
      <w:pPr>
        <w:spacing w:after="0" w:line="248" w:lineRule="exact"/>
        <w:rPr>
          <w:rFonts w:ascii="Arial" w:cs="Arial" w:eastAsia="Arial" w:hAnsi="Arial"/>
          <w:sz w:val="16"/>
          <w:szCs w:val="16"/>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at the FDA and other government agencies;</w:t>
      </w:r>
    </w:p>
    <w:p>
      <w:pPr>
        <w:spacing w:after="0" w:line="225"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expense, time and uncertainty involved in the development and consistent manufacturing and supply of our product candidates, some or all of which may never reach the regulatory approval stage;</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raise capital when needed and on acceptable terms;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enter into any new licensing agreements or to maintain any licensing agreements with respect to our product candidates;</w:t>
      </w:r>
    </w:p>
    <w:p>
      <w:pPr>
        <w:spacing w:after="0" w:line="236" w:lineRule="exact"/>
        <w:rPr>
          <w:rFonts w:ascii="Arial" w:cs="Arial" w:eastAsia="Arial" w:hAnsi="Arial"/>
          <w:sz w:val="17"/>
          <w:szCs w:val="17"/>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collaboration partners and licensees, whose actions we cannot control;</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willingness of private insurers and other payors to provide reimbursement for our products;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and other jurisdictions;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and timing of price negotiations with governmental authorities;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compete in the pharmaceutical industry and with competitive generic products;</w:t>
      </w:r>
    </w:p>
    <w:p>
      <w:pPr>
        <w:spacing w:after="0" w:line="225" w:lineRule="exact"/>
        <w:rPr>
          <w:rFonts w:ascii="Arial" w:cs="Arial" w:eastAsia="Arial" w:hAnsi="Arial"/>
          <w:sz w:val="18"/>
          <w:szCs w:val="18"/>
          <w:color w:val="auto"/>
        </w:rPr>
      </w:pPr>
    </w:p>
    <w:p>
      <w:pPr>
        <w:ind w:left="880" w:right="32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know-how and operate our business without infringing the intellectual property rights or regulatory exclusivity of others;</w:t>
      </w:r>
    </w:p>
    <w:p>
      <w:pPr>
        <w:spacing w:after="0" w:line="19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side effects or adverse events associated with the use of our product candidates;</w:t>
      </w:r>
    </w:p>
    <w:p>
      <w:pPr>
        <w:spacing w:after="0" w:line="225" w:lineRule="exact"/>
        <w:rPr>
          <w:rFonts w:ascii="Arial" w:cs="Arial" w:eastAsia="Arial" w:hAnsi="Arial"/>
          <w:sz w:val="18"/>
          <w:szCs w:val="18"/>
          <w:color w:val="auto"/>
        </w:rPr>
      </w:pPr>
    </w:p>
    <w:p>
      <w:pPr>
        <w:ind w:left="880" w:right="56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defend against costly and damaging liability claims resulting from the testing of our product candidates in the clinic or, if, approved, any commercial sales;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loss of any of our key personnel;</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of market sizes and anticipated uses of our product candidates;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of future performance;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sectPr>
      </w:pPr>
    </w:p>
    <w:bookmarkStart w:id="20" w:name="page21"/>
    <w:bookmarkEnd w:id="20"/>
    <w:p>
      <w:pPr>
        <w:ind w:left="880" w:hanging="440"/>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248" w:lineRule="exact"/>
        <w:rPr>
          <w:rFonts w:ascii="Arial" w:cs="Arial" w:eastAsia="Arial" w:hAnsi="Arial"/>
          <w:sz w:val="16"/>
          <w:szCs w:val="16"/>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comply with existing or future laws and regulations in a cost-efficient manner;</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manage negative consequences from changes in applicable laws and regulations, including tax laws;</w:t>
      </w:r>
    </w:p>
    <w:p>
      <w:pPr>
        <w:spacing w:after="0" w:line="225"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remediate the material weaknesses in our internal control over financial reporting and to maintain an effective system of internal control over financial reporting;</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expectations regarding the time during which we will be an emerging growth company under the Jumpstart Our Business Startups Act; and</w:t>
      </w:r>
    </w:p>
    <w:p>
      <w:pPr>
        <w:spacing w:after="0" w:line="248" w:lineRule="exact"/>
        <w:rPr>
          <w:rFonts w:ascii="Arial" w:cs="Arial" w:eastAsia="Arial" w:hAnsi="Arial"/>
          <w:sz w:val="16"/>
          <w:szCs w:val="16"/>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general market, political and economic conditions.</w:t>
      </w:r>
    </w:p>
    <w:p>
      <w:pPr>
        <w:spacing w:after="0" w:line="252"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You should refer to “ITEM 3. Key information—D. Risk factors.” section of our Annual Report for a discussion of important factors that may cause our actual results to differ materially from those expressed or implied by our forward-looking statements. As a result of these factors, we cannot assure you that the forward-looking statements in this management’s discussion and analysis will prove to be accurate. Furthermore, if our forward-looking statements prove to be inaccurate, the inaccuracy may be material.</w:t>
      </w:r>
    </w:p>
    <w:p>
      <w:pPr>
        <w:spacing w:after="0" w:line="14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4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undertake no obligation to publicly update any forward-looking statements, whether as a result of new information, future events or otherwise, except as required by law.</w:t>
      </w:r>
    </w:p>
    <w:p>
      <w:pPr>
        <w:spacing w:after="0" w:line="130"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In addition, statements that “we believe” and other similar statements reflect our belief and opinions on the relevant subject. These statements are based upon information available to us as of the date of this management’s discussion and analysis,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355" w:right="35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Pharvaris N.V.</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Condensed Consolidated Interim Financial Statements</w:t>
      </w:r>
    </w:p>
    <w:p>
      <w:pPr>
        <w:spacing w:after="0"/>
        <w:rPr>
          <w:sz w:val="20"/>
          <w:szCs w:val="20"/>
          <w:color w:val="auto"/>
        </w:rPr>
      </w:pPr>
      <w:r>
        <w:rPr>
          <w:rFonts w:ascii="Arial" w:cs="Arial" w:eastAsia="Arial" w:hAnsi="Arial"/>
          <w:sz w:val="22"/>
          <w:szCs w:val="22"/>
          <w:b w:val="1"/>
          <w:bCs w:val="1"/>
          <w:color w:val="auto"/>
        </w:rPr>
        <w:t>At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4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profit or loss and other comprehensive income</w:t>
            </w: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24">
              <w:r>
                <w:rPr>
                  <w:rFonts w:ascii="Arial" w:cs="Arial" w:eastAsia="Arial" w:hAnsi="Arial"/>
                  <w:sz w:val="18"/>
                  <w:szCs w:val="18"/>
                  <w:b w:val="1"/>
                  <w:bCs w:val="1"/>
                  <w:color w:val="0000EE"/>
                  <w:w w:val="79"/>
                </w:rPr>
                <w:t>3</w:t>
              </w:r>
            </w:hyperlink>
          </w:p>
        </w:tc>
        <w:tc>
          <w:tcPr>
            <w:tcW w:w="20" w:type="dxa"/>
            <w:vAlign w:val="bottom"/>
          </w:tcPr>
          <w:p>
            <w:pPr>
              <w:spacing w:after="0"/>
              <w:rPr>
                <w:sz w:val="17"/>
                <w:szCs w:val="17"/>
                <w:color w:val="auto"/>
              </w:rPr>
            </w:pPr>
          </w:p>
        </w:tc>
      </w:tr>
      <w:tr>
        <w:trPr>
          <w:trHeight w:val="426"/>
        </w:trPr>
        <w:tc>
          <w:tcPr>
            <w:tcW w:w="1114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25">
              <w:r>
                <w:rPr>
                  <w:rFonts w:ascii="Arial" w:cs="Arial" w:eastAsia="Arial" w:hAnsi="Arial"/>
                  <w:sz w:val="18"/>
                  <w:szCs w:val="18"/>
                  <w:b w:val="1"/>
                  <w:bCs w:val="1"/>
                  <w:color w:val="0000EE"/>
                  <w:w w:val="79"/>
                </w:rPr>
                <w:t>4</w:t>
              </w:r>
            </w:hyperlink>
          </w:p>
        </w:tc>
        <w:tc>
          <w:tcPr>
            <w:tcW w:w="20" w:type="dxa"/>
            <w:vAlign w:val="bottom"/>
          </w:tcPr>
          <w:p>
            <w:pPr>
              <w:spacing w:after="0"/>
              <w:rPr>
                <w:sz w:val="24"/>
                <w:szCs w:val="24"/>
                <w:color w:val="auto"/>
              </w:rPr>
            </w:pPr>
          </w:p>
        </w:tc>
      </w:tr>
      <w:tr>
        <w:trPr>
          <w:trHeight w:val="426"/>
        </w:trPr>
        <w:tc>
          <w:tcPr>
            <w:tcW w:w="1114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changes in equity</w:t>
            </w: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26">
              <w:r>
                <w:rPr>
                  <w:rFonts w:ascii="Arial" w:cs="Arial" w:eastAsia="Arial" w:hAnsi="Arial"/>
                  <w:sz w:val="18"/>
                  <w:szCs w:val="18"/>
                  <w:b w:val="1"/>
                  <w:bCs w:val="1"/>
                  <w:color w:val="0000EE"/>
                  <w:w w:val="79"/>
                </w:rPr>
                <w:t>5</w:t>
              </w:r>
            </w:hyperlink>
          </w:p>
        </w:tc>
        <w:tc>
          <w:tcPr>
            <w:tcW w:w="20" w:type="dxa"/>
            <w:vAlign w:val="bottom"/>
          </w:tcPr>
          <w:p>
            <w:pPr>
              <w:spacing w:after="0"/>
              <w:rPr>
                <w:sz w:val="24"/>
                <w:szCs w:val="24"/>
                <w:color w:val="auto"/>
              </w:rPr>
            </w:pPr>
          </w:p>
        </w:tc>
      </w:tr>
      <w:tr>
        <w:trPr>
          <w:trHeight w:val="425"/>
        </w:trPr>
        <w:tc>
          <w:tcPr>
            <w:tcW w:w="1114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cash flows</w:t>
            </w: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27">
              <w:r>
                <w:rPr>
                  <w:rFonts w:ascii="Arial" w:cs="Arial" w:eastAsia="Arial" w:hAnsi="Arial"/>
                  <w:sz w:val="18"/>
                  <w:szCs w:val="18"/>
                  <w:b w:val="1"/>
                  <w:bCs w:val="1"/>
                  <w:color w:val="0000EE"/>
                  <w:w w:val="79"/>
                </w:rPr>
                <w:t>6</w:t>
              </w:r>
            </w:hyperlink>
          </w:p>
        </w:tc>
        <w:tc>
          <w:tcPr>
            <w:tcW w:w="20" w:type="dxa"/>
            <w:vAlign w:val="bottom"/>
          </w:tcPr>
          <w:p>
            <w:pPr>
              <w:spacing w:after="0"/>
              <w:rPr>
                <w:sz w:val="24"/>
                <w:szCs w:val="24"/>
                <w:color w:val="auto"/>
              </w:rPr>
            </w:pPr>
          </w:p>
        </w:tc>
      </w:tr>
      <w:tr>
        <w:trPr>
          <w:trHeight w:val="426"/>
        </w:trPr>
        <w:tc>
          <w:tcPr>
            <w:tcW w:w="11140" w:type="dxa"/>
            <w:vAlign w:val="bottom"/>
          </w:tcPr>
          <w:p>
            <w:pPr>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28">
              <w:r>
                <w:rPr>
                  <w:rFonts w:ascii="Arial" w:cs="Arial" w:eastAsia="Arial" w:hAnsi="Arial"/>
                  <w:sz w:val="18"/>
                  <w:szCs w:val="18"/>
                  <w:b w:val="1"/>
                  <w:bCs w:val="1"/>
                  <w:color w:val="0000EE"/>
                  <w:w w:val="79"/>
                </w:rPr>
                <w:t>7</w:t>
              </w:r>
            </w:hyperlink>
          </w:p>
        </w:tc>
        <w:tc>
          <w:tcPr>
            <w:tcW w:w="20" w:type="dxa"/>
            <w:vAlign w:val="bottom"/>
          </w:tcPr>
          <w:p>
            <w:pPr>
              <w:spacing w:after="0"/>
              <w:rPr>
                <w:sz w:val="24"/>
                <w:szCs w:val="24"/>
                <w:color w:val="auto"/>
              </w:rPr>
            </w:pPr>
          </w:p>
        </w:tc>
      </w:tr>
      <w:tr>
        <w:trPr>
          <w:trHeight w:val="912"/>
        </w:trPr>
        <w:tc>
          <w:tcPr>
            <w:tcW w:w="11140" w:type="dxa"/>
            <w:vAlign w:val="bottom"/>
          </w:tcPr>
          <w:p>
            <w:pPr>
              <w:ind w:left="55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Unaudited condensed consolidated statements of profit or loss and other comprehensive income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80" w:type="dxa"/>
            <w:vAlign w:val="bottom"/>
            <w:gridSpan w:val="4"/>
          </w:tcPr>
          <w:p>
            <w:pPr>
              <w:jc w:val="right"/>
              <w:ind w:right="660"/>
              <w:spacing w:after="0"/>
              <w:rPr>
                <w:sz w:val="20"/>
                <w:szCs w:val="20"/>
                <w:color w:val="auto"/>
              </w:rPr>
            </w:pPr>
            <w:r>
              <w:rPr>
                <w:rFonts w:ascii="Arial" w:cs="Arial" w:eastAsia="Arial" w:hAnsi="Arial"/>
                <w:sz w:val="18"/>
                <w:szCs w:val="18"/>
                <w:color w:val="auto"/>
              </w:rPr>
              <w:t>Three months ended</w:t>
            </w:r>
          </w:p>
        </w:tc>
        <w:tc>
          <w:tcPr>
            <w:tcW w:w="2460" w:type="dxa"/>
            <w:vAlign w:val="bottom"/>
            <w:gridSpan w:val="4"/>
          </w:tcPr>
          <w:p>
            <w:pPr>
              <w:jc w:val="right"/>
              <w:ind w:right="140"/>
              <w:spacing w:after="0"/>
              <w:rPr>
                <w:sz w:val="20"/>
                <w:szCs w:val="20"/>
                <w:color w:val="auto"/>
              </w:rPr>
            </w:pPr>
            <w:r>
              <w:rPr>
                <w:rFonts w:ascii="Arial" w:cs="Arial" w:eastAsia="Arial" w:hAnsi="Arial"/>
                <w:sz w:val="18"/>
                <w:szCs w:val="18"/>
                <w:color w:val="auto"/>
                <w:w w:val="92"/>
              </w:rPr>
              <w:t>Nine months ended September</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80" w:type="dxa"/>
            <w:vAlign w:val="bottom"/>
            <w:gridSpan w:val="4"/>
          </w:tcPr>
          <w:p>
            <w:pPr>
              <w:jc w:val="right"/>
              <w:ind w:right="920"/>
              <w:spacing w:after="0"/>
              <w:rPr>
                <w:sz w:val="20"/>
                <w:szCs w:val="20"/>
                <w:color w:val="auto"/>
              </w:rPr>
            </w:pPr>
            <w:r>
              <w:rPr>
                <w:rFonts w:ascii="Arial" w:cs="Arial" w:eastAsia="Arial" w:hAnsi="Arial"/>
                <w:sz w:val="18"/>
                <w:szCs w:val="18"/>
                <w:color w:val="auto"/>
              </w:rPr>
              <w:t>September 30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Notes</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(8,956,174)</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(5,062,742)</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(25,088,223)</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(11,797,986)</w:t>
            </w: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4</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(4,374,081)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(1,210,757)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(12,810,500)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(3,447,208)</w:t>
            </w:r>
          </w:p>
        </w:tc>
        <w:tc>
          <w:tcPr>
            <w:tcW w:w="0" w:type="dxa"/>
            <w:vAlign w:val="bottom"/>
          </w:tcPr>
          <w:p>
            <w:pPr>
              <w:spacing w:after="0"/>
              <w:rPr>
                <w:sz w:val="1"/>
                <w:szCs w:val="1"/>
                <w:color w:val="auto"/>
              </w:rPr>
            </w:pPr>
          </w:p>
        </w:tc>
      </w:tr>
      <w:tr>
        <w:trPr>
          <w:trHeight w:val="20"/>
        </w:trPr>
        <w:tc>
          <w:tcPr>
            <w:tcW w:w="518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operating expenses</w:t>
            </w:r>
          </w:p>
        </w:tc>
        <w:tc>
          <w:tcPr>
            <w:tcW w:w="10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vMerge w:val="continue"/>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(13,330,255)</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(6,273,499)</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(37,898,723)</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(15,245,194)</w:t>
            </w: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foreign exchange income/(loss)</w:t>
            </w:r>
          </w:p>
        </w:tc>
        <w:tc>
          <w:tcPr>
            <w:tcW w:w="10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6</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4,254,526</w:t>
            </w: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(126,338)</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7,598,899</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(176,602)</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b w:val="1"/>
                <w:bCs w:val="1"/>
                <w:color w:val="auto"/>
              </w:rPr>
              <w:t>Loss before income tax</w:t>
            </w:r>
          </w:p>
        </w:tc>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(9,075,729)</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(6,399,837)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(30,299,824)</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(15,421,796)</w:t>
            </w:r>
          </w:p>
        </w:tc>
        <w:tc>
          <w:tcPr>
            <w:tcW w:w="0" w:type="dxa"/>
            <w:vAlign w:val="bottom"/>
          </w:tcPr>
          <w:p>
            <w:pPr>
              <w:spacing w:after="0"/>
              <w:rPr>
                <w:sz w:val="1"/>
                <w:szCs w:val="1"/>
                <w:color w:val="auto"/>
              </w:rPr>
            </w:pPr>
          </w:p>
        </w:tc>
      </w:tr>
      <w:tr>
        <w:trPr>
          <w:trHeight w:val="237"/>
        </w:trPr>
        <w:tc>
          <w:tcPr>
            <w:tcW w:w="5180" w:type="dxa"/>
            <w:vAlign w:val="bottom"/>
            <w:tcBorders>
              <w:top w:val="single" w:sz="8" w:color="CFF0FC"/>
            </w:tcBorders>
            <w:shd w:val="clear" w:color="auto" w:fill="CFF0FC"/>
          </w:tcPr>
          <w:p>
            <w:pPr>
              <w:spacing w:after="0"/>
              <w:rPr>
                <w:sz w:val="20"/>
                <w:szCs w:val="20"/>
                <w:color w:val="auto"/>
              </w:rPr>
            </w:pPr>
          </w:p>
        </w:tc>
        <w:tc>
          <w:tcPr>
            <w:tcW w:w="1020" w:type="dxa"/>
            <w:vAlign w:val="bottom"/>
            <w:tcBorders>
              <w:top w:val="single" w:sz="8" w:color="CFF0FC"/>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color w:val="auto"/>
              </w:rPr>
              <w:t>Income taxes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(68,190)</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(89,744)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Loss for the period</w:t>
            </w:r>
          </w:p>
        </w:tc>
        <w:tc>
          <w:tcPr>
            <w:tcW w:w="10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vMerge w:val="continue"/>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(9,143,919)</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(6,399,837)</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(30,389,568)</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(15,421,796)</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income/(Loss)</w:t>
            </w:r>
          </w:p>
        </w:tc>
        <w:tc>
          <w:tcPr>
            <w:tcW w:w="10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180" w:type="dxa"/>
            <w:vAlign w:val="bottom"/>
          </w:tcPr>
          <w:p>
            <w:pPr>
              <w:spacing w:after="0"/>
              <w:rPr>
                <w:sz w:val="20"/>
                <w:szCs w:val="20"/>
                <w:color w:val="auto"/>
              </w:rPr>
            </w:pPr>
            <w:r>
              <w:rPr>
                <w:rFonts w:ascii="Arial" w:cs="Arial" w:eastAsia="Arial" w:hAnsi="Arial"/>
                <w:sz w:val="18"/>
                <w:szCs w:val="18"/>
                <w:color w:val="auto"/>
              </w:rPr>
              <w:t>Exchange gains arising on translation of foreign operations</w:t>
            </w:r>
          </w:p>
        </w:tc>
        <w:tc>
          <w:tcPr>
            <w:tcW w:w="10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1,245</w:t>
            </w:r>
          </w:p>
        </w:tc>
        <w:tc>
          <w:tcPr>
            <w:tcW w:w="200" w:type="dxa"/>
            <w:vAlign w:val="bottom"/>
          </w:tcPr>
          <w:p>
            <w:pPr>
              <w:spacing w:after="0"/>
              <w:rPr>
                <w:sz w:val="24"/>
                <w:szCs w:val="2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2,920</w:t>
            </w:r>
          </w:p>
        </w:tc>
        <w:tc>
          <w:tcPr>
            <w:tcW w:w="22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b w:val="1"/>
                <w:bCs w:val="1"/>
                <w:color w:val="auto"/>
              </w:rPr>
              <w:t>Total comprehensive loss attributable to:</w:t>
            </w: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Equity holders of the Company</w:t>
            </w:r>
          </w:p>
        </w:tc>
        <w:tc>
          <w:tcPr>
            <w:tcW w:w="10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(9,142,674)</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(6,399,837)</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(30,386,648)</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(15,421,796)</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Loss per share attributable to the equity holders of the Company</w:t>
            </w:r>
          </w:p>
        </w:tc>
        <w:tc>
          <w:tcPr>
            <w:tcW w:w="10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during the periods</w:t>
            </w:r>
          </w:p>
        </w:tc>
        <w:tc>
          <w:tcPr>
            <w:tcW w:w="10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19</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(0.39)</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Unaudited condensed consolidated statements of financial position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8"/>
                <w:szCs w:val="18"/>
                <w:color w:val="auto"/>
              </w:rPr>
              <w:t>September 30,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December 31,</w:t>
            </w:r>
          </w:p>
        </w:tc>
      </w:tr>
      <w:tr>
        <w:trPr>
          <w:trHeight w:val="230"/>
        </w:trPr>
        <w:tc>
          <w:tcPr>
            <w:tcW w:w="47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36"/>
        </w:trPr>
        <w:tc>
          <w:tcPr>
            <w:tcW w:w="4720" w:type="dxa"/>
            <w:vAlign w:val="bottom"/>
          </w:tcPr>
          <w:p>
            <w:pPr>
              <w:spacing w:after="0"/>
              <w:rPr>
                <w:sz w:val="20"/>
                <w:szCs w:val="20"/>
                <w:color w:val="auto"/>
              </w:rPr>
            </w:pPr>
          </w:p>
        </w:tc>
        <w:tc>
          <w:tcPr>
            <w:tcW w:w="3380" w:type="dxa"/>
            <w:vAlign w:val="bottom"/>
          </w:tcPr>
          <w:p>
            <w:pPr>
              <w:jc w:val="center"/>
              <w:ind w:left="1830"/>
              <w:spacing w:after="0"/>
              <w:rPr>
                <w:sz w:val="20"/>
                <w:szCs w:val="20"/>
                <w:color w:val="auto"/>
              </w:rPr>
            </w:pPr>
            <w:r>
              <w:rPr>
                <w:rFonts w:ascii="Arial" w:cs="Arial" w:eastAsia="Arial" w:hAnsi="Arial"/>
                <w:sz w:val="18"/>
                <w:szCs w:val="18"/>
                <w:color w:val="auto"/>
                <w:w w:val="89"/>
              </w:rPr>
              <w:t>Notes</w:t>
            </w: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3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3380" w:type="dxa"/>
            <w:vAlign w:val="bottom"/>
            <w:shd w:val="clear" w:color="auto" w:fill="CFF0FC"/>
          </w:tcPr>
          <w:p>
            <w:pPr>
              <w:jc w:val="center"/>
              <w:ind w:left="1930"/>
              <w:spacing w:after="0"/>
              <w:rPr>
                <w:sz w:val="20"/>
                <w:szCs w:val="20"/>
                <w:color w:val="auto"/>
              </w:rPr>
            </w:pPr>
            <w:r>
              <w:rPr>
                <w:rFonts w:ascii="Arial" w:cs="Arial" w:eastAsia="Arial" w:hAnsi="Arial"/>
                <w:sz w:val="18"/>
                <w:szCs w:val="18"/>
                <w:color w:val="auto"/>
                <w:w w:val="79"/>
              </w:rPr>
              <w:t>8</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97,829</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48,503</w:t>
            </w: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Right of use assets</w:t>
            </w:r>
          </w:p>
        </w:tc>
        <w:tc>
          <w:tcPr>
            <w:tcW w:w="3380" w:type="dxa"/>
            <w:vAlign w:val="bottom"/>
          </w:tcPr>
          <w:p>
            <w:pPr>
              <w:jc w:val="center"/>
              <w:ind w:left="1930"/>
              <w:spacing w:after="0"/>
              <w:rPr>
                <w:sz w:val="20"/>
                <w:szCs w:val="20"/>
                <w:color w:val="auto"/>
              </w:rPr>
            </w:pPr>
            <w:r>
              <w:rPr>
                <w:rFonts w:ascii="Arial" w:cs="Arial" w:eastAsia="Arial" w:hAnsi="Arial"/>
                <w:sz w:val="18"/>
                <w:szCs w:val="18"/>
                <w:color w:val="auto"/>
                <w:w w:val="79"/>
              </w:rPr>
              <w:t>9</w:t>
            </w:r>
          </w:p>
        </w:tc>
        <w:tc>
          <w:tcPr>
            <w:tcW w:w="1380" w:type="dxa"/>
            <w:vAlign w:val="bottom"/>
          </w:tcPr>
          <w:p>
            <w:pPr>
              <w:jc w:val="right"/>
              <w:spacing w:after="0"/>
              <w:rPr>
                <w:sz w:val="20"/>
                <w:szCs w:val="20"/>
                <w:color w:val="auto"/>
              </w:rPr>
            </w:pPr>
            <w:r>
              <w:rPr>
                <w:rFonts w:ascii="Arial" w:cs="Arial" w:eastAsia="Arial" w:hAnsi="Arial"/>
                <w:sz w:val="18"/>
                <w:szCs w:val="18"/>
                <w:color w:val="auto"/>
              </w:rPr>
              <w:t>262,549</w:t>
            </w:r>
          </w:p>
        </w:tc>
        <w:tc>
          <w:tcPr>
            <w:tcW w:w="26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assets</w:t>
            </w:r>
          </w:p>
        </w:tc>
        <w:tc>
          <w:tcPr>
            <w:tcW w:w="33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Deferred tax assets</w:t>
            </w:r>
          </w:p>
        </w:tc>
        <w:tc>
          <w:tcPr>
            <w:tcW w:w="3380" w:type="dxa"/>
            <w:vAlign w:val="bottom"/>
          </w:tcPr>
          <w:p>
            <w:pPr>
              <w:jc w:val="center"/>
              <w:ind w:left="1930"/>
              <w:spacing w:after="0"/>
              <w:rPr>
                <w:sz w:val="20"/>
                <w:szCs w:val="20"/>
                <w:color w:val="auto"/>
              </w:rPr>
            </w:pPr>
            <w:r>
              <w:rPr>
                <w:rFonts w:ascii="Arial" w:cs="Arial" w:eastAsia="Arial" w:hAnsi="Arial"/>
                <w:sz w:val="18"/>
                <w:szCs w:val="18"/>
                <w:color w:val="auto"/>
                <w:w w:val="79"/>
              </w:rPr>
              <w:t>7</w:t>
            </w:r>
          </w:p>
        </w:tc>
        <w:tc>
          <w:tcPr>
            <w:tcW w:w="1380" w:type="dxa"/>
            <w:vAlign w:val="bottom"/>
          </w:tcPr>
          <w:p>
            <w:pPr>
              <w:jc w:val="right"/>
              <w:spacing w:after="0"/>
              <w:rPr>
                <w:sz w:val="20"/>
                <w:szCs w:val="20"/>
                <w:color w:val="auto"/>
              </w:rPr>
            </w:pPr>
            <w:r>
              <w:rPr>
                <w:rFonts w:ascii="Arial" w:cs="Arial" w:eastAsia="Arial" w:hAnsi="Arial"/>
                <w:sz w:val="18"/>
                <w:szCs w:val="18"/>
                <w:color w:val="auto"/>
              </w:rPr>
              <w:t>117,138</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99,339</w:t>
            </w: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Receivables</w:t>
            </w:r>
          </w:p>
        </w:tc>
        <w:tc>
          <w:tcPr>
            <w:tcW w:w="3380" w:type="dxa"/>
            <w:vAlign w:val="bottom"/>
            <w:shd w:val="clear" w:color="auto" w:fill="CFF0FC"/>
          </w:tcPr>
          <w:p>
            <w:pPr>
              <w:jc w:val="center"/>
              <w:ind w:left="1950"/>
              <w:spacing w:after="0"/>
              <w:rPr>
                <w:sz w:val="20"/>
                <w:szCs w:val="20"/>
                <w:color w:val="auto"/>
              </w:rPr>
            </w:pPr>
            <w:r>
              <w:rPr>
                <w:rFonts w:ascii="Arial" w:cs="Arial" w:eastAsia="Arial" w:hAnsi="Arial"/>
                <w:sz w:val="18"/>
                <w:szCs w:val="18"/>
                <w:color w:val="auto"/>
                <w:w w:val="89"/>
              </w:rPr>
              <w:t>10</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632,367</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569,578</w:t>
            </w: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Other current assets</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89"/>
              </w:rPr>
              <w:t>11</w:t>
            </w:r>
          </w:p>
        </w:tc>
        <w:tc>
          <w:tcPr>
            <w:tcW w:w="1380" w:type="dxa"/>
            <w:vAlign w:val="bottom"/>
          </w:tcPr>
          <w:p>
            <w:pPr>
              <w:jc w:val="right"/>
              <w:spacing w:after="0"/>
              <w:rPr>
                <w:sz w:val="20"/>
                <w:szCs w:val="20"/>
                <w:color w:val="auto"/>
              </w:rPr>
            </w:pPr>
            <w:r>
              <w:rPr>
                <w:rFonts w:ascii="Arial" w:cs="Arial" w:eastAsia="Arial" w:hAnsi="Arial"/>
                <w:sz w:val="18"/>
                <w:szCs w:val="18"/>
                <w:color w:val="auto"/>
              </w:rPr>
              <w:t>3,385,574</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1,753,327</w:t>
            </w: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380" w:type="dxa"/>
            <w:vAlign w:val="bottom"/>
            <w:shd w:val="clear" w:color="auto" w:fill="CFF0FC"/>
          </w:tcPr>
          <w:p>
            <w:pPr>
              <w:jc w:val="center"/>
              <w:ind w:left="1950"/>
              <w:spacing w:after="0"/>
              <w:rPr>
                <w:sz w:val="20"/>
                <w:szCs w:val="20"/>
                <w:color w:val="auto"/>
              </w:rPr>
            </w:pPr>
            <w:r>
              <w:rPr>
                <w:rFonts w:ascii="Arial" w:cs="Arial" w:eastAsia="Arial" w:hAnsi="Arial"/>
                <w:sz w:val="18"/>
                <w:szCs w:val="18"/>
                <w:color w:val="auto"/>
                <w:w w:val="89"/>
              </w:rPr>
              <w:t>12</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218,595,778</w:t>
            </w:r>
          </w:p>
        </w:tc>
        <w:tc>
          <w:tcPr>
            <w:tcW w:w="260" w:type="dxa"/>
            <w:vAlign w:val="bottom"/>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98,628,871</w:t>
            </w:r>
          </w:p>
        </w:tc>
        <w:tc>
          <w:tcPr>
            <w:tcW w:w="100" w:type="dxa"/>
            <w:vAlign w:val="bottom"/>
            <w:shd w:val="clear" w:color="auto" w:fill="CFF0FC"/>
          </w:tcPr>
          <w:p>
            <w:pPr>
              <w:spacing w:after="0"/>
              <w:rPr>
                <w:sz w:val="21"/>
                <w:szCs w:val="21"/>
                <w:color w:val="auto"/>
              </w:rPr>
            </w:pPr>
          </w:p>
        </w:tc>
      </w:tr>
      <w:tr>
        <w:trPr>
          <w:trHeight w:val="277"/>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3380" w:type="dxa"/>
            <w:vAlign w:val="bottom"/>
            <w:tcBorders>
              <w:bottom w:val="single" w:sz="8" w:color="CFF0FC"/>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223,091,235</w:t>
            </w:r>
          </w:p>
        </w:tc>
        <w:tc>
          <w:tcPr>
            <w:tcW w:w="260" w:type="dxa"/>
            <w:vAlign w:val="bottom"/>
            <w:tcBorders>
              <w:bottom w:val="single" w:sz="8" w:color="CFF0FC"/>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101,099,618</w:t>
            </w:r>
          </w:p>
        </w:tc>
        <w:tc>
          <w:tcPr>
            <w:tcW w:w="100" w:type="dxa"/>
            <w:vAlign w:val="bottom"/>
            <w:tcBorders>
              <w:bottom w:val="single" w:sz="8" w:color="CFF0FC"/>
            </w:tcBorders>
          </w:tcPr>
          <w:p>
            <w:pPr>
              <w:spacing w:after="0"/>
              <w:rPr>
                <w:sz w:val="24"/>
                <w:szCs w:val="24"/>
                <w:color w:val="auto"/>
              </w:rPr>
            </w:pPr>
          </w:p>
        </w:tc>
      </w:tr>
      <w:tr>
        <w:trPr>
          <w:trHeight w:val="223"/>
        </w:trPr>
        <w:tc>
          <w:tcPr>
            <w:tcW w:w="472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b w:val="1"/>
                <w:bCs w:val="1"/>
                <w:color w:val="auto"/>
              </w:rPr>
              <w:t>Equity and liabilities</w:t>
            </w:r>
          </w:p>
        </w:tc>
        <w:tc>
          <w:tcPr>
            <w:tcW w:w="3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w:t>
            </w:r>
          </w:p>
        </w:tc>
        <w:tc>
          <w:tcPr>
            <w:tcW w:w="33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Share capital</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89"/>
              </w:rPr>
              <w:t>13</w:t>
            </w:r>
          </w:p>
        </w:tc>
        <w:tc>
          <w:tcPr>
            <w:tcW w:w="1380" w:type="dxa"/>
            <w:vAlign w:val="bottom"/>
          </w:tcPr>
          <w:p>
            <w:pPr>
              <w:jc w:val="right"/>
              <w:spacing w:after="0"/>
              <w:rPr>
                <w:sz w:val="20"/>
                <w:szCs w:val="20"/>
                <w:color w:val="auto"/>
              </w:rPr>
            </w:pPr>
            <w:r>
              <w:rPr>
                <w:rFonts w:ascii="Arial" w:cs="Arial" w:eastAsia="Arial" w:hAnsi="Arial"/>
                <w:sz w:val="18"/>
                <w:szCs w:val="18"/>
                <w:color w:val="auto"/>
              </w:rPr>
              <w:t>3,975,432</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235,693</w:t>
            </w: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Share premium</w:t>
            </w:r>
          </w:p>
        </w:tc>
        <w:tc>
          <w:tcPr>
            <w:tcW w:w="33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278,435,529</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138,034,580</w:t>
            </w: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Other reserves</w:t>
            </w:r>
          </w:p>
        </w:tc>
        <w:tc>
          <w:tcPr>
            <w:tcW w:w="3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8,095,502</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1,979,875</w:t>
            </w: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reserve</w:t>
            </w:r>
          </w:p>
        </w:tc>
        <w:tc>
          <w:tcPr>
            <w:tcW w:w="33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(1,445)</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(4,365)</w:t>
            </w: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Accumulated loss</w:t>
            </w:r>
          </w:p>
        </w:tc>
        <w:tc>
          <w:tcPr>
            <w:tcW w:w="338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(75,078,406)</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(44,459,954)</w:t>
            </w:r>
          </w:p>
        </w:tc>
      </w:tr>
      <w:tr>
        <w:trPr>
          <w:trHeight w:val="237"/>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equity</w:t>
            </w:r>
          </w:p>
        </w:tc>
        <w:tc>
          <w:tcPr>
            <w:tcW w:w="3380" w:type="dxa"/>
            <w:vAlign w:val="bottom"/>
            <w:tcBorders>
              <w:top w:val="single" w:sz="8" w:color="CFF0FC"/>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215,426,612</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95,785,829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47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Long term liabilities</w:t>
            </w:r>
          </w:p>
        </w:tc>
        <w:tc>
          <w:tcPr>
            <w:tcW w:w="33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Non-current lease liability</w:t>
            </w:r>
          </w:p>
        </w:tc>
        <w:tc>
          <w:tcPr>
            <w:tcW w:w="3380" w:type="dxa"/>
            <w:vAlign w:val="bottom"/>
          </w:tcPr>
          <w:p>
            <w:pPr>
              <w:jc w:val="right"/>
              <w:ind w:right="590"/>
              <w:spacing w:after="0"/>
              <w:rPr>
                <w:sz w:val="20"/>
                <w:szCs w:val="20"/>
                <w:color w:val="auto"/>
              </w:rPr>
            </w:pPr>
            <w:r>
              <w:rPr>
                <w:rFonts w:ascii="Arial" w:cs="Arial" w:eastAsia="Arial" w:hAnsi="Arial"/>
                <w:sz w:val="18"/>
                <w:szCs w:val="18"/>
                <w:color w:val="auto"/>
              </w:rPr>
              <w:t>9</w:t>
            </w:r>
          </w:p>
        </w:tc>
        <w:tc>
          <w:tcPr>
            <w:tcW w:w="1380" w:type="dxa"/>
            <w:vAlign w:val="bottom"/>
          </w:tcPr>
          <w:p>
            <w:pPr>
              <w:jc w:val="right"/>
              <w:spacing w:after="0"/>
              <w:rPr>
                <w:sz w:val="20"/>
                <w:szCs w:val="20"/>
                <w:color w:val="auto"/>
              </w:rPr>
            </w:pPr>
            <w:r>
              <w:rPr>
                <w:rFonts w:ascii="Arial" w:cs="Arial" w:eastAsia="Arial" w:hAnsi="Arial"/>
                <w:sz w:val="18"/>
                <w:szCs w:val="18"/>
                <w:color w:val="auto"/>
              </w:rPr>
              <w:t>171,466</w:t>
            </w:r>
          </w:p>
        </w:tc>
        <w:tc>
          <w:tcPr>
            <w:tcW w:w="26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33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89"/>
              </w:rPr>
              <w:t>14</w:t>
            </w:r>
          </w:p>
        </w:tc>
        <w:tc>
          <w:tcPr>
            <w:tcW w:w="1380" w:type="dxa"/>
            <w:vAlign w:val="bottom"/>
          </w:tcPr>
          <w:p>
            <w:pPr>
              <w:jc w:val="right"/>
              <w:spacing w:after="0"/>
              <w:rPr>
                <w:sz w:val="20"/>
                <w:szCs w:val="20"/>
                <w:color w:val="auto"/>
              </w:rPr>
            </w:pPr>
            <w:r>
              <w:rPr>
                <w:rFonts w:ascii="Arial" w:cs="Arial" w:eastAsia="Arial" w:hAnsi="Arial"/>
                <w:sz w:val="18"/>
                <w:szCs w:val="18"/>
                <w:color w:val="auto"/>
              </w:rPr>
              <w:t>3,846,476</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846,952</w:t>
            </w: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3380" w:type="dxa"/>
            <w:vAlign w:val="bottom"/>
            <w:shd w:val="clear" w:color="auto" w:fill="CFF0FC"/>
          </w:tcPr>
          <w:p>
            <w:pPr>
              <w:jc w:val="center"/>
              <w:ind w:left="1950"/>
              <w:spacing w:after="0"/>
              <w:rPr>
                <w:sz w:val="20"/>
                <w:szCs w:val="20"/>
                <w:color w:val="auto"/>
              </w:rPr>
            </w:pPr>
            <w:r>
              <w:rPr>
                <w:rFonts w:ascii="Arial" w:cs="Arial" w:eastAsia="Arial" w:hAnsi="Arial"/>
                <w:sz w:val="18"/>
                <w:szCs w:val="18"/>
                <w:color w:val="auto"/>
                <w:w w:val="89"/>
              </w:rPr>
              <w:t>15</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3,646,681</w:t>
            </w:r>
          </w:p>
        </w:tc>
        <w:tc>
          <w:tcPr>
            <w:tcW w:w="260" w:type="dxa"/>
            <w:vAlign w:val="bottom"/>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4,466,837</w:t>
            </w:r>
          </w:p>
        </w:tc>
        <w:tc>
          <w:tcPr>
            <w:tcW w:w="100" w:type="dxa"/>
            <w:vAlign w:val="bottom"/>
            <w:shd w:val="clear" w:color="auto" w:fill="CFF0FC"/>
          </w:tcPr>
          <w:p>
            <w:pPr>
              <w:spacing w:after="0"/>
              <w:rPr>
                <w:sz w:val="21"/>
                <w:szCs w:val="21"/>
                <w:color w:val="auto"/>
              </w:rPr>
            </w:pPr>
          </w:p>
        </w:tc>
      </w:tr>
      <w:tr>
        <w:trPr>
          <w:trHeight w:val="236"/>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3380" w:type="dxa"/>
            <w:vAlign w:val="bottom"/>
            <w:tcBorders>
              <w:bottom w:val="single" w:sz="8" w:color="CFF0FC"/>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7,664,623</w:t>
            </w:r>
          </w:p>
        </w:tc>
        <w:tc>
          <w:tcPr>
            <w:tcW w:w="260" w:type="dxa"/>
            <w:vAlign w:val="bottom"/>
            <w:tcBorders>
              <w:bottom w:val="single" w:sz="8" w:color="CFF0FC"/>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5,313,789</w:t>
            </w:r>
          </w:p>
        </w:tc>
        <w:tc>
          <w:tcPr>
            <w:tcW w:w="100" w:type="dxa"/>
            <w:vAlign w:val="bottom"/>
            <w:tcBorders>
              <w:bottom w:val="single" w:sz="8" w:color="CFF0FC"/>
            </w:tcBorders>
          </w:tcPr>
          <w:p>
            <w:pPr>
              <w:spacing w:after="0"/>
              <w:rPr>
                <w:sz w:val="20"/>
                <w:szCs w:val="20"/>
                <w:color w:val="auto"/>
              </w:rPr>
            </w:pPr>
          </w:p>
        </w:tc>
      </w:tr>
      <w:tr>
        <w:trPr>
          <w:trHeight w:val="237"/>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equity and liabilities</w:t>
            </w:r>
          </w:p>
        </w:tc>
        <w:tc>
          <w:tcPr>
            <w:tcW w:w="338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223,091,235</w:t>
            </w:r>
          </w:p>
        </w:tc>
        <w:tc>
          <w:tcPr>
            <w:tcW w:w="26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101,099,618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Unaudited condensed consolidated statements of changes in equity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2021 and September 30,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jc w:val="center"/>
              <w:ind w:right="128"/>
              <w:spacing w:after="0"/>
              <w:rPr>
                <w:sz w:val="20"/>
                <w:szCs w:val="20"/>
                <w:color w:val="auto"/>
              </w:rPr>
            </w:pPr>
            <w:r>
              <w:rPr>
                <w:rFonts w:ascii="Arial" w:cs="Arial" w:eastAsia="Arial" w:hAnsi="Arial"/>
                <w:sz w:val="14"/>
                <w:szCs w:val="14"/>
                <w:color w:val="auto"/>
                <w:w w:val="98"/>
              </w:rPr>
              <w:t>Currency</w:t>
            </w:r>
          </w:p>
        </w:tc>
        <w:tc>
          <w:tcPr>
            <w:tcW w:w="1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jc w:val="center"/>
              <w:ind w:right="128"/>
              <w:spacing w:after="0"/>
              <w:rPr>
                <w:sz w:val="20"/>
                <w:szCs w:val="20"/>
                <w:color w:val="auto"/>
              </w:rPr>
            </w:pPr>
            <w:r>
              <w:rPr>
                <w:rFonts w:ascii="Arial" w:cs="Arial" w:eastAsia="Arial" w:hAnsi="Arial"/>
                <w:sz w:val="14"/>
                <w:szCs w:val="14"/>
                <w:color w:val="auto"/>
                <w:w w:val="90"/>
              </w:rPr>
              <w:t>Share</w:t>
            </w:r>
          </w:p>
        </w:tc>
        <w:tc>
          <w:tcPr>
            <w:tcW w:w="1260" w:type="dxa"/>
            <w:vAlign w:val="bottom"/>
          </w:tcPr>
          <w:p>
            <w:pPr>
              <w:jc w:val="center"/>
              <w:ind w:right="208"/>
              <w:spacing w:after="0"/>
              <w:rPr>
                <w:sz w:val="20"/>
                <w:szCs w:val="20"/>
                <w:color w:val="auto"/>
              </w:rPr>
            </w:pPr>
            <w:r>
              <w:rPr>
                <w:rFonts w:ascii="Arial" w:cs="Arial" w:eastAsia="Arial" w:hAnsi="Arial"/>
                <w:sz w:val="14"/>
                <w:szCs w:val="14"/>
                <w:color w:val="auto"/>
                <w:w w:val="90"/>
              </w:rPr>
              <w:t>Share</w:t>
            </w:r>
          </w:p>
        </w:tc>
        <w:tc>
          <w:tcPr>
            <w:tcW w:w="1200" w:type="dxa"/>
            <w:vAlign w:val="bottom"/>
          </w:tcPr>
          <w:p>
            <w:pPr>
              <w:jc w:val="center"/>
              <w:ind w:right="188"/>
              <w:spacing w:after="0"/>
              <w:rPr>
                <w:sz w:val="20"/>
                <w:szCs w:val="20"/>
                <w:color w:val="auto"/>
              </w:rPr>
            </w:pPr>
            <w:r>
              <w:rPr>
                <w:rFonts w:ascii="Arial" w:cs="Arial" w:eastAsia="Arial" w:hAnsi="Arial"/>
                <w:sz w:val="14"/>
                <w:szCs w:val="14"/>
                <w:color w:val="auto"/>
                <w:w w:val="96"/>
              </w:rPr>
              <w:t>Other</w:t>
            </w:r>
          </w:p>
        </w:tc>
        <w:tc>
          <w:tcPr>
            <w:tcW w:w="1200" w:type="dxa"/>
            <w:vAlign w:val="bottom"/>
          </w:tcPr>
          <w:p>
            <w:pPr>
              <w:jc w:val="center"/>
              <w:ind w:right="128"/>
              <w:spacing w:after="0"/>
              <w:rPr>
                <w:sz w:val="20"/>
                <w:szCs w:val="20"/>
                <w:color w:val="auto"/>
              </w:rPr>
            </w:pPr>
            <w:r>
              <w:rPr>
                <w:rFonts w:ascii="Arial" w:cs="Arial" w:eastAsia="Arial" w:hAnsi="Arial"/>
                <w:sz w:val="14"/>
                <w:szCs w:val="14"/>
                <w:color w:val="auto"/>
                <w:w w:val="99"/>
              </w:rPr>
              <w:t>translation</w:t>
            </w:r>
          </w:p>
        </w:tc>
        <w:tc>
          <w:tcPr>
            <w:tcW w:w="1340" w:type="dxa"/>
            <w:vAlign w:val="bottom"/>
          </w:tcPr>
          <w:p>
            <w:pPr>
              <w:jc w:val="center"/>
              <w:ind w:right="188"/>
              <w:spacing w:after="0"/>
              <w:rPr>
                <w:sz w:val="20"/>
                <w:szCs w:val="20"/>
                <w:color w:val="auto"/>
              </w:rPr>
            </w:pPr>
            <w:r>
              <w:rPr>
                <w:rFonts w:ascii="Arial" w:cs="Arial" w:eastAsia="Arial" w:hAnsi="Arial"/>
                <w:sz w:val="14"/>
                <w:szCs w:val="14"/>
                <w:color w:val="auto"/>
                <w:w w:val="98"/>
              </w:rPr>
              <w:t>Accumulated</w:t>
            </w:r>
          </w:p>
        </w:tc>
        <w:tc>
          <w:tcPr>
            <w:tcW w:w="1100" w:type="dxa"/>
            <w:vAlign w:val="bottom"/>
          </w:tcPr>
          <w:p>
            <w:pPr>
              <w:jc w:val="center"/>
              <w:ind w:right="1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jc w:val="center"/>
              <w:ind w:right="148"/>
              <w:spacing w:after="0"/>
              <w:rPr>
                <w:sz w:val="20"/>
                <w:szCs w:val="20"/>
                <w:color w:val="auto"/>
              </w:rPr>
            </w:pPr>
            <w:r>
              <w:rPr>
                <w:rFonts w:ascii="Arial" w:cs="Arial" w:eastAsia="Arial" w:hAnsi="Arial"/>
                <w:sz w:val="14"/>
                <w:szCs w:val="14"/>
                <w:color w:val="auto"/>
                <w:w w:val="98"/>
              </w:rPr>
              <w:t>capital</w:t>
            </w:r>
          </w:p>
        </w:tc>
        <w:tc>
          <w:tcPr>
            <w:tcW w:w="1260" w:type="dxa"/>
            <w:vAlign w:val="bottom"/>
          </w:tcPr>
          <w:p>
            <w:pPr>
              <w:jc w:val="center"/>
              <w:ind w:right="208"/>
              <w:spacing w:after="0"/>
              <w:rPr>
                <w:sz w:val="20"/>
                <w:szCs w:val="20"/>
                <w:color w:val="auto"/>
              </w:rPr>
            </w:pPr>
            <w:r>
              <w:rPr>
                <w:rFonts w:ascii="Arial" w:cs="Arial" w:eastAsia="Arial" w:hAnsi="Arial"/>
                <w:sz w:val="14"/>
                <w:szCs w:val="14"/>
                <w:color w:val="auto"/>
                <w:w w:val="99"/>
              </w:rPr>
              <w:t>premium</w:t>
            </w:r>
          </w:p>
        </w:tc>
        <w:tc>
          <w:tcPr>
            <w:tcW w:w="1200" w:type="dxa"/>
            <w:vAlign w:val="bottom"/>
          </w:tcPr>
          <w:p>
            <w:pPr>
              <w:jc w:val="center"/>
              <w:ind w:right="188"/>
              <w:spacing w:after="0"/>
              <w:rPr>
                <w:sz w:val="20"/>
                <w:szCs w:val="20"/>
                <w:color w:val="auto"/>
              </w:rPr>
            </w:pPr>
            <w:r>
              <w:rPr>
                <w:rFonts w:ascii="Arial" w:cs="Arial" w:eastAsia="Arial" w:hAnsi="Arial"/>
                <w:sz w:val="14"/>
                <w:szCs w:val="14"/>
                <w:color w:val="auto"/>
                <w:w w:val="93"/>
              </w:rPr>
              <w:t>reserves</w:t>
            </w:r>
          </w:p>
        </w:tc>
        <w:tc>
          <w:tcPr>
            <w:tcW w:w="1200" w:type="dxa"/>
            <w:vAlign w:val="bottom"/>
          </w:tcPr>
          <w:p>
            <w:pPr>
              <w:jc w:val="center"/>
              <w:ind w:right="128"/>
              <w:spacing w:after="0"/>
              <w:rPr>
                <w:sz w:val="20"/>
                <w:szCs w:val="20"/>
                <w:color w:val="auto"/>
              </w:rPr>
            </w:pPr>
            <w:r>
              <w:rPr>
                <w:rFonts w:ascii="Arial" w:cs="Arial" w:eastAsia="Arial" w:hAnsi="Arial"/>
                <w:sz w:val="14"/>
                <w:szCs w:val="14"/>
                <w:color w:val="auto"/>
                <w:w w:val="94"/>
              </w:rPr>
              <w:t>reserve</w:t>
            </w:r>
          </w:p>
        </w:tc>
        <w:tc>
          <w:tcPr>
            <w:tcW w:w="1340" w:type="dxa"/>
            <w:vAlign w:val="bottom"/>
          </w:tcPr>
          <w:p>
            <w:pPr>
              <w:jc w:val="center"/>
              <w:ind w:right="188"/>
              <w:spacing w:after="0"/>
              <w:rPr>
                <w:sz w:val="20"/>
                <w:szCs w:val="20"/>
                <w:color w:val="auto"/>
              </w:rPr>
            </w:pPr>
            <w:r>
              <w:rPr>
                <w:rFonts w:ascii="Arial" w:cs="Arial" w:eastAsia="Arial" w:hAnsi="Arial"/>
                <w:sz w:val="14"/>
                <w:szCs w:val="14"/>
                <w:color w:val="auto"/>
                <w:w w:val="90"/>
              </w:rPr>
              <w:t>losses</w:t>
            </w:r>
          </w:p>
        </w:tc>
        <w:tc>
          <w:tcPr>
            <w:tcW w:w="1100" w:type="dxa"/>
            <w:vAlign w:val="bottom"/>
          </w:tcPr>
          <w:p>
            <w:pPr>
              <w:jc w:val="center"/>
              <w:ind w:right="10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Notes</w:t>
            </w:r>
          </w:p>
        </w:tc>
        <w:tc>
          <w:tcPr>
            <w:tcW w:w="1260" w:type="dxa"/>
            <w:vAlign w:val="bottom"/>
          </w:tcPr>
          <w:p>
            <w:pPr>
              <w:jc w:val="center"/>
              <w:ind w:right="1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center"/>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center"/>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center"/>
              <w:ind w:right="128"/>
              <w:spacing w:after="0"/>
              <w:rPr>
                <w:sz w:val="20"/>
                <w:szCs w:val="20"/>
                <w:color w:val="auto"/>
              </w:rPr>
            </w:pPr>
            <w:r>
              <w:rPr>
                <w:rFonts w:ascii="Arial" w:cs="Arial" w:eastAsia="Arial" w:hAnsi="Arial"/>
                <w:sz w:val="14"/>
                <w:szCs w:val="14"/>
                <w:color w:val="auto"/>
              </w:rPr>
              <w:t>€</w:t>
            </w:r>
          </w:p>
        </w:tc>
        <w:tc>
          <w:tcPr>
            <w:tcW w:w="1340" w:type="dxa"/>
            <w:vAlign w:val="bottom"/>
          </w:tcPr>
          <w:p>
            <w:pPr>
              <w:jc w:val="center"/>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Balance at January 1, 2020</w:t>
            </w:r>
          </w:p>
        </w:tc>
        <w:tc>
          <w:tcPr>
            <w:tcW w:w="10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rPr>
              <w:t>130,962</w:t>
            </w:r>
          </w:p>
        </w:tc>
        <w:tc>
          <w:tcPr>
            <w:tcW w:w="1260" w:type="dxa"/>
            <w:vAlign w:val="bottom"/>
            <w:tcBorders>
              <w:bottom w:val="single" w:sz="8" w:color="CFF0FC"/>
            </w:tcBorders>
            <w:shd w:val="clear" w:color="auto" w:fill="CFF0FC"/>
          </w:tcPr>
          <w:p>
            <w:pPr>
              <w:jc w:val="right"/>
              <w:ind w:right="188"/>
              <w:spacing w:after="0"/>
              <w:rPr>
                <w:sz w:val="20"/>
                <w:szCs w:val="20"/>
                <w:color w:val="auto"/>
              </w:rPr>
            </w:pPr>
            <w:r>
              <w:rPr>
                <w:rFonts w:ascii="Arial" w:cs="Arial" w:eastAsia="Arial" w:hAnsi="Arial"/>
                <w:sz w:val="14"/>
                <w:szCs w:val="14"/>
                <w:color w:val="auto"/>
              </w:rPr>
              <w:t>36,624,697</w:t>
            </w:r>
          </w:p>
        </w:tc>
        <w:tc>
          <w:tcPr>
            <w:tcW w:w="120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rPr>
              <w:t>392,139</w:t>
            </w:r>
          </w:p>
        </w:tc>
        <w:tc>
          <w:tcPr>
            <w:tcW w:w="120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FF0FC"/>
            </w:tcBorders>
            <w:shd w:val="clear" w:color="auto" w:fill="CFF0FC"/>
          </w:tcPr>
          <w:p>
            <w:pPr>
              <w:jc w:val="right"/>
              <w:ind w:right="148"/>
              <w:spacing w:after="0"/>
              <w:rPr>
                <w:sz w:val="20"/>
                <w:szCs w:val="20"/>
                <w:color w:val="auto"/>
              </w:rPr>
            </w:pPr>
            <w:r>
              <w:rPr>
                <w:rFonts w:ascii="Arial" w:cs="Arial" w:eastAsia="Arial" w:hAnsi="Arial"/>
                <w:sz w:val="14"/>
                <w:szCs w:val="14"/>
                <w:color w:val="auto"/>
              </w:rPr>
              <w:t>(18,474,250)</w:t>
            </w:r>
          </w:p>
        </w:tc>
        <w:tc>
          <w:tcPr>
            <w:tcW w:w="11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18,673,548</w:t>
            </w:r>
          </w:p>
        </w:tc>
        <w:tc>
          <w:tcPr>
            <w:tcW w:w="0" w:type="dxa"/>
            <w:vAlign w:val="bottom"/>
          </w:tcPr>
          <w:p>
            <w:pPr>
              <w:spacing w:after="0"/>
              <w:rPr>
                <w:sz w:val="1"/>
                <w:szCs w:val="1"/>
                <w:color w:val="auto"/>
              </w:rPr>
            </w:pPr>
          </w:p>
        </w:tc>
      </w:tr>
      <w:tr>
        <w:trPr>
          <w:trHeight w:val="218"/>
        </w:trPr>
        <w:tc>
          <w:tcPr>
            <w:tcW w:w="2860" w:type="dxa"/>
            <w:vAlign w:val="bottom"/>
          </w:tcPr>
          <w:p>
            <w:pPr>
              <w:spacing w:after="0"/>
              <w:rPr>
                <w:sz w:val="20"/>
                <w:szCs w:val="20"/>
                <w:color w:val="auto"/>
              </w:rPr>
            </w:pPr>
            <w:r>
              <w:rPr>
                <w:rFonts w:ascii="Arial" w:cs="Arial" w:eastAsia="Arial" w:hAnsi="Arial"/>
                <w:sz w:val="14"/>
                <w:szCs w:val="14"/>
                <w:color w:val="auto"/>
              </w:rPr>
              <w:t>Loss for the period</w:t>
            </w:r>
          </w:p>
        </w:tc>
        <w:tc>
          <w:tcPr>
            <w:tcW w:w="1020" w:type="dxa"/>
            <w:vAlign w:val="bottom"/>
          </w:tcPr>
          <w:p>
            <w:pPr>
              <w:spacing w:after="0"/>
              <w:rPr>
                <w:sz w:val="18"/>
                <w:szCs w:val="18"/>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(15,421,796)</w:t>
            </w:r>
          </w:p>
        </w:tc>
        <w:tc>
          <w:tcPr>
            <w:tcW w:w="1100" w:type="dxa"/>
            <w:vAlign w:val="bottom"/>
          </w:tcPr>
          <w:p>
            <w:pPr>
              <w:jc w:val="right"/>
              <w:spacing w:after="0"/>
              <w:rPr>
                <w:sz w:val="20"/>
                <w:szCs w:val="20"/>
                <w:color w:val="auto"/>
              </w:rPr>
            </w:pPr>
            <w:r>
              <w:rPr>
                <w:rFonts w:ascii="Arial" w:cs="Arial" w:eastAsia="Arial" w:hAnsi="Arial"/>
                <w:sz w:val="14"/>
                <w:szCs w:val="14"/>
                <w:color w:val="auto"/>
              </w:rPr>
              <w:t>(15,421,796)</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Increase in par value</w:t>
            </w:r>
          </w:p>
        </w:tc>
        <w:tc>
          <w:tcPr>
            <w:tcW w:w="10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FF0FC"/>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FF0FC"/>
            </w:tcBorders>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860" w:type="dxa"/>
            <w:vAlign w:val="bottom"/>
          </w:tcPr>
          <w:p>
            <w:pPr>
              <w:spacing w:after="0"/>
              <w:rPr>
                <w:sz w:val="20"/>
                <w:szCs w:val="20"/>
                <w:color w:val="auto"/>
              </w:rPr>
            </w:pPr>
            <w:r>
              <w:rPr>
                <w:rFonts w:ascii="Arial" w:cs="Arial" w:eastAsia="Arial" w:hAnsi="Arial"/>
                <w:sz w:val="14"/>
                <w:szCs w:val="14"/>
                <w:color w:val="auto"/>
              </w:rPr>
              <w:t>Issue of share capital</w:t>
            </w:r>
          </w:p>
        </w:tc>
        <w:tc>
          <w:tcPr>
            <w:tcW w:w="1020" w:type="dxa"/>
            <w:vAlign w:val="bottom"/>
          </w:tcPr>
          <w:p>
            <w:pPr>
              <w:jc w:val="right"/>
              <w:ind w:right="308"/>
              <w:spacing w:after="0"/>
              <w:rPr>
                <w:sz w:val="20"/>
                <w:szCs w:val="20"/>
                <w:color w:val="auto"/>
              </w:rPr>
            </w:pPr>
            <w:r>
              <w:rPr>
                <w:rFonts w:ascii="Arial" w:cs="Arial" w:eastAsia="Arial" w:hAnsi="Arial"/>
                <w:sz w:val="14"/>
                <w:szCs w:val="14"/>
                <w:color w:val="auto"/>
              </w:rPr>
              <w:t>13</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46,468</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34,986,290</w:t>
            </w: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35,032,758</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Transaction costs on issue of shares</w:t>
            </w:r>
          </w:p>
        </w:tc>
        <w:tc>
          <w:tcPr>
            <w:tcW w:w="10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rPr>
              <w:t>(786,477)</w:t>
            </w:r>
          </w:p>
        </w:tc>
        <w:tc>
          <w:tcPr>
            <w:tcW w:w="120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FF0FC"/>
            </w:tcBorders>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(786,477)</w:t>
            </w:r>
          </w:p>
        </w:tc>
        <w:tc>
          <w:tcPr>
            <w:tcW w:w="0" w:type="dxa"/>
            <w:vAlign w:val="bottom"/>
          </w:tcPr>
          <w:p>
            <w:pPr>
              <w:spacing w:after="0"/>
              <w:rPr>
                <w:sz w:val="1"/>
                <w:szCs w:val="1"/>
                <w:color w:val="auto"/>
              </w:rPr>
            </w:pPr>
          </w:p>
        </w:tc>
      </w:tr>
      <w:tr>
        <w:trPr>
          <w:trHeight w:val="217"/>
        </w:trPr>
        <w:tc>
          <w:tcPr>
            <w:tcW w:w="2860" w:type="dxa"/>
            <w:vAlign w:val="bottom"/>
          </w:tcPr>
          <w:p>
            <w:pPr>
              <w:spacing w:after="0"/>
              <w:rPr>
                <w:sz w:val="20"/>
                <w:szCs w:val="20"/>
                <w:color w:val="auto"/>
              </w:rPr>
            </w:pPr>
            <w:r>
              <w:rPr>
                <w:rFonts w:ascii="Arial" w:cs="Arial" w:eastAsia="Arial" w:hAnsi="Arial"/>
                <w:sz w:val="14"/>
                <w:szCs w:val="14"/>
                <w:color w:val="auto"/>
              </w:rPr>
              <w:t>Currency translation reserve</w:t>
            </w:r>
          </w:p>
        </w:tc>
        <w:tc>
          <w:tcPr>
            <w:tcW w:w="1020" w:type="dxa"/>
            <w:vAlign w:val="bottom"/>
          </w:tcPr>
          <w:p>
            <w:pPr>
              <w:spacing w:after="0"/>
              <w:rPr>
                <w:sz w:val="18"/>
                <w:szCs w:val="18"/>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361</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141,304</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141,665</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Shares issued upon exercise of options</w:t>
            </w:r>
          </w:p>
        </w:tc>
        <w:tc>
          <w:tcPr>
            <w:tcW w:w="1020" w:type="dxa"/>
            <w:vAlign w:val="bottom"/>
            <w:tcBorders>
              <w:bottom w:val="single" w:sz="8" w:color="CFF0FC"/>
            </w:tcBorders>
            <w:shd w:val="clear" w:color="auto" w:fill="CFF0FC"/>
          </w:tcPr>
          <w:p>
            <w:pPr>
              <w:jc w:val="right"/>
              <w:ind w:right="368"/>
              <w:spacing w:after="0"/>
              <w:rPr>
                <w:sz w:val="20"/>
                <w:szCs w:val="20"/>
                <w:color w:val="auto"/>
              </w:rPr>
            </w:pPr>
            <w:r>
              <w:rPr>
                <w:rFonts w:ascii="Arial" w:cs="Arial" w:eastAsia="Arial" w:hAnsi="Arial"/>
                <w:sz w:val="14"/>
                <w:szCs w:val="14"/>
                <w:color w:val="auto"/>
              </w:rPr>
              <w:t>18</w:t>
            </w:r>
          </w:p>
        </w:tc>
        <w:tc>
          <w:tcPr>
            <w:tcW w:w="126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FF0FC"/>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FF0FC"/>
            </w:tcBorders>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2860" w:type="dxa"/>
            <w:vAlign w:val="bottom"/>
          </w:tcPr>
          <w:p>
            <w:pPr>
              <w:spacing w:after="0"/>
              <w:rPr>
                <w:sz w:val="20"/>
                <w:szCs w:val="20"/>
                <w:color w:val="auto"/>
              </w:rPr>
            </w:pPr>
            <w:r>
              <w:rPr>
                <w:rFonts w:ascii="Arial" w:cs="Arial" w:eastAsia="Arial" w:hAnsi="Arial"/>
                <w:sz w:val="14"/>
                <w:szCs w:val="14"/>
                <w:color w:val="auto"/>
              </w:rPr>
              <w:t>Share-based payments</w:t>
            </w:r>
          </w:p>
        </w:tc>
        <w:tc>
          <w:tcPr>
            <w:tcW w:w="1020" w:type="dxa"/>
            <w:vAlign w:val="bottom"/>
          </w:tcPr>
          <w:p>
            <w:pPr>
              <w:jc w:val="right"/>
              <w:ind w:right="308"/>
              <w:spacing w:after="0"/>
              <w:rPr>
                <w:sz w:val="20"/>
                <w:szCs w:val="20"/>
                <w:color w:val="auto"/>
              </w:rPr>
            </w:pPr>
            <w:r>
              <w:rPr>
                <w:rFonts w:ascii="Arial" w:cs="Arial" w:eastAsia="Arial" w:hAnsi="Arial"/>
                <w:sz w:val="14"/>
                <w:szCs w:val="14"/>
                <w:color w:val="auto"/>
              </w:rPr>
              <w:t>18</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1,050,424</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1,050,424</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Balance at September 30, 2020</w:t>
            </w:r>
          </w:p>
        </w:tc>
        <w:tc>
          <w:tcPr>
            <w:tcW w:w="10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rPr>
              <w:t>177,430</w:t>
            </w:r>
          </w:p>
        </w:tc>
        <w:tc>
          <w:tcPr>
            <w:tcW w:w="1260" w:type="dxa"/>
            <w:vAlign w:val="bottom"/>
            <w:tcBorders>
              <w:bottom w:val="single" w:sz="8" w:color="CFF0FC"/>
            </w:tcBorders>
            <w:shd w:val="clear" w:color="auto" w:fill="CFF0FC"/>
          </w:tcPr>
          <w:p>
            <w:pPr>
              <w:jc w:val="right"/>
              <w:ind w:right="188"/>
              <w:spacing w:after="0"/>
              <w:rPr>
                <w:sz w:val="20"/>
                <w:szCs w:val="20"/>
                <w:color w:val="auto"/>
              </w:rPr>
            </w:pPr>
            <w:r>
              <w:rPr>
                <w:rFonts w:ascii="Arial" w:cs="Arial" w:eastAsia="Arial" w:hAnsi="Arial"/>
                <w:sz w:val="14"/>
                <w:szCs w:val="14"/>
                <w:color w:val="auto"/>
              </w:rPr>
              <w:t>70,824,510</w:t>
            </w:r>
          </w:p>
        </w:tc>
        <w:tc>
          <w:tcPr>
            <w:tcW w:w="120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rPr>
              <w:t>1,442,563</w:t>
            </w:r>
          </w:p>
        </w:tc>
        <w:tc>
          <w:tcPr>
            <w:tcW w:w="120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rPr>
              <w:t>361</w:t>
            </w:r>
          </w:p>
        </w:tc>
        <w:tc>
          <w:tcPr>
            <w:tcW w:w="1340" w:type="dxa"/>
            <w:vAlign w:val="bottom"/>
            <w:tcBorders>
              <w:bottom w:val="single" w:sz="8" w:color="CFF0FC"/>
            </w:tcBorders>
            <w:shd w:val="clear" w:color="auto" w:fill="CFF0FC"/>
          </w:tcPr>
          <w:p>
            <w:pPr>
              <w:jc w:val="right"/>
              <w:ind w:right="148"/>
              <w:spacing w:after="0"/>
              <w:rPr>
                <w:sz w:val="20"/>
                <w:szCs w:val="20"/>
                <w:color w:val="auto"/>
              </w:rPr>
            </w:pPr>
            <w:r>
              <w:rPr>
                <w:rFonts w:ascii="Arial" w:cs="Arial" w:eastAsia="Arial" w:hAnsi="Arial"/>
                <w:sz w:val="14"/>
                <w:szCs w:val="14"/>
                <w:color w:val="auto"/>
              </w:rPr>
              <w:t>(33,754,742)</w:t>
            </w:r>
          </w:p>
        </w:tc>
        <w:tc>
          <w:tcPr>
            <w:tcW w:w="11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38,690,122</w:t>
            </w:r>
          </w:p>
        </w:tc>
        <w:tc>
          <w:tcPr>
            <w:tcW w:w="0" w:type="dxa"/>
            <w:vAlign w:val="bottom"/>
          </w:tcPr>
          <w:p>
            <w:pPr>
              <w:spacing w:after="0"/>
              <w:rPr>
                <w:sz w:val="1"/>
                <w:szCs w:val="1"/>
                <w:color w:val="auto"/>
              </w:rPr>
            </w:pPr>
          </w:p>
        </w:tc>
      </w:tr>
      <w:tr>
        <w:trPr>
          <w:trHeight w:val="217"/>
        </w:trPr>
        <w:tc>
          <w:tcPr>
            <w:tcW w:w="2860" w:type="dxa"/>
            <w:vAlign w:val="bottom"/>
          </w:tcPr>
          <w:p>
            <w:pPr>
              <w:spacing w:after="0"/>
              <w:rPr>
                <w:sz w:val="20"/>
                <w:szCs w:val="20"/>
                <w:color w:val="auto"/>
              </w:rPr>
            </w:pPr>
            <w:r>
              <w:rPr>
                <w:rFonts w:ascii="Arial" w:cs="Arial" w:eastAsia="Arial" w:hAnsi="Arial"/>
                <w:sz w:val="14"/>
                <w:szCs w:val="14"/>
                <w:b w:val="1"/>
                <w:bCs w:val="1"/>
                <w:color w:val="auto"/>
              </w:rPr>
              <w:t>Balance at January 1, 2021</w:t>
            </w:r>
          </w:p>
        </w:tc>
        <w:tc>
          <w:tcPr>
            <w:tcW w:w="1020" w:type="dxa"/>
            <w:vAlign w:val="bottom"/>
          </w:tcPr>
          <w:p>
            <w:pPr>
              <w:spacing w:after="0"/>
              <w:rPr>
                <w:sz w:val="18"/>
                <w:szCs w:val="18"/>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235,693</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138,034,580</w:t>
            </w: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1,979,875</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(4,365)</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(44,459,954)</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95,785,829</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Loss for the period</w:t>
            </w:r>
          </w:p>
        </w:tc>
        <w:tc>
          <w:tcPr>
            <w:tcW w:w="10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FF0FC"/>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FF0FC"/>
            </w:tcBorders>
            <w:shd w:val="clear" w:color="auto" w:fill="CFF0FC"/>
          </w:tcPr>
          <w:p>
            <w:pPr>
              <w:jc w:val="right"/>
              <w:ind w:right="148"/>
              <w:spacing w:after="0"/>
              <w:rPr>
                <w:sz w:val="20"/>
                <w:szCs w:val="20"/>
                <w:color w:val="auto"/>
              </w:rPr>
            </w:pPr>
            <w:r>
              <w:rPr>
                <w:rFonts w:ascii="Arial" w:cs="Arial" w:eastAsia="Arial" w:hAnsi="Arial"/>
                <w:sz w:val="14"/>
                <w:szCs w:val="14"/>
                <w:color w:val="auto"/>
              </w:rPr>
              <w:t>(30,386,648)</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(30,386,648)</w:t>
            </w:r>
          </w:p>
        </w:tc>
        <w:tc>
          <w:tcPr>
            <w:tcW w:w="0" w:type="dxa"/>
            <w:vAlign w:val="bottom"/>
          </w:tcPr>
          <w:p>
            <w:pPr>
              <w:spacing w:after="0"/>
              <w:rPr>
                <w:sz w:val="1"/>
                <w:szCs w:val="1"/>
                <w:color w:val="auto"/>
              </w:rPr>
            </w:pPr>
          </w:p>
        </w:tc>
      </w:tr>
      <w:tr>
        <w:trPr>
          <w:trHeight w:val="218"/>
        </w:trPr>
        <w:tc>
          <w:tcPr>
            <w:tcW w:w="2860" w:type="dxa"/>
            <w:vAlign w:val="bottom"/>
          </w:tcPr>
          <w:p>
            <w:pPr>
              <w:spacing w:after="0"/>
              <w:rPr>
                <w:sz w:val="20"/>
                <w:szCs w:val="20"/>
                <w:color w:val="auto"/>
              </w:rPr>
            </w:pPr>
            <w:r>
              <w:rPr>
                <w:rFonts w:ascii="Arial" w:cs="Arial" w:eastAsia="Arial" w:hAnsi="Arial"/>
                <w:sz w:val="14"/>
                <w:szCs w:val="14"/>
                <w:color w:val="auto"/>
              </w:rPr>
              <w:t>Increase in par value</w:t>
            </w:r>
          </w:p>
        </w:tc>
        <w:tc>
          <w:tcPr>
            <w:tcW w:w="1020" w:type="dxa"/>
            <w:vAlign w:val="bottom"/>
          </w:tcPr>
          <w:p>
            <w:pPr>
              <w:spacing w:after="0"/>
              <w:rPr>
                <w:sz w:val="18"/>
                <w:szCs w:val="18"/>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2,592,621</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(2,592,621)</w:t>
            </w: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Issue of share capital</w:t>
            </w:r>
          </w:p>
        </w:tc>
        <w:tc>
          <w:tcPr>
            <w:tcW w:w="1020" w:type="dxa"/>
            <w:vAlign w:val="bottom"/>
            <w:tcBorders>
              <w:bottom w:val="single" w:sz="8" w:color="CFF0FC"/>
            </w:tcBorders>
            <w:shd w:val="clear" w:color="auto" w:fill="CFF0FC"/>
          </w:tcPr>
          <w:p>
            <w:pPr>
              <w:jc w:val="right"/>
              <w:ind w:right="308"/>
              <w:spacing w:after="0"/>
              <w:rPr>
                <w:sz w:val="20"/>
                <w:szCs w:val="20"/>
                <w:color w:val="auto"/>
              </w:rPr>
            </w:pPr>
            <w:r>
              <w:rPr>
                <w:rFonts w:ascii="Arial" w:cs="Arial" w:eastAsia="Arial" w:hAnsi="Arial"/>
                <w:sz w:val="14"/>
                <w:szCs w:val="14"/>
                <w:color w:val="auto"/>
              </w:rPr>
              <w:t>13</w:t>
            </w:r>
          </w:p>
        </w:tc>
        <w:tc>
          <w:tcPr>
            <w:tcW w:w="126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rPr>
              <w:t>1,141,329</w:t>
            </w:r>
          </w:p>
        </w:tc>
        <w:tc>
          <w:tcPr>
            <w:tcW w:w="1260" w:type="dxa"/>
            <w:vAlign w:val="bottom"/>
            <w:tcBorders>
              <w:bottom w:val="single" w:sz="8" w:color="CFF0FC"/>
            </w:tcBorders>
            <w:shd w:val="clear" w:color="auto" w:fill="CFF0FC"/>
          </w:tcPr>
          <w:p>
            <w:pPr>
              <w:jc w:val="right"/>
              <w:ind w:right="188"/>
              <w:spacing w:after="0"/>
              <w:rPr>
                <w:sz w:val="20"/>
                <w:szCs w:val="20"/>
                <w:color w:val="auto"/>
              </w:rPr>
            </w:pPr>
            <w:r>
              <w:rPr>
                <w:rFonts w:ascii="Arial" w:cs="Arial" w:eastAsia="Arial" w:hAnsi="Arial"/>
                <w:sz w:val="14"/>
                <w:szCs w:val="14"/>
                <w:color w:val="auto"/>
              </w:rPr>
              <w:t>156,014,570</w:t>
            </w:r>
          </w:p>
        </w:tc>
        <w:tc>
          <w:tcPr>
            <w:tcW w:w="120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FF0FC"/>
            </w:tcBorders>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157,155,899</w:t>
            </w:r>
          </w:p>
        </w:tc>
        <w:tc>
          <w:tcPr>
            <w:tcW w:w="0" w:type="dxa"/>
            <w:vAlign w:val="bottom"/>
          </w:tcPr>
          <w:p>
            <w:pPr>
              <w:spacing w:after="0"/>
              <w:rPr>
                <w:sz w:val="1"/>
                <w:szCs w:val="1"/>
                <w:color w:val="auto"/>
              </w:rPr>
            </w:pPr>
          </w:p>
        </w:tc>
      </w:tr>
      <w:tr>
        <w:trPr>
          <w:trHeight w:val="218"/>
        </w:trPr>
        <w:tc>
          <w:tcPr>
            <w:tcW w:w="2860" w:type="dxa"/>
            <w:vAlign w:val="bottom"/>
          </w:tcPr>
          <w:p>
            <w:pPr>
              <w:spacing w:after="0"/>
              <w:rPr>
                <w:sz w:val="20"/>
                <w:szCs w:val="20"/>
                <w:color w:val="auto"/>
              </w:rPr>
            </w:pPr>
            <w:r>
              <w:rPr>
                <w:rFonts w:ascii="Arial" w:cs="Arial" w:eastAsia="Arial" w:hAnsi="Arial"/>
                <w:sz w:val="14"/>
                <w:szCs w:val="14"/>
                <w:color w:val="auto"/>
              </w:rPr>
              <w:t>Transaction costs on issue of shares</w:t>
            </w:r>
          </w:p>
        </w:tc>
        <w:tc>
          <w:tcPr>
            <w:tcW w:w="1020" w:type="dxa"/>
            <w:vAlign w:val="bottom"/>
          </w:tcPr>
          <w:p>
            <w:pPr>
              <w:spacing w:after="0"/>
              <w:rPr>
                <w:sz w:val="18"/>
                <w:szCs w:val="18"/>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(13,154,360)</w:t>
            </w: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(13,154,360)</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Currency translation reserve</w:t>
            </w:r>
          </w:p>
        </w:tc>
        <w:tc>
          <w:tcPr>
            <w:tcW w:w="10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FF0FC"/>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rPr>
              <w:t>2,920</w:t>
            </w:r>
          </w:p>
        </w:tc>
        <w:tc>
          <w:tcPr>
            <w:tcW w:w="1340" w:type="dxa"/>
            <w:vAlign w:val="bottom"/>
            <w:tcBorders>
              <w:bottom w:val="single" w:sz="8" w:color="CFF0FC"/>
            </w:tcBorders>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2,920</w:t>
            </w:r>
          </w:p>
        </w:tc>
        <w:tc>
          <w:tcPr>
            <w:tcW w:w="0" w:type="dxa"/>
            <w:vAlign w:val="bottom"/>
          </w:tcPr>
          <w:p>
            <w:pPr>
              <w:spacing w:after="0"/>
              <w:rPr>
                <w:sz w:val="1"/>
                <w:szCs w:val="1"/>
                <w:color w:val="auto"/>
              </w:rPr>
            </w:pPr>
          </w:p>
        </w:tc>
      </w:tr>
      <w:tr>
        <w:trPr>
          <w:trHeight w:val="218"/>
        </w:trPr>
        <w:tc>
          <w:tcPr>
            <w:tcW w:w="2860" w:type="dxa"/>
            <w:vAlign w:val="bottom"/>
          </w:tcPr>
          <w:p>
            <w:pPr>
              <w:spacing w:after="0"/>
              <w:rPr>
                <w:sz w:val="20"/>
                <w:szCs w:val="20"/>
                <w:color w:val="auto"/>
              </w:rPr>
            </w:pPr>
            <w:r>
              <w:rPr>
                <w:rFonts w:ascii="Arial" w:cs="Arial" w:eastAsia="Arial" w:hAnsi="Arial"/>
                <w:sz w:val="14"/>
                <w:szCs w:val="14"/>
                <w:color w:val="auto"/>
              </w:rPr>
              <w:t>Shares issued upon exercise of options or</w:t>
            </w:r>
          </w:p>
        </w:tc>
        <w:tc>
          <w:tcPr>
            <w:tcW w:w="1020" w:type="dxa"/>
            <w:vAlign w:val="bottom"/>
            <w:vMerge w:val="restart"/>
          </w:tcPr>
          <w:p>
            <w:pPr>
              <w:jc w:val="right"/>
              <w:ind w:right="368"/>
              <w:spacing w:after="0"/>
              <w:rPr>
                <w:sz w:val="20"/>
                <w:szCs w:val="20"/>
                <w:color w:val="auto"/>
              </w:rPr>
            </w:pPr>
            <w:r>
              <w:rPr>
                <w:rFonts w:ascii="Arial" w:cs="Arial" w:eastAsia="Arial" w:hAnsi="Arial"/>
                <w:sz w:val="14"/>
                <w:szCs w:val="14"/>
                <w:color w:val="auto"/>
              </w:rPr>
              <w:t>18</w:t>
            </w: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860" w:type="dxa"/>
            <w:vAlign w:val="bottom"/>
            <w:vMerge w:val="restart"/>
          </w:tcPr>
          <w:p>
            <w:pPr>
              <w:spacing w:after="0"/>
              <w:rPr>
                <w:sz w:val="20"/>
                <w:szCs w:val="20"/>
                <w:color w:val="auto"/>
              </w:rPr>
            </w:pPr>
            <w:r>
              <w:rPr>
                <w:rFonts w:ascii="Arial" w:cs="Arial" w:eastAsia="Arial" w:hAnsi="Arial"/>
                <w:sz w:val="14"/>
                <w:szCs w:val="14"/>
                <w:color w:val="auto"/>
              </w:rPr>
              <w:t>RSU's</w:t>
            </w:r>
          </w:p>
        </w:tc>
        <w:tc>
          <w:tcPr>
            <w:tcW w:w="1020" w:type="dxa"/>
            <w:vAlign w:val="bottom"/>
            <w:vMerge w:val="continue"/>
          </w:tcPr>
          <w:p>
            <w:pPr>
              <w:spacing w:after="0"/>
              <w:rPr>
                <w:sz w:val="9"/>
                <w:szCs w:val="9"/>
                <w:color w:val="auto"/>
              </w:rPr>
            </w:pPr>
          </w:p>
        </w:tc>
        <w:tc>
          <w:tcPr>
            <w:tcW w:w="1260" w:type="dxa"/>
            <w:vAlign w:val="bottom"/>
            <w:vMerge w:val="restart"/>
          </w:tcPr>
          <w:p>
            <w:pPr>
              <w:jc w:val="right"/>
              <w:ind w:right="168"/>
              <w:spacing w:after="0"/>
              <w:rPr>
                <w:sz w:val="20"/>
                <w:szCs w:val="20"/>
                <w:color w:val="auto"/>
              </w:rPr>
            </w:pPr>
            <w:r>
              <w:rPr>
                <w:rFonts w:ascii="Arial" w:cs="Arial" w:eastAsia="Arial" w:hAnsi="Arial"/>
                <w:sz w:val="14"/>
                <w:szCs w:val="14"/>
                <w:color w:val="auto"/>
              </w:rPr>
              <w:t>5,789</w:t>
            </w:r>
          </w:p>
        </w:tc>
        <w:tc>
          <w:tcPr>
            <w:tcW w:w="1260" w:type="dxa"/>
            <w:vAlign w:val="bottom"/>
            <w:vMerge w:val="restart"/>
          </w:tcPr>
          <w:p>
            <w:pPr>
              <w:jc w:val="right"/>
              <w:ind w:right="188"/>
              <w:spacing w:after="0"/>
              <w:rPr>
                <w:sz w:val="20"/>
                <w:szCs w:val="20"/>
                <w:color w:val="auto"/>
              </w:rPr>
            </w:pPr>
            <w:r>
              <w:rPr>
                <w:rFonts w:ascii="Arial" w:cs="Arial" w:eastAsia="Arial" w:hAnsi="Arial"/>
                <w:sz w:val="14"/>
                <w:szCs w:val="14"/>
                <w:color w:val="auto"/>
              </w:rPr>
              <w:t>133,360</w:t>
            </w: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color w:val="auto"/>
              </w:rPr>
              <w:t>(91,681)</w:t>
            </w:r>
          </w:p>
        </w:tc>
        <w:tc>
          <w:tcPr>
            <w:tcW w:w="12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148"/>
              <w:spacing w:after="0"/>
              <w:rPr>
                <w:sz w:val="20"/>
                <w:szCs w:val="20"/>
                <w:color w:val="auto"/>
              </w:rPr>
            </w:pPr>
            <w:r>
              <w:rPr>
                <w:rFonts w:ascii="Arial" w:cs="Arial" w:eastAsia="Arial" w:hAnsi="Arial"/>
                <w:sz w:val="14"/>
                <w:szCs w:val="14"/>
                <w:color w:val="auto"/>
              </w:rPr>
              <w:t>(231,803)</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(184,335)</w:t>
            </w:r>
          </w:p>
        </w:tc>
        <w:tc>
          <w:tcPr>
            <w:tcW w:w="0" w:type="dxa"/>
            <w:vAlign w:val="bottom"/>
          </w:tcPr>
          <w:p>
            <w:pPr>
              <w:spacing w:after="0"/>
              <w:rPr>
                <w:sz w:val="1"/>
                <w:szCs w:val="1"/>
                <w:color w:val="auto"/>
              </w:rPr>
            </w:pPr>
          </w:p>
        </w:tc>
      </w:tr>
      <w:tr>
        <w:trPr>
          <w:trHeight w:val="121"/>
        </w:trPr>
        <w:tc>
          <w:tcPr>
            <w:tcW w:w="286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Share-based payments</w:t>
            </w:r>
          </w:p>
        </w:tc>
        <w:tc>
          <w:tcPr>
            <w:tcW w:w="1020" w:type="dxa"/>
            <w:vAlign w:val="bottom"/>
            <w:tcBorders>
              <w:bottom w:val="single" w:sz="8" w:color="CFF0FC"/>
            </w:tcBorders>
            <w:shd w:val="clear" w:color="auto" w:fill="CFF0FC"/>
          </w:tcPr>
          <w:p>
            <w:pPr>
              <w:jc w:val="right"/>
              <w:ind w:right="308"/>
              <w:spacing w:after="0"/>
              <w:rPr>
                <w:sz w:val="20"/>
                <w:szCs w:val="20"/>
                <w:color w:val="auto"/>
              </w:rPr>
            </w:pPr>
            <w:r>
              <w:rPr>
                <w:rFonts w:ascii="Arial" w:cs="Arial" w:eastAsia="Arial" w:hAnsi="Arial"/>
                <w:sz w:val="14"/>
                <w:szCs w:val="14"/>
                <w:color w:val="auto"/>
              </w:rPr>
              <w:t>18</w:t>
            </w:r>
          </w:p>
        </w:tc>
        <w:tc>
          <w:tcPr>
            <w:tcW w:w="126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FF0FC"/>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rPr>
              <w:t>6,207,308</w:t>
            </w:r>
          </w:p>
        </w:tc>
        <w:tc>
          <w:tcPr>
            <w:tcW w:w="120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FF0FC"/>
            </w:tcBorders>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6,207,308</w:t>
            </w:r>
          </w:p>
        </w:tc>
        <w:tc>
          <w:tcPr>
            <w:tcW w:w="0" w:type="dxa"/>
            <w:vAlign w:val="bottom"/>
          </w:tcPr>
          <w:p>
            <w:pPr>
              <w:spacing w:after="0"/>
              <w:rPr>
                <w:sz w:val="1"/>
                <w:szCs w:val="1"/>
                <w:color w:val="auto"/>
              </w:rPr>
            </w:pPr>
          </w:p>
        </w:tc>
      </w:tr>
      <w:tr>
        <w:trPr>
          <w:trHeight w:val="218"/>
        </w:trPr>
        <w:tc>
          <w:tcPr>
            <w:tcW w:w="2860" w:type="dxa"/>
            <w:vAlign w:val="bottom"/>
          </w:tcPr>
          <w:p>
            <w:pPr>
              <w:spacing w:after="0"/>
              <w:rPr>
                <w:sz w:val="20"/>
                <w:szCs w:val="20"/>
                <w:color w:val="auto"/>
              </w:rPr>
            </w:pPr>
            <w:r>
              <w:rPr>
                <w:rFonts w:ascii="Arial" w:cs="Arial" w:eastAsia="Arial" w:hAnsi="Arial"/>
                <w:sz w:val="14"/>
                <w:szCs w:val="14"/>
                <w:b w:val="1"/>
                <w:bCs w:val="1"/>
                <w:color w:val="auto"/>
              </w:rPr>
              <w:t>Balance at September 30, 2021</w:t>
            </w:r>
          </w:p>
        </w:tc>
        <w:tc>
          <w:tcPr>
            <w:tcW w:w="1020" w:type="dxa"/>
            <w:vAlign w:val="bottom"/>
          </w:tcPr>
          <w:p>
            <w:pPr>
              <w:spacing w:after="0"/>
              <w:rPr>
                <w:sz w:val="18"/>
                <w:szCs w:val="18"/>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3,975,432</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278,435,529</w:t>
            </w: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8,095,502</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(1,445)</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(75,078,405)</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215,426,613</w:t>
            </w:r>
          </w:p>
        </w:tc>
        <w:tc>
          <w:tcPr>
            <w:tcW w:w="0" w:type="dxa"/>
            <w:vAlign w:val="bottom"/>
          </w:tcPr>
          <w:p>
            <w:pPr>
              <w:spacing w:after="0"/>
              <w:rPr>
                <w:sz w:val="1"/>
                <w:szCs w:val="1"/>
                <w:color w:val="auto"/>
              </w:rPr>
            </w:pPr>
          </w:p>
        </w:tc>
      </w:tr>
    </w:tbl>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Unaudited condensed consolidated statements of cash flows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9"/>
              </w:rPr>
              <w:t>Notes</w:t>
            </w: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3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Loss before tax</w:t>
            </w:r>
          </w:p>
        </w:tc>
        <w:tc>
          <w:tcPr>
            <w:tcW w:w="134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(30,299,824)</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(15,421,796)</w:t>
            </w: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Non-cash adjustments to reconcile loss before tax to net cash flows from operations:</w:t>
            </w:r>
          </w:p>
        </w:tc>
        <w:tc>
          <w:tcPr>
            <w:tcW w:w="13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Share-based payment expense</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380" w:type="dxa"/>
            <w:vAlign w:val="bottom"/>
          </w:tcPr>
          <w:p>
            <w:pPr>
              <w:jc w:val="right"/>
              <w:spacing w:after="0"/>
              <w:rPr>
                <w:sz w:val="20"/>
                <w:szCs w:val="20"/>
                <w:color w:val="auto"/>
              </w:rPr>
            </w:pPr>
            <w:r>
              <w:rPr>
                <w:rFonts w:ascii="Arial" w:cs="Arial" w:eastAsia="Arial" w:hAnsi="Arial"/>
                <w:sz w:val="18"/>
                <w:szCs w:val="18"/>
                <w:color w:val="auto"/>
              </w:rPr>
              <w:t>6,207,308</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1,050,424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134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9"/>
              </w:rPr>
              <w:t>4</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44,003</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Net foreign exchange (gain)/loss</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9"/>
              </w:rPr>
              <w:t>6</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(7,837,250)</w:t>
            </w:r>
          </w:p>
        </w:tc>
        <w:tc>
          <w:tcPr>
            <w:tcW w:w="1400" w:type="dxa"/>
            <w:vAlign w:val="bottom"/>
          </w:tcPr>
          <w:p>
            <w:pPr>
              <w:jc w:val="right"/>
              <w:spacing w:after="0"/>
              <w:rPr>
                <w:sz w:val="20"/>
                <w:szCs w:val="20"/>
                <w:color w:val="auto"/>
              </w:rPr>
            </w:pPr>
            <w:r>
              <w:rPr>
                <w:rFonts w:ascii="Arial" w:cs="Arial" w:eastAsia="Arial" w:hAnsi="Arial"/>
                <w:sz w:val="18"/>
                <w:szCs w:val="18"/>
                <w:color w:val="auto"/>
              </w:rPr>
              <w:t>141,665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Finance costs</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6</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238,351</w:t>
            </w:r>
          </w:p>
        </w:tc>
        <w:tc>
          <w:tcPr>
            <w:tcW w:w="2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Changes in working capital:</w:t>
            </w:r>
          </w:p>
        </w:tc>
        <w:tc>
          <w:tcPr>
            <w:tcW w:w="13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Decrease/(Increase) in receivables</w:t>
            </w:r>
          </w:p>
        </w:tc>
        <w:tc>
          <w:tcPr>
            <w:tcW w:w="134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(62,789)</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(803,630)</w:t>
            </w: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Increase in other current assets</w:t>
            </w:r>
          </w:p>
        </w:tc>
        <w:tc>
          <w:tcPr>
            <w:tcW w:w="13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(3,067,974)</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Increase in trade and other payables</w:t>
            </w:r>
          </w:p>
        </w:tc>
        <w:tc>
          <w:tcPr>
            <w:tcW w:w="1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2,723,748</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2,301,823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Increase in accrued liabilities</w:t>
            </w:r>
          </w:p>
        </w:tc>
        <w:tc>
          <w:tcPr>
            <w:tcW w:w="13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163,657</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Paid interest</w:t>
            </w:r>
          </w:p>
        </w:tc>
        <w:tc>
          <w:tcPr>
            <w:tcW w:w="134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(177,640)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Taxes paid</w:t>
            </w:r>
          </w:p>
        </w:tc>
        <w:tc>
          <w:tcPr>
            <w:tcW w:w="13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(28,157)</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13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7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(32,096,567)</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(12,588,520)</w:t>
            </w:r>
          </w:p>
        </w:tc>
        <w:tc>
          <w:tcPr>
            <w:tcW w:w="0" w:type="dxa"/>
            <w:vAlign w:val="bottom"/>
          </w:tcPr>
          <w:p>
            <w:pPr>
              <w:spacing w:after="0"/>
              <w:rPr>
                <w:sz w:val="1"/>
                <w:szCs w:val="1"/>
                <w:color w:val="auto"/>
              </w:rPr>
            </w:pPr>
          </w:p>
        </w:tc>
      </w:tr>
      <w:tr>
        <w:trPr>
          <w:trHeight w:val="224"/>
        </w:trPr>
        <w:tc>
          <w:tcPr>
            <w:tcW w:w="67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plant and equipment</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8</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(61,494)</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(35,657)</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13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7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(61,494)</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(35,657)</w:t>
            </w:r>
          </w:p>
        </w:tc>
        <w:tc>
          <w:tcPr>
            <w:tcW w:w="0" w:type="dxa"/>
            <w:vAlign w:val="bottom"/>
          </w:tcPr>
          <w:p>
            <w:pPr>
              <w:spacing w:after="0"/>
              <w:rPr>
                <w:sz w:val="1"/>
                <w:szCs w:val="1"/>
                <w:color w:val="auto"/>
              </w:rPr>
            </w:pPr>
          </w:p>
        </w:tc>
      </w:tr>
      <w:tr>
        <w:trPr>
          <w:trHeight w:val="223"/>
        </w:trPr>
        <w:tc>
          <w:tcPr>
            <w:tcW w:w="67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issue of shares</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13</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157,236,819</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35,032,758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Transaction costs on issue of shares</w:t>
            </w:r>
          </w:p>
        </w:tc>
        <w:tc>
          <w:tcPr>
            <w:tcW w:w="134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(12,925,547)</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(786,477)</w:t>
            </w: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Payment of lease liabilities</w:t>
            </w:r>
          </w:p>
        </w:tc>
        <w:tc>
          <w:tcPr>
            <w:tcW w:w="134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(20,575)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1340" w:type="dxa"/>
            <w:vAlign w:val="bottom"/>
            <w:tcBorders>
              <w:top w:val="single" w:sz="8" w:color="CFF0FC"/>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144,290,697</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34,246,281</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3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112,132,636</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21,622,104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98,628,871</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20,326,372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w:t>
            </w:r>
          </w:p>
        </w:tc>
        <w:tc>
          <w:tcPr>
            <w:tcW w:w="13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7,834,271</w:t>
            </w:r>
          </w:p>
        </w:tc>
        <w:tc>
          <w:tcPr>
            <w:tcW w:w="2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218,595,778</w:t>
            </w:r>
          </w:p>
        </w:tc>
        <w:tc>
          <w:tcPr>
            <w:tcW w:w="260" w:type="dxa"/>
            <w:vAlign w:val="bottom"/>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41,948,476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Notes to the unaudited condensed consolidated interim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1</w:t>
      </w:r>
      <w:r>
        <w:rPr>
          <w:rFonts w:ascii="Arial" w:cs="Arial" w:eastAsia="Arial" w:hAnsi="Arial"/>
          <w:sz w:val="21"/>
          <w:szCs w:val="21"/>
          <w:b w:val="1"/>
          <w:bCs w:val="1"/>
          <w:color w:val="auto"/>
        </w:rPr>
        <w:t>. Corporate and Group information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This section provides general corporate and group information about Pharvaris N.V. (formerly Pharvaris B.V.) and its subsidiaries.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Corporate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Pharvaris N.V. was incorporated on September 30, 2015 and is based in Leiden, the Netherlands.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address of its registered office is J.H. Oortweg 21, Leiden. It has been registered at the Chamber of Commerce under file number 64239411.</w:t>
      </w:r>
    </w:p>
    <w:p>
      <w:pPr>
        <w:spacing w:after="0" w:line="19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Pharvaris is a clinical-stage biopharmaceutical company focused on the development and commercialization of innovative therapies for rare diseases with significant unmet need, initially focused on angioedema and other bradykinin-mediated diseases.</w:t>
      </w:r>
    </w:p>
    <w:p>
      <w:pPr>
        <w:spacing w:after="0" w:line="14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unaudited condensed consolidated interim financial statements of Pharvaris N.V. (the “Company” or “Pharvaris”) and its subsidiaries (collectively, “The Group”) as at September 30, 2021 and December 31, 2020, and for the three and nine months ended September 30, 2021 and 2020 were authorised for issue in accordance with a resolution of the directors on November 10,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Group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consolidated interim financial statements of the Group include: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20" w:type="dxa"/>
            <w:vAlign w:val="bottom"/>
            <w:gridSpan w:val="5"/>
          </w:tcPr>
          <w:p>
            <w:pPr>
              <w:jc w:val="center"/>
              <w:ind w:right="120"/>
              <w:spacing w:after="0"/>
              <w:rPr>
                <w:sz w:val="20"/>
                <w:szCs w:val="20"/>
                <w:color w:val="auto"/>
              </w:rPr>
            </w:pPr>
            <w:r>
              <w:rPr>
                <w:rFonts w:ascii="Arial" w:cs="Arial" w:eastAsia="Arial" w:hAnsi="Arial"/>
                <w:sz w:val="18"/>
                <w:szCs w:val="18"/>
                <w:color w:val="auto"/>
                <w:w w:val="94"/>
              </w:rPr>
              <w:t>% of equity interest as</w:t>
            </w:r>
          </w:p>
        </w:tc>
      </w:tr>
      <w:tr>
        <w:trPr>
          <w:trHeight w:val="230"/>
        </w:trPr>
        <w:tc>
          <w:tcPr>
            <w:tcW w:w="3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Country of</w:t>
            </w:r>
          </w:p>
        </w:tc>
        <w:tc>
          <w:tcPr>
            <w:tcW w:w="1080" w:type="dxa"/>
            <w:vAlign w:val="bottom"/>
          </w:tcPr>
          <w:p>
            <w:pPr>
              <w:spacing w:after="0"/>
              <w:rPr>
                <w:sz w:val="20"/>
                <w:szCs w:val="20"/>
                <w:color w:val="auto"/>
              </w:rPr>
            </w:pPr>
          </w:p>
        </w:tc>
        <w:tc>
          <w:tcPr>
            <w:tcW w:w="2440" w:type="dxa"/>
            <w:vAlign w:val="bottom"/>
            <w:gridSpan w:val="4"/>
          </w:tcPr>
          <w:p>
            <w:pPr>
              <w:jc w:val="center"/>
              <w:ind w:right="1200"/>
              <w:spacing w:after="0"/>
              <w:rPr>
                <w:sz w:val="20"/>
                <w:szCs w:val="20"/>
                <w:color w:val="auto"/>
              </w:rPr>
            </w:pPr>
            <w:r>
              <w:rPr>
                <w:rFonts w:ascii="Arial" w:cs="Arial" w:eastAsia="Arial" w:hAnsi="Arial"/>
                <w:sz w:val="18"/>
                <w:szCs w:val="18"/>
                <w:color w:val="auto"/>
                <w:w w:val="91"/>
              </w:rPr>
              <w:t>September 30,</w:t>
            </w:r>
          </w:p>
        </w:tc>
      </w:tr>
      <w:tr>
        <w:trPr>
          <w:trHeight w:val="237"/>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80" w:type="dxa"/>
            <w:vAlign w:val="bottom"/>
            <w:tcBorders>
              <w:bottom w:val="single" w:sz="8" w:color="CFF0FC"/>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Legal seat</w:t>
            </w:r>
          </w:p>
        </w:tc>
        <w:tc>
          <w:tcPr>
            <w:tcW w:w="180" w:type="dxa"/>
            <w:vAlign w:val="bottom"/>
            <w:tcBorders>
              <w:bottom w:val="single" w:sz="8" w:color="CFF0FC"/>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incorporation</w:t>
            </w:r>
          </w:p>
        </w:tc>
        <w:tc>
          <w:tcPr>
            <w:tcW w:w="180" w:type="dxa"/>
            <w:vAlign w:val="bottom"/>
            <w:tcBorders>
              <w:bottom w:val="single" w:sz="8" w:color="CFF0FC"/>
            </w:tcBorders>
          </w:tcPr>
          <w:p>
            <w:pPr>
              <w:spacing w:after="0"/>
              <w:rPr>
                <w:sz w:val="20"/>
                <w:szCs w:val="20"/>
                <w:color w:val="auto"/>
              </w:rPr>
            </w:pPr>
          </w:p>
        </w:tc>
        <w:tc>
          <w:tcPr>
            <w:tcW w:w="1080" w:type="dxa"/>
            <w:vAlign w:val="bottom"/>
            <w:tcBorders>
              <w:top w:val="single" w:sz="8" w:color="auto"/>
              <w:bottom w:val="single" w:sz="8" w:color="auto"/>
            </w:tcBorders>
          </w:tcPr>
          <w:p>
            <w:pPr>
              <w:jc w:val="center"/>
              <w:ind w:left="370"/>
              <w:spacing w:after="0"/>
              <w:rPr>
                <w:sz w:val="20"/>
                <w:szCs w:val="20"/>
                <w:color w:val="auto"/>
              </w:rPr>
            </w:pPr>
            <w:r>
              <w:rPr>
                <w:rFonts w:ascii="Arial" w:cs="Arial" w:eastAsia="Arial" w:hAnsi="Arial"/>
                <w:sz w:val="18"/>
                <w:szCs w:val="18"/>
                <w:color w:val="auto"/>
                <w:w w:val="94"/>
              </w:rPr>
              <w:t>2021</w:t>
            </w:r>
          </w:p>
        </w:tc>
        <w:tc>
          <w:tcPr>
            <w:tcW w:w="4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CFF0FC"/>
            </w:tcBorders>
          </w:tcPr>
          <w:p>
            <w:pPr>
              <w:spacing w:after="0"/>
              <w:rPr>
                <w:sz w:val="20"/>
                <w:szCs w:val="20"/>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FF0FC"/>
            </w:tcBorders>
          </w:tcPr>
          <w:p>
            <w:pPr>
              <w:spacing w:after="0"/>
              <w:rPr>
                <w:sz w:val="20"/>
                <w:szCs w:val="20"/>
                <w:color w:val="auto"/>
              </w:rPr>
            </w:pPr>
          </w:p>
        </w:tc>
      </w:tr>
      <w:tr>
        <w:trPr>
          <w:trHeight w:val="237"/>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Pharvaris Holdings B.V.</w:t>
            </w:r>
          </w:p>
        </w:tc>
        <w:tc>
          <w:tcPr>
            <w:tcW w:w="204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Leiden</w:t>
            </w: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 Netherlands</w:t>
            </w:r>
          </w:p>
        </w:tc>
        <w:tc>
          <w:tcPr>
            <w:tcW w:w="1080" w:type="dxa"/>
            <w:vAlign w:val="bottom"/>
            <w:shd w:val="clear" w:color="auto" w:fill="CFF0FC"/>
          </w:tcPr>
          <w:p>
            <w:pPr>
              <w:jc w:val="center"/>
              <w:ind w:left="370"/>
              <w:spacing w:after="0"/>
              <w:rPr>
                <w:sz w:val="20"/>
                <w:szCs w:val="20"/>
                <w:color w:val="auto"/>
              </w:rPr>
            </w:pPr>
            <w:r>
              <w:rPr>
                <w:rFonts w:ascii="Arial" w:cs="Arial" w:eastAsia="Arial" w:hAnsi="Arial"/>
                <w:sz w:val="18"/>
                <w:szCs w:val="18"/>
                <w:color w:val="auto"/>
                <w:w w:val="91"/>
              </w:rPr>
              <w:t>100%</w:t>
            </w:r>
          </w:p>
        </w:tc>
        <w:tc>
          <w:tcPr>
            <w:tcW w:w="2340" w:type="dxa"/>
            <w:vAlign w:val="bottom"/>
            <w:gridSpan w:val="3"/>
            <w:shd w:val="clear" w:color="auto" w:fill="CFF0FC"/>
          </w:tcPr>
          <w:p>
            <w:pPr>
              <w:jc w:val="center"/>
              <w:ind w:left="650"/>
              <w:spacing w:after="0"/>
              <w:rPr>
                <w:sz w:val="20"/>
                <w:szCs w:val="20"/>
                <w:color w:val="auto"/>
              </w:rPr>
            </w:pPr>
            <w:r>
              <w:rPr>
                <w:rFonts w:ascii="Arial" w:cs="Arial" w:eastAsia="Arial" w:hAnsi="Arial"/>
                <w:sz w:val="18"/>
                <w:szCs w:val="18"/>
                <w:color w:val="auto"/>
                <w:w w:val="95"/>
              </w:rPr>
              <w:t>100%</w:t>
            </w:r>
          </w:p>
        </w:tc>
        <w:tc>
          <w:tcPr>
            <w:tcW w:w="100" w:type="dxa"/>
            <w:vAlign w:val="bottom"/>
            <w:shd w:val="clear" w:color="auto" w:fill="CFF0FC"/>
          </w:tcPr>
          <w:p>
            <w:pPr>
              <w:spacing w:after="0"/>
              <w:rPr>
                <w:sz w:val="20"/>
                <w:szCs w:val="20"/>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Pharvaris Netherlands B.V.</w:t>
            </w:r>
          </w:p>
        </w:tc>
        <w:tc>
          <w:tcPr>
            <w:tcW w:w="2040" w:type="dxa"/>
            <w:vAlign w:val="bottom"/>
            <w:gridSpan w:val="3"/>
          </w:tcPr>
          <w:p>
            <w:pPr>
              <w:ind w:left="180"/>
              <w:spacing w:after="0"/>
              <w:rPr>
                <w:sz w:val="20"/>
                <w:szCs w:val="20"/>
                <w:color w:val="auto"/>
              </w:rPr>
            </w:pPr>
            <w:r>
              <w:rPr>
                <w:rFonts w:ascii="Arial" w:cs="Arial" w:eastAsia="Arial" w:hAnsi="Arial"/>
                <w:sz w:val="18"/>
                <w:szCs w:val="18"/>
                <w:color w:val="auto"/>
              </w:rPr>
              <w:t>Leiden</w:t>
            </w:r>
          </w:p>
        </w:tc>
        <w:tc>
          <w:tcPr>
            <w:tcW w:w="2600" w:type="dxa"/>
            <w:vAlign w:val="bottom"/>
            <w:gridSpan w:val="2"/>
          </w:tcPr>
          <w:p>
            <w:pPr>
              <w:spacing w:after="0"/>
              <w:rPr>
                <w:sz w:val="20"/>
                <w:szCs w:val="20"/>
                <w:color w:val="auto"/>
              </w:rPr>
            </w:pPr>
            <w:r>
              <w:rPr>
                <w:rFonts w:ascii="Arial" w:cs="Arial" w:eastAsia="Arial" w:hAnsi="Arial"/>
                <w:sz w:val="18"/>
                <w:szCs w:val="18"/>
                <w:color w:val="auto"/>
              </w:rPr>
              <w:t>The Netherlands</w:t>
            </w:r>
          </w:p>
        </w:tc>
        <w:tc>
          <w:tcPr>
            <w:tcW w:w="1080" w:type="dxa"/>
            <w:vAlign w:val="bottom"/>
          </w:tcPr>
          <w:p>
            <w:pPr>
              <w:jc w:val="center"/>
              <w:ind w:left="370"/>
              <w:spacing w:after="0"/>
              <w:rPr>
                <w:sz w:val="20"/>
                <w:szCs w:val="20"/>
                <w:color w:val="auto"/>
              </w:rPr>
            </w:pPr>
            <w:r>
              <w:rPr>
                <w:rFonts w:ascii="Arial" w:cs="Arial" w:eastAsia="Arial" w:hAnsi="Arial"/>
                <w:sz w:val="18"/>
                <w:szCs w:val="18"/>
                <w:color w:val="auto"/>
                <w:w w:val="91"/>
              </w:rPr>
              <w:t>100%</w:t>
            </w:r>
          </w:p>
        </w:tc>
        <w:tc>
          <w:tcPr>
            <w:tcW w:w="2340" w:type="dxa"/>
            <w:vAlign w:val="bottom"/>
            <w:gridSpan w:val="3"/>
          </w:tcPr>
          <w:p>
            <w:pPr>
              <w:jc w:val="center"/>
              <w:ind w:left="650"/>
              <w:spacing w:after="0"/>
              <w:rPr>
                <w:sz w:val="20"/>
                <w:szCs w:val="20"/>
                <w:color w:val="auto"/>
              </w:rPr>
            </w:pPr>
            <w:r>
              <w:rPr>
                <w:rFonts w:ascii="Arial" w:cs="Arial" w:eastAsia="Arial" w:hAnsi="Arial"/>
                <w:sz w:val="18"/>
                <w:szCs w:val="18"/>
                <w:color w:val="auto"/>
                <w:w w:val="95"/>
              </w:rPr>
              <w:t>100%</w:t>
            </w:r>
          </w:p>
        </w:tc>
        <w:tc>
          <w:tcPr>
            <w:tcW w:w="100" w:type="dxa"/>
            <w:vAlign w:val="bottom"/>
          </w:tcPr>
          <w:p>
            <w:pPr>
              <w:spacing w:after="0"/>
              <w:rPr>
                <w:sz w:val="21"/>
                <w:szCs w:val="21"/>
                <w:color w:val="auto"/>
              </w:rPr>
            </w:pPr>
          </w:p>
        </w:tc>
      </w:tr>
      <w:tr>
        <w:trPr>
          <w:trHeight w:val="243"/>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Pharvaris GmbH</w:t>
            </w:r>
          </w:p>
        </w:tc>
        <w:tc>
          <w:tcPr>
            <w:tcW w:w="204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Zug</w:t>
            </w: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Switzerland</w:t>
            </w:r>
          </w:p>
        </w:tc>
        <w:tc>
          <w:tcPr>
            <w:tcW w:w="1080" w:type="dxa"/>
            <w:vAlign w:val="bottom"/>
            <w:shd w:val="clear" w:color="auto" w:fill="CFF0FC"/>
          </w:tcPr>
          <w:p>
            <w:pPr>
              <w:jc w:val="center"/>
              <w:ind w:left="370"/>
              <w:spacing w:after="0"/>
              <w:rPr>
                <w:sz w:val="20"/>
                <w:szCs w:val="20"/>
                <w:color w:val="auto"/>
              </w:rPr>
            </w:pPr>
            <w:r>
              <w:rPr>
                <w:rFonts w:ascii="Arial" w:cs="Arial" w:eastAsia="Arial" w:hAnsi="Arial"/>
                <w:sz w:val="18"/>
                <w:szCs w:val="18"/>
                <w:color w:val="auto"/>
                <w:w w:val="91"/>
              </w:rPr>
              <w:t>100%</w:t>
            </w:r>
          </w:p>
        </w:tc>
        <w:tc>
          <w:tcPr>
            <w:tcW w:w="2340" w:type="dxa"/>
            <w:vAlign w:val="bottom"/>
            <w:gridSpan w:val="3"/>
            <w:shd w:val="clear" w:color="auto" w:fill="CFF0FC"/>
          </w:tcPr>
          <w:p>
            <w:pPr>
              <w:jc w:val="center"/>
              <w:ind w:left="650"/>
              <w:spacing w:after="0"/>
              <w:rPr>
                <w:sz w:val="20"/>
                <w:szCs w:val="20"/>
                <w:color w:val="auto"/>
              </w:rPr>
            </w:pPr>
            <w:r>
              <w:rPr>
                <w:rFonts w:ascii="Arial" w:cs="Arial" w:eastAsia="Arial" w:hAnsi="Arial"/>
                <w:sz w:val="18"/>
                <w:szCs w:val="18"/>
                <w:color w:val="auto"/>
                <w:w w:val="95"/>
              </w:rPr>
              <w:t>100%</w:t>
            </w:r>
          </w:p>
        </w:tc>
        <w:tc>
          <w:tcPr>
            <w:tcW w:w="100" w:type="dxa"/>
            <w:vAlign w:val="bottom"/>
            <w:shd w:val="clear" w:color="auto" w:fill="CFF0FC"/>
          </w:tcPr>
          <w:p>
            <w:pPr>
              <w:spacing w:after="0"/>
              <w:rPr>
                <w:sz w:val="21"/>
                <w:szCs w:val="21"/>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Pharvaris, Inc.</w:t>
            </w:r>
          </w:p>
        </w:tc>
        <w:tc>
          <w:tcPr>
            <w:tcW w:w="204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1080" w:type="dxa"/>
            <w:vAlign w:val="bottom"/>
          </w:tcPr>
          <w:p>
            <w:pPr>
              <w:jc w:val="center"/>
              <w:ind w:left="370"/>
              <w:spacing w:after="0"/>
              <w:rPr>
                <w:sz w:val="20"/>
                <w:szCs w:val="20"/>
                <w:color w:val="auto"/>
              </w:rPr>
            </w:pPr>
            <w:r>
              <w:rPr>
                <w:rFonts w:ascii="Arial" w:cs="Arial" w:eastAsia="Arial" w:hAnsi="Arial"/>
                <w:sz w:val="18"/>
                <w:szCs w:val="18"/>
                <w:color w:val="auto"/>
                <w:w w:val="91"/>
              </w:rPr>
              <w:t>100%</w:t>
            </w:r>
          </w:p>
        </w:tc>
        <w:tc>
          <w:tcPr>
            <w:tcW w:w="2340" w:type="dxa"/>
            <w:vAlign w:val="bottom"/>
            <w:gridSpan w:val="3"/>
          </w:tcPr>
          <w:p>
            <w:pPr>
              <w:jc w:val="center"/>
              <w:ind w:left="650"/>
              <w:spacing w:after="0"/>
              <w:rPr>
                <w:sz w:val="20"/>
                <w:szCs w:val="20"/>
                <w:color w:val="auto"/>
              </w:rPr>
            </w:pPr>
            <w:r>
              <w:rPr>
                <w:rFonts w:ascii="Arial" w:cs="Arial" w:eastAsia="Arial" w:hAnsi="Arial"/>
                <w:sz w:val="18"/>
                <w:szCs w:val="18"/>
                <w:color w:val="auto"/>
                <w:w w:val="95"/>
              </w:rPr>
              <w:t>100%</w:t>
            </w:r>
          </w:p>
        </w:tc>
        <w:tc>
          <w:tcPr>
            <w:tcW w:w="100" w:type="dxa"/>
            <w:vAlign w:val="bottom"/>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ultimate parent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ultimate parent company of the Group is Pharvaris N.V., which is based in the Netherlands.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developments during the period</w:t>
      </w:r>
    </w:p>
    <w:p>
      <w:pPr>
        <w:spacing w:after="0" w:line="22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On July 10, 2021, the Company presented clinical data supporting the multiple-dose safety and pharmacokinetic (PK) profile of PHA121 (PHA-022121) for the treatment of hereditary angioedema (HAE) at the European Academy of Allergy and Clinical Immunology (EAACI) Annual Congress 2021.</w:t>
      </w:r>
    </w:p>
    <w:p>
      <w:pPr>
        <w:spacing w:after="0" w:line="179" w:lineRule="exact"/>
        <w:rPr>
          <w:sz w:val="20"/>
          <w:szCs w:val="20"/>
          <w:color w:val="auto"/>
        </w:rPr>
      </w:pPr>
    </w:p>
    <w:p>
      <w:pPr>
        <w:ind w:right="80" w:firstLine="319"/>
        <w:spacing w:after="0" w:line="261" w:lineRule="auto"/>
        <w:rPr>
          <w:sz w:val="20"/>
          <w:szCs w:val="20"/>
          <w:color w:val="auto"/>
        </w:rPr>
      </w:pPr>
      <w:r>
        <w:rPr>
          <w:rFonts w:ascii="Arial" w:cs="Arial" w:eastAsia="Arial" w:hAnsi="Arial"/>
          <w:sz w:val="17"/>
          <w:szCs w:val="17"/>
          <w:color w:val="auto"/>
        </w:rPr>
        <w:t>With Dr. Souverijns joining as Chief Community Engagement and Commercial Officer to engage with patient advocacy groups, clinicians, and payers, per July 1, 2021, the Company further strengthened capabilities in Community Engagement and Commercialization, as well as CMC, Clinical, and organizational development.</w:t>
      </w:r>
    </w:p>
    <w:p>
      <w:pPr>
        <w:spacing w:after="0" w:line="216" w:lineRule="exact"/>
        <w:rPr>
          <w:sz w:val="20"/>
          <w:szCs w:val="20"/>
          <w:color w:val="auto"/>
        </w:rPr>
      </w:pPr>
    </w:p>
    <w:p>
      <w:pPr>
        <w:ind w:right="80" w:firstLine="319"/>
        <w:spacing w:after="0" w:line="308" w:lineRule="auto"/>
        <w:rPr>
          <w:sz w:val="20"/>
          <w:szCs w:val="20"/>
          <w:color w:val="auto"/>
        </w:rPr>
      </w:pPr>
      <w:r>
        <w:rPr>
          <w:rFonts w:ascii="Arial" w:cs="Arial" w:eastAsia="Arial" w:hAnsi="Arial"/>
          <w:sz w:val="17"/>
          <w:szCs w:val="17"/>
          <w:color w:val="auto"/>
        </w:rPr>
        <w:t>On April 21, 2021, the Company announced that an Investigational new Drug (IND) was in effect in the US for prophylactic treatment of HAE using PHVS416. Patient recruitment has begun and the study is expanding to Canada, Europe, Israel, and the UK.</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unaudited condensed consolidated interim financial statements of the Group have been prepared in accordance with International Financial Reporting Standards (IFRS) as issued by the International Accounting Standards Board (IASB).</w:t>
      </w:r>
    </w:p>
    <w:p>
      <w:pPr>
        <w:spacing w:after="0" w:line="13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unaudited condensed consolidated interim financial statements have been prepared in accordance with IAS 34 Interim Financial Reporting and should be read in conjunction with the Group’s annual consolidated financial statements for the year ended December 31, 2020 (“last annual financial statements”). These unaudited condensed consolidated interim financial statements do not include all the information required for a complete set financial statements prepared in accordance with IFRS as issued by the IASB. However, selected explanatory notes are included to explain events and transactions that are significant to an understanding of the changes in the Group’s financial position and performance since the last annual financial statements.</w:t>
      </w:r>
    </w:p>
    <w:p>
      <w:pPr>
        <w:spacing w:after="0" w:line="15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unaudited condensed consolidated interim financial statements have been prepared on a historical cost basis. Unless otherwise stated, the unaudited condensed consolidated interim financial statements are presented in euros and all values are rounded to the nearest EUR (€), except per share amounts.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Going concern</w:t>
      </w:r>
    </w:p>
    <w:p>
      <w:pPr>
        <w:spacing w:after="0" w:line="18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Pharvaris is a clinical-stage biopharmaceutical company focused on the development and commercialization of innovative therapies for rare diseases with significant unmet need, initially focused on angioedema and other bradykinin-mediated diseases. These therapies will need to go through clinical development trials to achieve regulatory approval for commercialization. Therefore, Pharvaris is incurring annual research and development and other operating costs and has no revenues to date (as is typical in the biotech industry for development stage and early commercial stage companies). As such, Pharvaris anticipates on-going negative operating cash flows for several years before the company has a product candidate ready for commercialization, if proven successful. This makes the Group dependent on external capital sources, debt capital and equity capital. The Group is currently fully financed by equity capital.</w:t>
      </w:r>
    </w:p>
    <w:p>
      <w:pPr>
        <w:spacing w:after="0" w:line="15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of September 30, 2021 and December 31, 2020 the Group had cash of €218.6 million and €98.6 million, respectively. The Group incurred net losses of €30.4 million in the nine months ended September 30, 2021 and €15.4 million in the same period in 2020 and negative operating cash flows of €32.1 million and €12.6 million in the nine months ended September 30, 2021 and the nine months ended September 30, 2020 respectively.</w:t>
      </w:r>
    </w:p>
    <w:p>
      <w:pPr>
        <w:spacing w:after="0" w:line="13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Group does not expect positive operating cash flows in the foreseeable future and remains dependent on additional financings to fund its research and development expenses, general and administrative expenses and financing costs. However, the Group believes that the available cash balances are sufficient to execute the Group’s operating plan and strategies and to meet the anticipated working capital requirements and settle all expected liabilities for a period of at least twelve months after the signing date of these unaudited condensed consolidated interim financial statements. Accordingly, unaudited condensed consolidated interim financial statements have been prepared on a going concern basis.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23" w:lineRule="exact"/>
        <w:rPr>
          <w:sz w:val="20"/>
          <w:szCs w:val="20"/>
          <w:color w:val="auto"/>
        </w:rPr>
      </w:pPr>
    </w:p>
    <w:p>
      <w:pPr>
        <w:jc w:val="both"/>
        <w:ind w:right="620"/>
        <w:spacing w:after="0" w:line="255" w:lineRule="auto"/>
        <w:rPr>
          <w:sz w:val="20"/>
          <w:szCs w:val="20"/>
          <w:color w:val="auto"/>
        </w:rPr>
      </w:pPr>
      <w:r>
        <w:rPr>
          <w:rFonts w:ascii="Arial" w:cs="Arial" w:eastAsia="Arial" w:hAnsi="Arial"/>
          <w:sz w:val="18"/>
          <w:szCs w:val="18"/>
          <w:color w:val="auto"/>
        </w:rPr>
        <w:t>The outbreak of a novel strain of the coronavirus, specifically identified as “COVID-19”, has spread globally. COVID-19 is a virus causing potentially deadly respiratory tract infections and has impacted the global economy. In March 2020, the World Health Organization declared COVID-19 a pandemic.</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Group has taken appropriate measures to protect the safety of the employees and continuously monitors and evaluates the situation regarding COVID-19. The COVID-19 outbreak has delayed, and may continue to delay, enrollment in our clinical trials. The Group previously experienced an approximate two-month delay in starting the enrollment of our now completed Phase 1 multiple ascending dose study of PHA121 in healthy volunteers as a result of COVID-19.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29" w:name="page30"/>
    <w:bookmarkEnd w:id="29"/>
    <w:p>
      <w:pPr>
        <w:spacing w:after="0" w:line="255" w:lineRule="auto"/>
        <w:rPr>
          <w:sz w:val="20"/>
          <w:szCs w:val="20"/>
          <w:color w:val="auto"/>
        </w:rPr>
      </w:pPr>
      <w:r>
        <w:rPr>
          <w:rFonts w:ascii="Arial" w:cs="Arial" w:eastAsia="Arial" w:hAnsi="Arial"/>
          <w:sz w:val="18"/>
          <w:szCs w:val="18"/>
          <w:color w:val="auto"/>
        </w:rPr>
        <w:t>The spread of an infectious disease, including COVID-19, may also result in the inability of our suppliers to deliver components or raw materials, and the inability of our CDMOs to provide supplies of our product candidates for our planned clinical trials, on a timely basis or at all. Further, it may impact the ability of our CROs, including non-clinical CROs, to provide services to support our clinical program. The extent to which the COVID-19 pandemic impacts our business will depend on future developments, which are uncertain and cannot be predicted, including new information which may emerge concerning the severity of the COVID-19 pandemic and the actions to contain COVID-19 or treat its impact, among others. If we are unable to meet our milestones it might jeopardize our funding opportunities.</w:t>
      </w:r>
    </w:p>
    <w:p>
      <w:pPr>
        <w:spacing w:after="0" w:line="16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addition, the COVID-19 pandemic has already caused, and is likely to result in further, significant disruptions and uncertainties in global financial markets, which may reduce our ability to access capital on favorable terms or at all. A recession, depression or other sustained adverse market event resulting from the spread of COVID-19 could also materially and adversely affect our business and the value of our ordinary shares.</w:t>
      </w:r>
    </w:p>
    <w:p>
      <w:pPr>
        <w:spacing w:after="0" w:line="1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Group continuously monitors the situation regarding COVID-19, and the possible impact on the CROs, contract manufacturing organizations and clinical sites performing research and development activities for the Group. All efforts are made to develop alternatives to limit the impact of COVID-19 going forward.</w:t>
      </w:r>
    </w:p>
    <w:p>
      <w:pPr>
        <w:spacing w:after="0" w:line="14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ultimate impact of the COVID-19 pandemic is uncertain and subject to change. Management does not expect that COVID-19 will have a material adverse effect on the financial condition or liquidity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Use of judgements and estimates</w:t>
      </w:r>
    </w:p>
    <w:p>
      <w:pPr>
        <w:spacing w:after="0" w:line="18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preparing these unaudited condensed consolidated interim financial statements, management has made judgements and estimates that affect the application of accounting policies and the reported amounts of assets and liabilities, income, and expense. Actual results may differ from these estimates.</w:t>
      </w:r>
    </w:p>
    <w:p>
      <w:pPr>
        <w:spacing w:after="0" w:line="14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significant judgements made by management in applying the Group’s accounting policies and the key sources of estimation uncertainty were the same as those described in the last annual financial statements, except for the share options granted, refer to note 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Change in significant accounting policies</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accounting policies applied in these unaudited condensed consolidated interim financial statements are the same as those applied in the consolidated financial statements for the year ended December 31, 2020, except for: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IFRS 16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Lease policies and disclosure are related to leases entered into in the second quarter of 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All leases are accounted for by recognizing a right-of-use asset and a lease liability except for:</w:t>
      </w:r>
    </w:p>
    <w:p>
      <w:pPr>
        <w:spacing w:after="0" w:line="23" w:lineRule="exact"/>
        <w:rPr>
          <w:sz w:val="20"/>
          <w:szCs w:val="20"/>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leases of low value assets; and</w:t>
      </w:r>
    </w:p>
    <w:p>
      <w:pPr>
        <w:spacing w:after="0" w:line="35"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leases with a duration of 12 months or less.</w:t>
      </w:r>
    </w:p>
    <w:p>
      <w:pPr>
        <w:spacing w:after="0" w:line="266"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Lease liabilities are measured at the present value of the contractual payments due to the lessor over the lease term, with the Group’s incremental borrowing rate on commencement of the lease used.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initial recognition, the carrying value of the lease liability also includes:</w:t>
      </w:r>
    </w:p>
    <w:p>
      <w:pPr>
        <w:spacing w:after="0" w:line="23" w:lineRule="exact"/>
        <w:rPr>
          <w:sz w:val="20"/>
          <w:szCs w:val="20"/>
          <w:color w:val="auto"/>
        </w:rPr>
      </w:pPr>
    </w:p>
    <w:p>
      <w:pPr>
        <w:ind w:left="960" w:right="380" w:hanging="318"/>
        <w:spacing w:after="0" w:line="260"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penalties payable for terminating the lease, if the term of the lease has been estimated on the basis of termination option being exercised.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Right of use assets are initially measured at the amount of the lease liability, reduced for any lease incentives received, and increased for:</w:t>
      </w:r>
    </w:p>
    <w:p>
      <w:pPr>
        <w:spacing w:after="0" w:line="23" w:lineRule="exact"/>
        <w:rPr>
          <w:sz w:val="20"/>
          <w:szCs w:val="20"/>
          <w:color w:val="auto"/>
        </w:rPr>
      </w:pPr>
    </w:p>
    <w:p>
      <w:pPr>
        <w:ind w:left="960" w:hanging="318"/>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lease payments made at or before commencement of the lease;</w:t>
      </w:r>
    </w:p>
    <w:p>
      <w:pPr>
        <w:spacing w:after="0" w:line="35" w:lineRule="exact"/>
        <w:rPr>
          <w:rFonts w:ascii="Arial" w:cs="Arial" w:eastAsia="Arial" w:hAnsi="Arial"/>
          <w:sz w:val="18"/>
          <w:szCs w:val="18"/>
          <w:color w:val="auto"/>
        </w:rPr>
      </w:pPr>
    </w:p>
    <w:p>
      <w:pPr>
        <w:ind w:left="960" w:hanging="318"/>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initial direct costs incurred; and</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638" w:right="399" w:bottom="1440" w:gutter="0" w:footer="0" w:header="0"/>
        </w:sectPr>
      </w:pPr>
    </w:p>
    <w:bookmarkStart w:id="30" w:name="page31"/>
    <w:bookmarkEnd w:id="30"/>
    <w:p>
      <w:pPr>
        <w:ind w:left="960" w:hanging="318"/>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amount of any provision recognized where the Group is contractually required to dismantle, remove or restore the leased asset.</w:t>
      </w:r>
    </w:p>
    <w:p>
      <w:pPr>
        <w:spacing w:after="0" w:line="277" w:lineRule="exact"/>
        <w:rPr>
          <w:sz w:val="20"/>
          <w:szCs w:val="20"/>
          <w:color w:val="auto"/>
        </w:rPr>
      </w:pPr>
    </w:p>
    <w:p>
      <w:pPr>
        <w:ind w:right="540"/>
        <w:spacing w:after="0" w:line="324" w:lineRule="auto"/>
        <w:rPr>
          <w:sz w:val="20"/>
          <w:szCs w:val="20"/>
          <w:color w:val="auto"/>
        </w:rPr>
      </w:pPr>
      <w:r>
        <w:rPr>
          <w:rFonts w:ascii="Arial" w:cs="Arial" w:eastAsia="Arial" w:hAnsi="Arial"/>
          <w:sz w:val="17"/>
          <w:szCs w:val="17"/>
          <w:color w:val="auto"/>
        </w:rPr>
        <w:t>Subsequent to initial measurement lease liabilities increase as a result of interest charged at a constant rate on the balance outstanding and are reduced for lease payments made. Right-of-use assets are amortised on a straight-line basis over the remaining term of the lease.</w:t>
      </w:r>
    </w:p>
    <w:p>
      <w:pPr>
        <w:spacing w:after="0" w:line="161"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color w:val="auto"/>
        </w:rPr>
        <w:t>When the Group revises its estimate of the term of any lease, it adjusts the carrying amount of the lease liability to reflect the payments to make over the revised term, which are discounted using a revised discount rate.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3. Research and development expenses</w:t>
            </w:r>
          </w:p>
        </w:tc>
        <w:tc>
          <w:tcPr>
            <w:tcW w:w="10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3"/>
        </w:trPr>
        <w:tc>
          <w:tcPr>
            <w:tcW w:w="4120" w:type="dxa"/>
            <w:vAlign w:val="bottom"/>
          </w:tcPr>
          <w:p>
            <w:pPr>
              <w:spacing w:after="0"/>
              <w:rPr>
                <w:sz w:val="24"/>
                <w:szCs w:val="24"/>
                <w:color w:val="auto"/>
              </w:rPr>
            </w:pPr>
          </w:p>
        </w:tc>
        <w:tc>
          <w:tcPr>
            <w:tcW w:w="4180" w:type="dxa"/>
            <w:vAlign w:val="bottom"/>
            <w:gridSpan w:val="6"/>
          </w:tcPr>
          <w:p>
            <w:pPr>
              <w:ind w:left="1040"/>
              <w:spacing w:after="0"/>
              <w:rPr>
                <w:sz w:val="20"/>
                <w:szCs w:val="20"/>
                <w:color w:val="auto"/>
              </w:rPr>
            </w:pPr>
            <w:r>
              <w:rPr>
                <w:rFonts w:ascii="Arial" w:cs="Arial" w:eastAsia="Arial" w:hAnsi="Arial"/>
                <w:sz w:val="18"/>
                <w:szCs w:val="18"/>
                <w:color w:val="auto"/>
                <w:w w:val="98"/>
              </w:rPr>
              <w:t>For the three months ended September</w:t>
            </w:r>
          </w:p>
        </w:tc>
        <w:tc>
          <w:tcPr>
            <w:tcW w:w="2940" w:type="dxa"/>
            <w:vAlign w:val="bottom"/>
            <w:gridSpan w:val="5"/>
          </w:tcPr>
          <w:p>
            <w:pPr>
              <w:jc w:val="right"/>
              <w:ind w:right="80"/>
              <w:spacing w:after="0"/>
              <w:rPr>
                <w:sz w:val="20"/>
                <w:szCs w:val="20"/>
                <w:color w:val="auto"/>
              </w:rPr>
            </w:pPr>
            <w:r>
              <w:rPr>
                <w:rFonts w:ascii="Arial" w:cs="Arial" w:eastAsia="Arial" w:hAnsi="Arial"/>
                <w:sz w:val="18"/>
                <w:szCs w:val="18"/>
                <w:color w:val="auto"/>
                <w:w w:val="92"/>
              </w:rPr>
              <w:t>For the nine months ended September</w:t>
            </w:r>
          </w:p>
        </w:tc>
      </w:tr>
      <w:tr>
        <w:trPr>
          <w:trHeight w:val="230"/>
        </w:trPr>
        <w:tc>
          <w:tcPr>
            <w:tcW w:w="4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30</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1250"/>
              <w:spacing w:after="0"/>
              <w:rPr>
                <w:sz w:val="20"/>
                <w:szCs w:val="20"/>
                <w:color w:val="auto"/>
              </w:rPr>
            </w:pPr>
            <w:r>
              <w:rPr>
                <w:rFonts w:ascii="Arial" w:cs="Arial" w:eastAsia="Arial" w:hAnsi="Arial"/>
                <w:sz w:val="18"/>
                <w:szCs w:val="18"/>
                <w:color w:val="auto"/>
                <w:w w:val="99"/>
              </w:rPr>
              <w:t>30</w:t>
            </w:r>
          </w:p>
        </w:tc>
        <w:tc>
          <w:tcPr>
            <w:tcW w:w="100" w:type="dxa"/>
            <w:vAlign w:val="bottom"/>
          </w:tcPr>
          <w:p>
            <w:pPr>
              <w:spacing w:after="0"/>
              <w:rPr>
                <w:sz w:val="20"/>
                <w:szCs w:val="20"/>
                <w:color w:val="auto"/>
              </w:rPr>
            </w:pPr>
          </w:p>
        </w:tc>
      </w:tr>
      <w:tr>
        <w:trPr>
          <w:trHeight w:val="250"/>
        </w:trPr>
        <w:tc>
          <w:tcPr>
            <w:tcW w:w="4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r>
      <w:tr>
        <w:trPr>
          <w:trHeight w:val="237"/>
        </w:trPr>
        <w:tc>
          <w:tcPr>
            <w:tcW w:w="4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4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7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Personnel expenses (Note 5)</w:t>
            </w:r>
          </w:p>
        </w:tc>
        <w:tc>
          <w:tcPr>
            <w:tcW w:w="27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(2,382,973)</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(771,396)</w:t>
            </w:r>
          </w:p>
        </w:tc>
        <w:tc>
          <w:tcPr>
            <w:tcW w:w="160" w:type="dxa"/>
            <w:vAlign w:val="bottom"/>
            <w:shd w:val="clear" w:color="auto" w:fill="CFF0FC"/>
          </w:tcPr>
          <w:p>
            <w:pPr>
              <w:spacing w:after="0"/>
              <w:rPr>
                <w:sz w:val="23"/>
                <w:szCs w:val="23"/>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(6,151,138)</w:t>
            </w:r>
          </w:p>
        </w:tc>
        <w:tc>
          <w:tcPr>
            <w:tcW w:w="16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(1,677,630)</w:t>
            </w:r>
          </w:p>
        </w:tc>
      </w:tr>
      <w:tr>
        <w:trPr>
          <w:trHeight w:val="256"/>
        </w:trPr>
        <w:tc>
          <w:tcPr>
            <w:tcW w:w="4120" w:type="dxa"/>
            <w:vAlign w:val="bottom"/>
          </w:tcPr>
          <w:p>
            <w:pPr>
              <w:spacing w:after="0"/>
              <w:rPr>
                <w:sz w:val="20"/>
                <w:szCs w:val="20"/>
                <w:color w:val="auto"/>
              </w:rPr>
            </w:pPr>
            <w:r>
              <w:rPr>
                <w:rFonts w:ascii="Arial" w:cs="Arial" w:eastAsia="Arial" w:hAnsi="Arial"/>
                <w:sz w:val="18"/>
                <w:szCs w:val="18"/>
                <w:color w:val="auto"/>
              </w:rPr>
              <w:t>Clinical expenses</w:t>
            </w:r>
          </w:p>
        </w:tc>
        <w:tc>
          <w:tcPr>
            <w:tcW w:w="2720" w:type="dxa"/>
            <w:vAlign w:val="bottom"/>
            <w:gridSpan w:val="3"/>
          </w:tcPr>
          <w:p>
            <w:pPr>
              <w:jc w:val="right"/>
              <w:ind w:right="220"/>
              <w:spacing w:after="0"/>
              <w:rPr>
                <w:sz w:val="20"/>
                <w:szCs w:val="20"/>
                <w:color w:val="auto"/>
              </w:rPr>
            </w:pPr>
            <w:r>
              <w:rPr>
                <w:rFonts w:ascii="Arial" w:cs="Arial" w:eastAsia="Arial" w:hAnsi="Arial"/>
                <w:sz w:val="18"/>
                <w:szCs w:val="18"/>
                <w:color w:val="auto"/>
              </w:rPr>
              <w:t>(4,568,346)</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(2,595,990)</w:t>
            </w:r>
          </w:p>
        </w:tc>
        <w:tc>
          <w:tcPr>
            <w:tcW w:w="160" w:type="dxa"/>
            <w:vAlign w:val="bottom"/>
          </w:tcPr>
          <w:p>
            <w:pPr>
              <w:spacing w:after="0"/>
              <w:rPr>
                <w:sz w:val="22"/>
                <w:szCs w:val="22"/>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(11,330,269)</w:t>
            </w: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(5,293,514)</w:t>
            </w:r>
          </w:p>
        </w:tc>
      </w:tr>
      <w:tr>
        <w:trPr>
          <w:trHeight w:val="27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Non-clinical expenses</w:t>
            </w:r>
          </w:p>
        </w:tc>
        <w:tc>
          <w:tcPr>
            <w:tcW w:w="27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(924,636)</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(921,159)</w:t>
            </w:r>
          </w:p>
        </w:tc>
        <w:tc>
          <w:tcPr>
            <w:tcW w:w="160" w:type="dxa"/>
            <w:vAlign w:val="bottom"/>
            <w:shd w:val="clear" w:color="auto" w:fill="CFF0FC"/>
          </w:tcPr>
          <w:p>
            <w:pPr>
              <w:spacing w:after="0"/>
              <w:rPr>
                <w:sz w:val="23"/>
                <w:szCs w:val="23"/>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(3,068,349)</w:t>
            </w:r>
          </w:p>
        </w:tc>
        <w:tc>
          <w:tcPr>
            <w:tcW w:w="16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(2,065,658)</w:t>
            </w: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Manufacturing costs</w:t>
            </w:r>
          </w:p>
        </w:tc>
        <w:tc>
          <w:tcPr>
            <w:tcW w:w="2720" w:type="dxa"/>
            <w:vAlign w:val="bottom"/>
            <w:gridSpan w:val="3"/>
          </w:tcPr>
          <w:p>
            <w:pPr>
              <w:jc w:val="right"/>
              <w:ind w:right="220"/>
              <w:spacing w:after="0"/>
              <w:rPr>
                <w:sz w:val="20"/>
                <w:szCs w:val="20"/>
                <w:color w:val="auto"/>
              </w:rPr>
            </w:pPr>
            <w:r>
              <w:rPr>
                <w:rFonts w:ascii="Arial" w:cs="Arial" w:eastAsia="Arial" w:hAnsi="Arial"/>
                <w:sz w:val="18"/>
                <w:szCs w:val="18"/>
                <w:color w:val="auto"/>
              </w:rPr>
              <w:t>(1,052,191)</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(717,371)</w:t>
            </w:r>
          </w:p>
        </w:tc>
        <w:tc>
          <w:tcPr>
            <w:tcW w:w="160" w:type="dxa"/>
            <w:vAlign w:val="bottom"/>
          </w:tcPr>
          <w:p>
            <w:pPr>
              <w:spacing w:after="0"/>
              <w:rPr>
                <w:sz w:val="22"/>
                <w:szCs w:val="22"/>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(3,972,363)</w:t>
            </w: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(2,624,638)</w:t>
            </w:r>
          </w:p>
        </w:tc>
      </w:tr>
      <w:tr>
        <w:trPr>
          <w:trHeight w:val="27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License costs</w:t>
            </w:r>
          </w:p>
        </w:tc>
        <w:tc>
          <w:tcPr>
            <w:tcW w:w="1040" w:type="dxa"/>
            <w:vAlign w:val="bottom"/>
            <w:shd w:val="clear" w:color="auto" w:fill="CFF0FC"/>
          </w:tcPr>
          <w:p>
            <w:pPr>
              <w:spacing w:after="0"/>
              <w:rPr>
                <w:sz w:val="23"/>
                <w:szCs w:val="23"/>
                <w:color w:val="auto"/>
              </w:rPr>
            </w:pPr>
          </w:p>
        </w:tc>
        <w:tc>
          <w:tcPr>
            <w:tcW w:w="1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(500,000)</w:t>
            </w:r>
          </w:p>
        </w:tc>
        <w:tc>
          <w:tcPr>
            <w:tcW w:w="160" w:type="dxa"/>
            <w:vAlign w:val="bottom"/>
            <w:shd w:val="clear" w:color="auto" w:fill="CFF0FC"/>
          </w:tcPr>
          <w:p>
            <w:pPr>
              <w:spacing w:after="0"/>
              <w:rPr>
                <w:sz w:val="23"/>
                <w:szCs w:val="23"/>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Intellectual Property costs</w:t>
            </w:r>
          </w:p>
        </w:tc>
        <w:tc>
          <w:tcPr>
            <w:tcW w:w="10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(28,028)</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(56,826)</w:t>
            </w:r>
          </w:p>
        </w:tc>
        <w:tc>
          <w:tcPr>
            <w:tcW w:w="160" w:type="dxa"/>
            <w:vAlign w:val="bottom"/>
          </w:tcPr>
          <w:p>
            <w:pPr>
              <w:spacing w:after="0"/>
              <w:rPr>
                <w:sz w:val="22"/>
                <w:szCs w:val="22"/>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(66,104)</w:t>
            </w: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(136,546)</w:t>
            </w:r>
          </w:p>
        </w:tc>
      </w:tr>
      <w:tr>
        <w:trPr>
          <w:trHeight w:val="20"/>
        </w:trPr>
        <w:tc>
          <w:tcPr>
            <w:tcW w:w="4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(8,956,174)</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(5,062,742)</w:t>
            </w:r>
          </w:p>
        </w:tc>
        <w:tc>
          <w:tcPr>
            <w:tcW w:w="1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(25,088,223)</w:t>
            </w: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(11,797,986)</w:t>
            </w:r>
          </w:p>
        </w:tc>
      </w:tr>
      <w:tr>
        <w:trPr>
          <w:trHeight w:val="20"/>
        </w:trPr>
        <w:tc>
          <w:tcPr>
            <w:tcW w:w="4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Development expenses are currently not capitalized but are recorded in the unaudited condensed consolidated statements of profit or loss and other comprehensive income because the recognition criteria for capitalization are not met.</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Clinical expenses include costs of conducting and managing our sponsored clinical trials, including clinical investigator cost, costs of clinical sites, and costs for CRO’s assisting with our clinical development programs.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Non-clinical expenses include costs of our outsourced discovery, medicinal chemistry, preclinical and nonclinical development studies.</w:t>
      </w:r>
    </w:p>
    <w:p>
      <w:pPr>
        <w:spacing w:after="0" w:line="239"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Manufacturing expenses include costs related to manufacturing of active pharmaceutical ingredients and manufacturing of the products used in our clinical trials and research and development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License costs consist of a milestone payment of €500,000 which was paid to AnalytiCon upon commencement of Phase 2 development.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4. General and administrative expenses</w:t>
            </w: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8"/>
        </w:trPr>
        <w:tc>
          <w:tcPr>
            <w:tcW w:w="5300" w:type="dxa"/>
            <w:vAlign w:val="bottom"/>
          </w:tcPr>
          <w:p>
            <w:pPr>
              <w:spacing w:after="0"/>
              <w:rPr>
                <w:sz w:val="24"/>
                <w:szCs w:val="24"/>
                <w:color w:val="auto"/>
              </w:rPr>
            </w:pPr>
          </w:p>
        </w:tc>
        <w:tc>
          <w:tcPr>
            <w:tcW w:w="1900" w:type="dxa"/>
            <w:vAlign w:val="bottom"/>
            <w:gridSpan w:val="3"/>
          </w:tcPr>
          <w:p>
            <w:pPr>
              <w:jc w:val="center"/>
              <w:ind w:left="770"/>
              <w:spacing w:after="0"/>
              <w:rPr>
                <w:sz w:val="20"/>
                <w:szCs w:val="20"/>
                <w:color w:val="auto"/>
              </w:rPr>
            </w:pPr>
            <w:r>
              <w:rPr>
                <w:rFonts w:ascii="Arial" w:cs="Arial" w:eastAsia="Arial" w:hAnsi="Arial"/>
                <w:sz w:val="18"/>
                <w:szCs w:val="18"/>
                <w:color w:val="auto"/>
                <w:w w:val="93"/>
              </w:rPr>
              <w:t>For the three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3"/>
          </w:tcPr>
          <w:p>
            <w:pPr>
              <w:ind w:left="940"/>
              <w:spacing w:after="0"/>
              <w:rPr>
                <w:sz w:val="20"/>
                <w:szCs w:val="20"/>
                <w:color w:val="auto"/>
              </w:rPr>
            </w:pPr>
            <w:r>
              <w:rPr>
                <w:rFonts w:ascii="Arial" w:cs="Arial" w:eastAsia="Arial" w:hAnsi="Arial"/>
                <w:sz w:val="18"/>
                <w:szCs w:val="18"/>
                <w:color w:val="auto"/>
                <w:w w:val="97"/>
              </w:rPr>
              <w:t>For the nine</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5300" w:type="dxa"/>
            <w:vAlign w:val="bottom"/>
          </w:tcPr>
          <w:p>
            <w:pPr>
              <w:spacing w:after="0"/>
              <w:rPr>
                <w:sz w:val="20"/>
                <w:szCs w:val="20"/>
                <w:color w:val="auto"/>
              </w:rPr>
            </w:pPr>
          </w:p>
        </w:tc>
        <w:tc>
          <w:tcPr>
            <w:tcW w:w="3020" w:type="dxa"/>
            <w:vAlign w:val="bottom"/>
            <w:gridSpan w:val="6"/>
          </w:tcPr>
          <w:p>
            <w:pPr>
              <w:jc w:val="center"/>
              <w:ind w:right="260"/>
              <w:spacing w:after="0"/>
              <w:rPr>
                <w:sz w:val="20"/>
                <w:szCs w:val="20"/>
                <w:color w:val="auto"/>
              </w:rPr>
            </w:pPr>
            <w:r>
              <w:rPr>
                <w:rFonts w:ascii="Arial" w:cs="Arial" w:eastAsia="Arial" w:hAnsi="Arial"/>
                <w:sz w:val="18"/>
                <w:szCs w:val="18"/>
                <w:color w:val="auto"/>
                <w:w w:val="91"/>
              </w:rPr>
              <w:t>months ended September 30</w:t>
            </w:r>
          </w:p>
        </w:tc>
        <w:tc>
          <w:tcPr>
            <w:tcW w:w="2920" w:type="dxa"/>
            <w:vAlign w:val="bottom"/>
            <w:gridSpan w:val="5"/>
          </w:tcPr>
          <w:p>
            <w:pPr>
              <w:jc w:val="right"/>
              <w:ind w:right="460"/>
              <w:spacing w:after="0"/>
              <w:rPr>
                <w:sz w:val="20"/>
                <w:szCs w:val="20"/>
                <w:color w:val="auto"/>
              </w:rPr>
            </w:pPr>
            <w:r>
              <w:rPr>
                <w:rFonts w:ascii="Arial" w:cs="Arial" w:eastAsia="Arial" w:hAnsi="Arial"/>
                <w:sz w:val="18"/>
                <w:szCs w:val="18"/>
                <w:color w:val="auto"/>
              </w:rPr>
              <w:t>months ended September 30</w:t>
            </w:r>
          </w:p>
        </w:tc>
      </w:tr>
      <w:tr>
        <w:trPr>
          <w:trHeight w:val="236"/>
        </w:trPr>
        <w:tc>
          <w:tcPr>
            <w:tcW w:w="5300" w:type="dxa"/>
            <w:vAlign w:val="bottom"/>
          </w:tcPr>
          <w:p>
            <w:pPr>
              <w:spacing w:after="0"/>
              <w:rPr>
                <w:sz w:val="20"/>
                <w:szCs w:val="20"/>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2020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37"/>
        </w:trPr>
        <w:tc>
          <w:tcPr>
            <w:tcW w:w="5300" w:type="dxa"/>
            <w:vAlign w:val="bottom"/>
          </w:tcPr>
          <w:p>
            <w:pPr>
              <w:spacing w:after="0"/>
              <w:rPr>
                <w:sz w:val="20"/>
                <w:szCs w:val="20"/>
                <w:color w:val="auto"/>
              </w:rPr>
            </w:pPr>
          </w:p>
        </w:tc>
        <w:tc>
          <w:tcPr>
            <w:tcW w:w="1900" w:type="dxa"/>
            <w:vAlign w:val="bottom"/>
            <w:gridSpan w:val="3"/>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w:t>
            </w:r>
          </w:p>
        </w:tc>
        <w:tc>
          <w:tcPr>
            <w:tcW w:w="1900" w:type="dxa"/>
            <w:vAlign w:val="bottom"/>
            <w:gridSpan w:val="3"/>
          </w:tcPr>
          <w:p>
            <w:pPr>
              <w:jc w:val="center"/>
              <w:ind w:right="6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79"/>
              </w:rPr>
              <w:t>€</w:t>
            </w: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Personnel expenses (Note 5)</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(1,982,190)</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(96,717)</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(5,018,977)</w:t>
            </w: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(708,645)</w:t>
            </w:r>
          </w:p>
        </w:tc>
      </w:tr>
      <w:tr>
        <w:trPr>
          <w:trHeight w:val="243"/>
        </w:trPr>
        <w:tc>
          <w:tcPr>
            <w:tcW w:w="5300" w:type="dxa"/>
            <w:vAlign w:val="bottom"/>
          </w:tcPr>
          <w:p>
            <w:pPr>
              <w:spacing w:after="0"/>
              <w:rPr>
                <w:sz w:val="20"/>
                <w:szCs w:val="20"/>
                <w:color w:val="auto"/>
              </w:rPr>
            </w:pPr>
            <w:r>
              <w:rPr>
                <w:rFonts w:ascii="Arial" w:cs="Arial" w:eastAsia="Arial" w:hAnsi="Arial"/>
                <w:sz w:val="18"/>
                <w:szCs w:val="18"/>
                <w:color w:val="auto"/>
              </w:rPr>
              <w:t>Consulting fees</w:t>
            </w:r>
          </w:p>
        </w:tc>
        <w:tc>
          <w:tcPr>
            <w:tcW w:w="1360" w:type="dxa"/>
            <w:vAlign w:val="bottom"/>
          </w:tcPr>
          <w:p>
            <w:pPr>
              <w:jc w:val="right"/>
              <w:spacing w:after="0"/>
              <w:rPr>
                <w:sz w:val="20"/>
                <w:szCs w:val="20"/>
                <w:color w:val="auto"/>
              </w:rPr>
            </w:pPr>
            <w:r>
              <w:rPr>
                <w:rFonts w:ascii="Arial" w:cs="Arial" w:eastAsia="Arial" w:hAnsi="Arial"/>
                <w:sz w:val="18"/>
                <w:szCs w:val="18"/>
                <w:color w:val="auto"/>
              </w:rPr>
              <w:t>(207,461)</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(254,215)</w:t>
            </w:r>
          </w:p>
        </w:tc>
        <w:tc>
          <w:tcPr>
            <w:tcW w:w="1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(598,337)</w:t>
            </w:r>
          </w:p>
        </w:tc>
        <w:tc>
          <w:tcPr>
            <w:tcW w:w="3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(732,915)</w:t>
            </w: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(349,575)</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(277,615)</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(1,482,281)</w:t>
            </w: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(656,798)</w:t>
            </w:r>
          </w:p>
        </w:tc>
      </w:tr>
      <w:tr>
        <w:trPr>
          <w:trHeight w:val="243"/>
        </w:trPr>
        <w:tc>
          <w:tcPr>
            <w:tcW w:w="5300" w:type="dxa"/>
            <w:vAlign w:val="bottom"/>
          </w:tcPr>
          <w:p>
            <w:pPr>
              <w:spacing w:after="0"/>
              <w:rPr>
                <w:sz w:val="20"/>
                <w:szCs w:val="20"/>
                <w:color w:val="auto"/>
              </w:rPr>
            </w:pPr>
            <w:r>
              <w:rPr>
                <w:rFonts w:ascii="Arial" w:cs="Arial" w:eastAsia="Arial" w:hAnsi="Arial"/>
                <w:sz w:val="18"/>
                <w:szCs w:val="18"/>
                <w:color w:val="auto"/>
              </w:rPr>
              <w:t>Accounting, tax and auditing fees</w:t>
            </w:r>
          </w:p>
        </w:tc>
        <w:tc>
          <w:tcPr>
            <w:tcW w:w="1360" w:type="dxa"/>
            <w:vAlign w:val="bottom"/>
          </w:tcPr>
          <w:p>
            <w:pPr>
              <w:jc w:val="right"/>
              <w:spacing w:after="0"/>
              <w:rPr>
                <w:sz w:val="20"/>
                <w:szCs w:val="20"/>
                <w:color w:val="auto"/>
              </w:rPr>
            </w:pPr>
            <w:r>
              <w:rPr>
                <w:rFonts w:ascii="Arial" w:cs="Arial" w:eastAsia="Arial" w:hAnsi="Arial"/>
                <w:sz w:val="18"/>
                <w:szCs w:val="18"/>
                <w:color w:val="auto"/>
              </w:rPr>
              <w:t>(230,113)</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(375,096)</w:t>
            </w:r>
          </w:p>
        </w:tc>
        <w:tc>
          <w:tcPr>
            <w:tcW w:w="1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(1,316,869)</w:t>
            </w:r>
          </w:p>
        </w:tc>
        <w:tc>
          <w:tcPr>
            <w:tcW w:w="3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(778,696)</w:t>
            </w: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Facilities, communication &amp; office expenses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(1,550,713)</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(185,177)</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(4,012,860)</w:t>
            </w: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(419,879)</w:t>
            </w:r>
          </w:p>
        </w:tc>
      </w:tr>
      <w:tr>
        <w:trPr>
          <w:trHeight w:val="243"/>
        </w:trPr>
        <w:tc>
          <w:tcPr>
            <w:tcW w:w="5300" w:type="dxa"/>
            <w:vAlign w:val="bottom"/>
          </w:tcPr>
          <w:p>
            <w:pPr>
              <w:spacing w:after="0"/>
              <w:rPr>
                <w:sz w:val="20"/>
                <w:szCs w:val="20"/>
                <w:color w:val="auto"/>
              </w:rPr>
            </w:pPr>
            <w:r>
              <w:rPr>
                <w:rFonts w:ascii="Arial" w:cs="Arial" w:eastAsia="Arial" w:hAnsi="Arial"/>
                <w:sz w:val="18"/>
                <w:szCs w:val="18"/>
                <w:color w:val="auto"/>
              </w:rPr>
              <w:t>Travel expenses</w:t>
            </w:r>
          </w:p>
        </w:tc>
        <w:tc>
          <w:tcPr>
            <w:tcW w:w="1360" w:type="dxa"/>
            <w:vAlign w:val="bottom"/>
          </w:tcPr>
          <w:p>
            <w:pPr>
              <w:jc w:val="right"/>
              <w:spacing w:after="0"/>
              <w:rPr>
                <w:sz w:val="20"/>
                <w:szCs w:val="20"/>
                <w:color w:val="auto"/>
              </w:rPr>
            </w:pPr>
            <w:r>
              <w:rPr>
                <w:rFonts w:ascii="Arial" w:cs="Arial" w:eastAsia="Arial" w:hAnsi="Arial"/>
                <w:sz w:val="18"/>
                <w:szCs w:val="18"/>
                <w:color w:val="auto"/>
              </w:rPr>
              <w:t>(6,760)</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(3,117)</w:t>
            </w:r>
          </w:p>
        </w:tc>
        <w:tc>
          <w:tcPr>
            <w:tcW w:w="1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(10,117)</w:t>
            </w:r>
          </w:p>
        </w:tc>
        <w:tc>
          <w:tcPr>
            <w:tcW w:w="3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(25,161)</w:t>
            </w: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(47,269)</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(18,820)</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(371,059)</w:t>
            </w: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(125,114)</w:t>
            </w:r>
          </w:p>
        </w:tc>
      </w:tr>
      <w:tr>
        <w:trPr>
          <w:trHeight w:val="20"/>
        </w:trPr>
        <w:tc>
          <w:tcPr>
            <w:tcW w:w="5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(4,374,081)</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(1,210,757)</w:t>
            </w: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(12,810,500)</w:t>
            </w:r>
          </w:p>
        </w:tc>
        <w:tc>
          <w:tcPr>
            <w:tcW w:w="3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(3,447,208)</w:t>
            </w:r>
          </w:p>
        </w:tc>
      </w:tr>
      <w:tr>
        <w:trPr>
          <w:trHeight w:val="20"/>
        </w:trPr>
        <w:tc>
          <w:tcPr>
            <w:tcW w:w="5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2021 the Group entered into a number of lease arrangements, which were assessed to be short-term leases (with a lease term of 12 months equaling its non-cancellable period). The total outflow for the leases in the first nine months of 2021 was €153,859 (2020: €91,466) and is included in the Facilities, communication &amp; office expenses line. The total outflow for the leases in the third quarter of 2021 amounts to €55,294 (2020: €25,059).</w:t>
      </w:r>
    </w:p>
    <w:p>
      <w:pPr>
        <w:spacing w:after="0" w:line="2"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Depreciation expense of €44,003 (2020: €4,818) related to property, plant and equipment and leases and is included in the other expenses line for the nine months ended September 30, 2021. For the third quarter of 2021 a total of €28,955 (2020: €2,155) depreciation charge was included in Other expenses.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Arial" w:cs="Arial" w:eastAsia="Arial" w:hAnsi="Arial"/>
                <w:sz w:val="18"/>
                <w:szCs w:val="18"/>
                <w:b w:val="1"/>
                <w:bCs w:val="1"/>
                <w:color w:val="auto"/>
              </w:rPr>
              <w:t>5. Personnel expenses</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4220" w:type="dxa"/>
            <w:vAlign w:val="bottom"/>
          </w:tcPr>
          <w:p>
            <w:pPr>
              <w:spacing w:after="0"/>
              <w:rPr>
                <w:sz w:val="24"/>
                <w:szCs w:val="24"/>
                <w:color w:val="auto"/>
              </w:rPr>
            </w:pPr>
          </w:p>
        </w:tc>
        <w:tc>
          <w:tcPr>
            <w:tcW w:w="3680" w:type="dxa"/>
            <w:vAlign w:val="bottom"/>
            <w:gridSpan w:val="5"/>
          </w:tcPr>
          <w:p>
            <w:pPr>
              <w:ind w:left="140"/>
              <w:spacing w:after="0"/>
              <w:rPr>
                <w:sz w:val="20"/>
                <w:szCs w:val="20"/>
                <w:color w:val="auto"/>
              </w:rPr>
            </w:pPr>
            <w:r>
              <w:rPr>
                <w:rFonts w:ascii="Arial" w:cs="Arial" w:eastAsia="Arial" w:hAnsi="Arial"/>
                <w:sz w:val="18"/>
                <w:szCs w:val="18"/>
                <w:color w:val="auto"/>
              </w:rPr>
              <w:t>For the three months ended September 30</w:t>
            </w:r>
          </w:p>
        </w:tc>
        <w:tc>
          <w:tcPr>
            <w:tcW w:w="3340" w:type="dxa"/>
            <w:vAlign w:val="bottom"/>
            <w:gridSpan w:val="4"/>
          </w:tcPr>
          <w:p>
            <w:pPr>
              <w:jc w:val="right"/>
              <w:ind w:right="200"/>
              <w:spacing w:after="0"/>
              <w:rPr>
                <w:sz w:val="20"/>
                <w:szCs w:val="20"/>
                <w:color w:val="auto"/>
              </w:rPr>
            </w:pPr>
            <w:r>
              <w:rPr>
                <w:rFonts w:ascii="Arial" w:cs="Arial" w:eastAsia="Arial" w:hAnsi="Arial"/>
                <w:sz w:val="18"/>
                <w:szCs w:val="18"/>
                <w:color w:val="auto"/>
                <w:w w:val="93"/>
              </w:rPr>
              <w:t>For the nine months ended September 30</w:t>
            </w:r>
          </w:p>
        </w:tc>
      </w:tr>
      <w:tr>
        <w:trPr>
          <w:trHeight w:val="237"/>
        </w:trPr>
        <w:tc>
          <w:tcPr>
            <w:tcW w:w="4220" w:type="dxa"/>
            <w:vAlign w:val="bottom"/>
          </w:tcPr>
          <w:p>
            <w:pPr>
              <w:spacing w:after="0"/>
              <w:rPr>
                <w:sz w:val="20"/>
                <w:szCs w:val="20"/>
                <w:color w:val="auto"/>
              </w:rPr>
            </w:pPr>
          </w:p>
        </w:tc>
        <w:tc>
          <w:tcPr>
            <w:tcW w:w="17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36"/>
        </w:trPr>
        <w:tc>
          <w:tcPr>
            <w:tcW w:w="4220" w:type="dxa"/>
            <w:vAlign w:val="bottom"/>
          </w:tcPr>
          <w:p>
            <w:pPr>
              <w:spacing w:after="0"/>
              <w:rPr>
                <w:sz w:val="20"/>
                <w:szCs w:val="20"/>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84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4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Wages and salaries</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(1,671,507)</w:t>
            </w:r>
          </w:p>
        </w:tc>
        <w:tc>
          <w:tcPr>
            <w:tcW w:w="12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(437,882)</w:t>
            </w:r>
          </w:p>
        </w:tc>
        <w:tc>
          <w:tcPr>
            <w:tcW w:w="12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(4,290,152)</w:t>
            </w:r>
          </w:p>
        </w:tc>
        <w:tc>
          <w:tcPr>
            <w:tcW w:w="1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(1,190,877)</w:t>
            </w: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Pension charges</w:t>
            </w:r>
          </w:p>
        </w:tc>
        <w:tc>
          <w:tcPr>
            <w:tcW w:w="1720" w:type="dxa"/>
            <w:vAlign w:val="bottom"/>
          </w:tcPr>
          <w:p>
            <w:pPr>
              <w:jc w:val="right"/>
              <w:spacing w:after="0"/>
              <w:rPr>
                <w:sz w:val="20"/>
                <w:szCs w:val="20"/>
                <w:color w:val="auto"/>
              </w:rPr>
            </w:pPr>
            <w:r>
              <w:rPr>
                <w:rFonts w:ascii="Arial" w:cs="Arial" w:eastAsia="Arial" w:hAnsi="Arial"/>
                <w:sz w:val="18"/>
                <w:szCs w:val="18"/>
                <w:color w:val="auto"/>
              </w:rPr>
              <w:t>(94,587)</w:t>
            </w:r>
          </w:p>
        </w:tc>
        <w:tc>
          <w:tcPr>
            <w:tcW w:w="120" w:type="dxa"/>
            <w:vAlign w:val="bottom"/>
          </w:tcPr>
          <w:p>
            <w:pPr>
              <w:spacing w:after="0"/>
              <w:rPr>
                <w:sz w:val="21"/>
                <w:szCs w:val="21"/>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(16,712)</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(175,876)</w:t>
            </w:r>
          </w:p>
        </w:tc>
        <w:tc>
          <w:tcPr>
            <w:tcW w:w="120" w:type="dxa"/>
            <w:vAlign w:val="bottom"/>
          </w:tcPr>
          <w:p>
            <w:pPr>
              <w:spacing w:after="0"/>
              <w:rPr>
                <w:sz w:val="21"/>
                <w:szCs w:val="21"/>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(46,246)</w:t>
            </w:r>
          </w:p>
        </w:tc>
      </w:tr>
      <w:tr>
        <w:trPr>
          <w:trHeight w:val="24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Other social security charges</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(261,109)</w:t>
            </w:r>
          </w:p>
        </w:tc>
        <w:tc>
          <w:tcPr>
            <w:tcW w:w="12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(23,227)</w:t>
            </w:r>
          </w:p>
        </w:tc>
        <w:tc>
          <w:tcPr>
            <w:tcW w:w="12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(496,779)</w:t>
            </w:r>
          </w:p>
        </w:tc>
        <w:tc>
          <w:tcPr>
            <w:tcW w:w="1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(98,728)</w:t>
            </w: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Share-based payments</w:t>
            </w:r>
          </w:p>
        </w:tc>
        <w:tc>
          <w:tcPr>
            <w:tcW w:w="1720" w:type="dxa"/>
            <w:vAlign w:val="bottom"/>
          </w:tcPr>
          <w:p>
            <w:pPr>
              <w:jc w:val="right"/>
              <w:spacing w:after="0"/>
              <w:rPr>
                <w:sz w:val="20"/>
                <w:szCs w:val="20"/>
                <w:color w:val="auto"/>
              </w:rPr>
            </w:pPr>
            <w:r>
              <w:rPr>
                <w:rFonts w:ascii="Arial" w:cs="Arial" w:eastAsia="Arial" w:hAnsi="Arial"/>
                <w:sz w:val="18"/>
                <w:szCs w:val="18"/>
                <w:color w:val="auto"/>
              </w:rPr>
              <w:t>(2,337,960)</w:t>
            </w:r>
          </w:p>
        </w:tc>
        <w:tc>
          <w:tcPr>
            <w:tcW w:w="120" w:type="dxa"/>
            <w:vAlign w:val="bottom"/>
          </w:tcPr>
          <w:p>
            <w:pPr>
              <w:spacing w:after="0"/>
              <w:rPr>
                <w:sz w:val="21"/>
                <w:szCs w:val="21"/>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(390,292)</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(6,207,308)</w:t>
            </w:r>
          </w:p>
        </w:tc>
        <w:tc>
          <w:tcPr>
            <w:tcW w:w="120" w:type="dxa"/>
            <w:vAlign w:val="bottom"/>
          </w:tcPr>
          <w:p>
            <w:pPr>
              <w:spacing w:after="0"/>
              <w:rPr>
                <w:sz w:val="21"/>
                <w:szCs w:val="21"/>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(1,050,424)</w:t>
            </w:r>
          </w:p>
        </w:tc>
      </w:tr>
      <w:tr>
        <w:trPr>
          <w:trHeight w:val="20"/>
        </w:trPr>
        <w:tc>
          <w:tcPr>
            <w:tcW w:w="422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7"/>
        </w:trPr>
        <w:tc>
          <w:tcPr>
            <w:tcW w:w="422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(4,365,163)</w:t>
            </w:r>
          </w:p>
        </w:tc>
        <w:tc>
          <w:tcPr>
            <w:tcW w:w="12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(868,113)</w:t>
            </w:r>
          </w:p>
        </w:tc>
        <w:tc>
          <w:tcPr>
            <w:tcW w:w="12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(11,170,115)</w:t>
            </w:r>
          </w:p>
        </w:tc>
        <w:tc>
          <w:tcPr>
            <w:tcW w:w="1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(2,386,275)</w:t>
            </w: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average number of staff (in FTEs) employed by the Group in the nine months ended September 30, 2021 was 21 (2020:6).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6. Net foreign exchange income/(loss)</w:t>
            </w: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gridSpan w:val="7"/>
          </w:tcPr>
          <w:p>
            <w:pPr>
              <w:spacing w:after="0"/>
              <w:rPr>
                <w:sz w:val="20"/>
                <w:szCs w:val="20"/>
                <w:color w:val="auto"/>
              </w:rPr>
            </w:pPr>
            <w:r>
              <w:rPr>
                <w:rFonts w:ascii="Arial" w:cs="Arial" w:eastAsia="Arial" w:hAnsi="Arial"/>
                <w:sz w:val="18"/>
                <w:szCs w:val="18"/>
                <w:color w:val="auto"/>
                <w:w w:val="96"/>
              </w:rPr>
              <w:t>For the three months ended September 30</w:t>
            </w:r>
          </w:p>
        </w:tc>
        <w:tc>
          <w:tcPr>
            <w:tcW w:w="3220" w:type="dxa"/>
            <w:vAlign w:val="bottom"/>
            <w:gridSpan w:val="7"/>
          </w:tcPr>
          <w:p>
            <w:pPr>
              <w:jc w:val="right"/>
              <w:ind w:right="80"/>
              <w:spacing w:after="0"/>
              <w:rPr>
                <w:sz w:val="20"/>
                <w:szCs w:val="20"/>
                <w:color w:val="auto"/>
              </w:rPr>
            </w:pPr>
            <w:r>
              <w:rPr>
                <w:rFonts w:ascii="Arial" w:cs="Arial" w:eastAsia="Arial" w:hAnsi="Arial"/>
                <w:sz w:val="18"/>
                <w:szCs w:val="18"/>
                <w:color w:val="auto"/>
                <w:w w:val="93"/>
              </w:rPr>
              <w:t>For the nine months ended September 30</w:t>
            </w: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520" w:type="dxa"/>
            <w:vAlign w:val="bottom"/>
            <w:tcBorders>
              <w:top w:val="single" w:sz="8" w:color="auto"/>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gridSpan w:val="4"/>
          </w:tcPr>
          <w:p>
            <w:pPr>
              <w:jc w:val="center"/>
              <w:ind w:right="280"/>
              <w:spacing w:after="0"/>
              <w:rPr>
                <w:sz w:val="20"/>
                <w:szCs w:val="20"/>
                <w:color w:val="auto"/>
              </w:rPr>
            </w:pPr>
            <w:r>
              <w:rPr>
                <w:rFonts w:ascii="Arial" w:cs="Arial" w:eastAsia="Arial" w:hAnsi="Arial"/>
                <w:sz w:val="18"/>
                <w:szCs w:val="18"/>
                <w:color w:val="auto"/>
                <w:w w:val="99"/>
              </w:rPr>
              <w:t>€</w:t>
            </w:r>
          </w:p>
        </w:tc>
        <w:tc>
          <w:tcPr>
            <w:tcW w:w="1620" w:type="dxa"/>
            <w:vAlign w:val="bottom"/>
            <w:gridSpan w:val="3"/>
          </w:tcPr>
          <w:p>
            <w:pPr>
              <w:jc w:val="center"/>
              <w:ind w:right="20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56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differences</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4,333,264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(114,157)</w:t>
            </w:r>
          </w:p>
        </w:tc>
        <w:tc>
          <w:tcPr>
            <w:tcW w:w="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7,837,250</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(133,478)</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Interest expenses over bank balances</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(69,812)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(13,500)</w:t>
            </w:r>
          </w:p>
        </w:tc>
        <w:tc>
          <w:tcPr>
            <w:tcW w:w="80" w:type="dxa"/>
            <w:vAlign w:val="bottom"/>
          </w:tcPr>
          <w:p>
            <w:pPr>
              <w:spacing w:after="0"/>
              <w:rPr>
                <w:sz w:val="21"/>
                <w:szCs w:val="21"/>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(221,576)</w:t>
            </w:r>
          </w:p>
        </w:tc>
        <w:tc>
          <w:tcPr>
            <w:tcW w:w="60" w:type="dxa"/>
            <w:vAlign w:val="bottom"/>
          </w:tcPr>
          <w:p>
            <w:pPr>
              <w:spacing w:after="0"/>
              <w:rPr>
                <w:sz w:val="21"/>
                <w:szCs w:val="21"/>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(40,933)</w:t>
            </w:r>
          </w:p>
        </w:tc>
        <w:tc>
          <w:tcPr>
            <w:tcW w:w="0" w:type="dxa"/>
            <w:vAlign w:val="bottom"/>
          </w:tcPr>
          <w:p>
            <w:pPr>
              <w:spacing w:after="0"/>
              <w:rPr>
                <w:sz w:val="1"/>
                <w:szCs w:val="1"/>
                <w:color w:val="auto"/>
              </w:rPr>
            </w:pPr>
          </w:p>
        </w:tc>
      </w:tr>
      <w:tr>
        <w:trPr>
          <w:trHeight w:val="24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Other finance expenses</w:t>
            </w:r>
          </w:p>
        </w:tc>
        <w:tc>
          <w:tcPr>
            <w:tcW w:w="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(8,926)</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5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(16,775)</w:t>
            </w:r>
          </w:p>
        </w:tc>
        <w:tc>
          <w:tcPr>
            <w:tcW w:w="60" w:type="dxa"/>
            <w:vAlign w:val="bottom"/>
            <w:shd w:val="clear" w:color="auto" w:fill="CFF0FC"/>
          </w:tcPr>
          <w:p>
            <w:pPr>
              <w:spacing w:after="0"/>
              <w:rPr>
                <w:sz w:val="21"/>
                <w:szCs w:val="21"/>
                <w:color w:val="auto"/>
              </w:rPr>
            </w:pPr>
          </w:p>
        </w:tc>
        <w:tc>
          <w:tcPr>
            <w:tcW w:w="16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4,254,526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(126,338)</w:t>
            </w:r>
          </w:p>
        </w:tc>
        <w:tc>
          <w:tcPr>
            <w:tcW w:w="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7,598,899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(176,602)</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b w:val="1"/>
                <w:bCs w:val="1"/>
                <w:color w:val="auto"/>
              </w:rPr>
              <w:t>7. Income taxes</w:t>
            </w:r>
          </w:p>
        </w:tc>
        <w:tc>
          <w:tcPr>
            <w:tcW w:w="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80" w:type="dxa"/>
            <w:vAlign w:val="bottom"/>
          </w:tcPr>
          <w:p>
            <w:pPr>
              <w:spacing w:after="0"/>
              <w:rPr>
                <w:sz w:val="24"/>
                <w:szCs w:val="24"/>
                <w:color w:val="auto"/>
              </w:rPr>
            </w:pPr>
          </w:p>
        </w:tc>
        <w:tc>
          <w:tcPr>
            <w:tcW w:w="3340" w:type="dxa"/>
            <w:vAlign w:val="bottom"/>
            <w:gridSpan w:val="8"/>
          </w:tcPr>
          <w:p>
            <w:pPr>
              <w:spacing w:after="0"/>
              <w:rPr>
                <w:sz w:val="20"/>
                <w:szCs w:val="20"/>
                <w:color w:val="auto"/>
              </w:rPr>
            </w:pPr>
            <w:r>
              <w:rPr>
                <w:rFonts w:ascii="Arial" w:cs="Arial" w:eastAsia="Arial" w:hAnsi="Arial"/>
                <w:sz w:val="18"/>
                <w:szCs w:val="18"/>
                <w:color w:val="auto"/>
                <w:w w:val="97"/>
              </w:rPr>
              <w:t>For the three months ended September 30</w:t>
            </w:r>
          </w:p>
        </w:tc>
        <w:tc>
          <w:tcPr>
            <w:tcW w:w="3220" w:type="dxa"/>
            <w:vAlign w:val="bottom"/>
            <w:gridSpan w:val="7"/>
          </w:tcPr>
          <w:p>
            <w:pPr>
              <w:jc w:val="right"/>
              <w:ind w:right="120"/>
              <w:spacing w:after="0"/>
              <w:rPr>
                <w:sz w:val="20"/>
                <w:szCs w:val="20"/>
                <w:color w:val="auto"/>
              </w:rPr>
            </w:pPr>
            <w:r>
              <w:rPr>
                <w:rFonts w:ascii="Arial" w:cs="Arial" w:eastAsia="Arial" w:hAnsi="Arial"/>
                <w:sz w:val="18"/>
                <w:szCs w:val="18"/>
                <w:color w:val="auto"/>
                <w:w w:val="92"/>
              </w:rPr>
              <w:t>For the nine months ended September 30</w:t>
            </w: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1460" w:type="dxa"/>
            <w:vAlign w:val="bottom"/>
            <w:tcBorders>
              <w:top w:val="single" w:sz="8" w:color="auto"/>
              <w:bottom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340" w:type="dxa"/>
            <w:vAlign w:val="bottom"/>
            <w:tcBorders>
              <w:top w:val="single" w:sz="8" w:color="auto"/>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gridSpan w:val="4"/>
          </w:tcPr>
          <w:p>
            <w:pPr>
              <w:jc w:val="center"/>
              <w:ind w:right="320"/>
              <w:spacing w:after="0"/>
              <w:rPr>
                <w:sz w:val="20"/>
                <w:szCs w:val="20"/>
                <w:color w:val="auto"/>
              </w:rPr>
            </w:pPr>
            <w:r>
              <w:rPr>
                <w:rFonts w:ascii="Arial" w:cs="Arial" w:eastAsia="Arial" w:hAnsi="Arial"/>
                <w:sz w:val="18"/>
                <w:szCs w:val="18"/>
                <w:color w:val="auto"/>
                <w:w w:val="99"/>
              </w:rPr>
              <w:t>€</w:t>
            </w:r>
          </w:p>
        </w:tc>
        <w:tc>
          <w:tcPr>
            <w:tcW w:w="16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4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expense</w:t>
            </w:r>
          </w:p>
        </w:tc>
        <w:tc>
          <w:tcPr>
            <w:tcW w:w="15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(69,084)</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20" w:type="dxa"/>
            <w:vAlign w:val="bottom"/>
            <w:gridSpan w:val="3"/>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(101,606)</w:t>
            </w: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taxes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gridSpan w:val="2"/>
          </w:tcPr>
          <w:p>
            <w:pPr>
              <w:spacing w:after="0"/>
              <w:rPr>
                <w:sz w:val="21"/>
                <w:szCs w:val="21"/>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11,862</w:t>
            </w:r>
          </w:p>
        </w:tc>
        <w:tc>
          <w:tcPr>
            <w:tcW w:w="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80" w:type="dxa"/>
            <w:vAlign w:val="bottom"/>
            <w:shd w:val="clear" w:color="auto" w:fill="CFF0FC"/>
          </w:tcPr>
          <w:p>
            <w:pPr>
              <w:spacing w:after="0"/>
              <w:rPr>
                <w:sz w:val="20"/>
                <w:szCs w:val="20"/>
                <w:color w:val="auto"/>
              </w:rPr>
            </w:pPr>
          </w:p>
        </w:tc>
        <w:tc>
          <w:tcPr>
            <w:tcW w:w="15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(68,190)</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20" w:type="dxa"/>
            <w:vAlign w:val="bottom"/>
            <w:gridSpan w:val="3"/>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(89,744)</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tax expenses over the nine months ended September 30, 2021 relate to the Company's US subsidiary as the result of a cost-plus agreement between the US entity and Group's principal entity resulting in a taxable profit in the United States of America.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3" w:name="page34"/>
    <w:bookmarkEnd w:id="33"/>
    <w:p>
      <w:pPr>
        <w:ind w:right="80"/>
        <w:spacing w:after="0" w:line="277" w:lineRule="auto"/>
        <w:rPr>
          <w:sz w:val="20"/>
          <w:szCs w:val="20"/>
          <w:color w:val="auto"/>
        </w:rPr>
      </w:pPr>
      <w:r>
        <w:rPr>
          <w:rFonts w:ascii="Arial" w:cs="Arial" w:eastAsia="Arial" w:hAnsi="Arial"/>
          <w:sz w:val="18"/>
          <w:szCs w:val="18"/>
          <w:color w:val="auto"/>
        </w:rPr>
        <w:t>Reconciliation of income tax benefit at statutory tax rate and the income tax expense as reported in the unaudited condensed consolidated statement of profit or loss and other comprehensive income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2980" w:type="dxa"/>
            <w:vAlign w:val="bottom"/>
            <w:gridSpan w:val="4"/>
          </w:tcPr>
          <w:p>
            <w:pPr>
              <w:jc w:val="right"/>
              <w:ind w:right="80"/>
              <w:spacing w:after="0"/>
              <w:rPr>
                <w:sz w:val="20"/>
                <w:szCs w:val="20"/>
                <w:color w:val="auto"/>
              </w:rPr>
            </w:pPr>
            <w:r>
              <w:rPr>
                <w:rFonts w:ascii="Arial" w:cs="Arial" w:eastAsia="Arial" w:hAnsi="Arial"/>
                <w:sz w:val="18"/>
                <w:szCs w:val="18"/>
                <w:color w:val="auto"/>
                <w:w w:val="91"/>
              </w:rPr>
              <w:t>For the three months ended September</w:t>
            </w:r>
          </w:p>
        </w:tc>
        <w:tc>
          <w:tcPr>
            <w:tcW w:w="3060" w:type="dxa"/>
            <w:vAlign w:val="bottom"/>
            <w:gridSpan w:val="6"/>
          </w:tcPr>
          <w:p>
            <w:pPr>
              <w:jc w:val="right"/>
              <w:ind w:right="80"/>
              <w:spacing w:after="0"/>
              <w:rPr>
                <w:sz w:val="20"/>
                <w:szCs w:val="20"/>
                <w:color w:val="auto"/>
              </w:rPr>
            </w:pPr>
            <w:r>
              <w:rPr>
                <w:rFonts w:ascii="Arial" w:cs="Arial" w:eastAsia="Arial" w:hAnsi="Arial"/>
                <w:sz w:val="18"/>
                <w:szCs w:val="18"/>
                <w:color w:val="auto"/>
                <w:w w:val="96"/>
              </w:rPr>
              <w:t>For the nine months ended September</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p>
        </w:tc>
        <w:tc>
          <w:tcPr>
            <w:tcW w:w="1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30</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1250"/>
              <w:spacing w:after="0"/>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w:t>
            </w: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(9,075,729)</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(6,399,837)</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(30,299,824)</w:t>
            </w:r>
          </w:p>
        </w:tc>
        <w:tc>
          <w:tcPr>
            <w:tcW w:w="16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(15,421,796)</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Income tax benefit at statutory income tax rate of 25%</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(2,268,932)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(1,599,959)</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(7,574,956)</w:t>
            </w: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rPr>
              <w:t>(3,855,449)</w:t>
            </w:r>
          </w:p>
        </w:tc>
        <w:tc>
          <w:tcPr>
            <w:tcW w:w="0" w:type="dxa"/>
            <w:vAlign w:val="bottom"/>
          </w:tcPr>
          <w:p>
            <w:pPr>
              <w:spacing w:after="0"/>
              <w:rPr>
                <w:sz w:val="1"/>
                <w:szCs w:val="1"/>
                <w:color w:val="auto"/>
              </w:rPr>
            </w:pPr>
          </w:p>
        </w:tc>
      </w:tr>
      <w:tr>
        <w:trPr>
          <w:trHeight w:val="242"/>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Temporary differences for which no deferred tax assets/liabilities</w:t>
            </w: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have been recognized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106,338</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94,845</w:t>
            </w:r>
          </w:p>
        </w:tc>
        <w:tc>
          <w:tcPr>
            <w:tcW w:w="1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268,918</w:t>
            </w:r>
          </w:p>
        </w:tc>
        <w:tc>
          <w:tcPr>
            <w:tcW w:w="8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306,319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Non-deductible expenses for tax purposes</w:t>
            </w:r>
          </w:p>
        </w:tc>
        <w:tc>
          <w:tcPr>
            <w:tcW w:w="1400" w:type="dxa"/>
            <w:vAlign w:val="bottom"/>
          </w:tcPr>
          <w:p>
            <w:pPr>
              <w:jc w:val="right"/>
              <w:spacing w:after="0"/>
              <w:rPr>
                <w:sz w:val="20"/>
                <w:szCs w:val="20"/>
                <w:color w:val="auto"/>
              </w:rPr>
            </w:pPr>
            <w:r>
              <w:rPr>
                <w:rFonts w:ascii="Arial" w:cs="Arial" w:eastAsia="Arial" w:hAnsi="Arial"/>
                <w:sz w:val="18"/>
                <w:szCs w:val="18"/>
                <w:color w:val="auto"/>
              </w:rPr>
              <w:t>294</w:t>
            </w:r>
          </w:p>
        </w:tc>
        <w:tc>
          <w:tcPr>
            <w:tcW w:w="28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(2,805)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881</w:t>
            </w:r>
          </w:p>
        </w:tc>
        <w:tc>
          <w:tcPr>
            <w:tcW w:w="8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Current period losses for which no deferred tax asset has been</w:t>
            </w:r>
          </w:p>
        </w:tc>
        <w:tc>
          <w:tcPr>
            <w:tcW w:w="14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recognized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197,353</w:t>
            </w:r>
          </w:p>
        </w:tc>
        <w:tc>
          <w:tcPr>
            <w:tcW w:w="2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(578,554)</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2,189,808</w:t>
            </w:r>
          </w:p>
        </w:tc>
        <w:tc>
          <w:tcPr>
            <w:tcW w:w="8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1,227,399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00" w:type="dxa"/>
            <w:vAlign w:val="bottom"/>
          </w:tcPr>
          <w:p>
            <w:pPr>
              <w:spacing w:after="0"/>
              <w:rPr>
                <w:sz w:val="20"/>
                <w:szCs w:val="20"/>
                <w:color w:val="auto"/>
              </w:rPr>
            </w:pPr>
            <w:r>
              <w:rPr>
                <w:rFonts w:ascii="Arial" w:cs="Arial" w:eastAsia="Arial" w:hAnsi="Arial"/>
                <w:sz w:val="18"/>
                <w:szCs w:val="18"/>
                <w:color w:val="auto"/>
              </w:rPr>
              <w:t>Differences in overseas tax rates</w:t>
            </w:r>
          </w:p>
        </w:tc>
        <w:tc>
          <w:tcPr>
            <w:tcW w:w="1400" w:type="dxa"/>
            <w:vAlign w:val="bottom"/>
          </w:tcPr>
          <w:p>
            <w:pPr>
              <w:jc w:val="right"/>
              <w:spacing w:after="0"/>
              <w:rPr>
                <w:sz w:val="20"/>
                <w:szCs w:val="20"/>
                <w:color w:val="auto"/>
              </w:rPr>
            </w:pPr>
            <w:r>
              <w:rPr>
                <w:rFonts w:ascii="Arial" w:cs="Arial" w:eastAsia="Arial" w:hAnsi="Arial"/>
                <w:sz w:val="18"/>
                <w:szCs w:val="18"/>
                <w:color w:val="auto"/>
              </w:rPr>
              <w:t>2,084,950</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2,361,042</w:t>
            </w:r>
          </w:p>
        </w:tc>
        <w:tc>
          <w:tcPr>
            <w:tcW w:w="12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5,256,906</w:t>
            </w:r>
          </w:p>
        </w:tc>
        <w:tc>
          <w:tcPr>
            <w:tcW w:w="8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3,176,173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Impact of rate differences on opening deferred tax balances</w:t>
            </w: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(77,950)</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(658,704)</w:t>
            </w:r>
          </w:p>
        </w:tc>
        <w:tc>
          <w:tcPr>
            <w:tcW w:w="0" w:type="dxa"/>
            <w:vAlign w:val="bottom"/>
          </w:tcPr>
          <w:p>
            <w:pPr>
              <w:spacing w:after="0"/>
              <w:rPr>
                <w:sz w:val="1"/>
                <w:szCs w:val="1"/>
                <w:color w:val="auto"/>
              </w:rPr>
            </w:pPr>
          </w:p>
        </w:tc>
      </w:tr>
      <w:tr>
        <w:trPr>
          <w:trHeight w:val="263"/>
        </w:trPr>
        <w:tc>
          <w:tcPr>
            <w:tcW w:w="5200" w:type="dxa"/>
            <w:vAlign w:val="bottom"/>
          </w:tcPr>
          <w:p>
            <w:pPr>
              <w:spacing w:after="0"/>
              <w:rPr>
                <w:sz w:val="20"/>
                <w:szCs w:val="20"/>
                <w:color w:val="auto"/>
              </w:rPr>
            </w:pPr>
            <w:r>
              <w:rPr>
                <w:rFonts w:ascii="Arial" w:cs="Arial" w:eastAsia="Arial" w:hAnsi="Arial"/>
                <w:sz w:val="18"/>
                <w:szCs w:val="18"/>
                <w:color w:val="auto"/>
              </w:rPr>
              <w:t>Other</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(51,813)</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(196,619)</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(51,813)</w:t>
            </w: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rPr>
              <w:t>(196,619)</w:t>
            </w: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b w:val="1"/>
                <w:bCs w:val="1"/>
                <w:color w:val="auto"/>
              </w:rPr>
              <w:t>Income tax expense</w:t>
            </w: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vMerge w:val="continue"/>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68,190</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89,744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-959485</wp:posOffset>
            </wp:positionV>
            <wp:extent cx="3771900" cy="317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71900" cy="317500"/>
                    </a:xfrm>
                    <a:prstGeom prst="rect">
                      <a:avLst/>
                    </a:prstGeom>
                    <a:noFill/>
                  </pic:spPr>
                </pic:pic>
              </a:graphicData>
            </a:graphic>
          </wp:anchor>
        </w:drawing>
      </w:r>
    </w:p>
    <w:p>
      <w:pPr>
        <w:spacing w:after="0" w:line="195"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color w:val="auto"/>
        </w:rPr>
        <w:t>The effect of current period losses for which no DTA has been recognized includes the offsetting effect from the derecognition of losses reported through equity/ consolidated statement of profit or loss and other comprehensive income.</w:t>
      </w:r>
    </w:p>
    <w:p>
      <w:pPr>
        <w:spacing w:after="0" w:line="170"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color w:val="auto"/>
        </w:rPr>
        <w:t>The differences in the overseas tax rates are due to the lower tax rate in Switzerland and the higher tax rate in the USA compared to the statutory income tax rate in the Netherlands.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is 0,29% for the nine months ended September 30, 2021(2020: 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Pharvaris N.V. is the head of the fiscal unity including Pharvaris Netherlands B.V. and Pharvaris Holdings B.V.</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Group has a tax loss carry-forward of approximately €84 million as of September 30, 2021 (2020: €19.9 million) that is available for offsetting against future taxable profits of the companies in which the losses arose. In 2021, the Dutch tax law was revised and as result of the revision, the carry forward losses can be offset indefinitely whereby the loss settlement within the year is limited to €1 million plus 50% of the remaining result for the year. Under Swiss law, losses can be offset against future income or capital gains for seven years.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w w:val="98"/>
              </w:rPr>
              <w:t>The tax loss carry-forward incurred in current and prior periods will expire as follows:</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59"/>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14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Switzerland</w:t>
            </w:r>
          </w:p>
        </w:tc>
        <w:tc>
          <w:tcPr>
            <w:tcW w:w="24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Netherlands</w:t>
            </w:r>
          </w:p>
        </w:tc>
        <w:tc>
          <w:tcPr>
            <w:tcW w:w="240" w:type="dxa"/>
            <w:vAlign w:val="bottom"/>
          </w:tcPr>
          <w:p>
            <w:pPr>
              <w:spacing w:after="0"/>
              <w:rPr>
                <w:sz w:val="24"/>
                <w:szCs w:val="24"/>
                <w:color w:val="auto"/>
              </w:rPr>
            </w:pPr>
          </w:p>
        </w:tc>
        <w:tc>
          <w:tcPr>
            <w:tcW w:w="1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Tax losses</w:t>
            </w:r>
          </w:p>
        </w:tc>
      </w:tr>
      <w:tr>
        <w:trPr>
          <w:trHeight w:val="236"/>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rPr>
              <w:t>€ million</w:t>
            </w: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rPr>
              <w:t>€ million</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 million</w:t>
            </w:r>
          </w:p>
        </w:tc>
      </w:tr>
      <w:tr>
        <w:trPr>
          <w:trHeight w:val="24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4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33.9</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2028</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21"/>
                <w:szCs w:val="21"/>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37.8</w:t>
            </w:r>
          </w:p>
        </w:tc>
      </w:tr>
      <w:tr>
        <w:trPr>
          <w:trHeight w:val="243"/>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Unlimited</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r>
      <w:tr>
        <w:trPr>
          <w:trHeight w:val="237"/>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Total carry-forward losses</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24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20"/>
                <w:szCs w:val="20"/>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84.0</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DTA on losses not recognized partly relates to an effect through P&amp;L and partly to an effect through equity.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Deferred taxes have been recognized to the extent that management concludes that there is sufficient probability as per IAS 12 that there will be future taxable profits available in the foreseeable future against which the unused tax losses can be utilized.</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or loss and other comprehensive income.</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a result thereof, the total gross amount of unrecognized deferred tax assets from temporary differences amounts to €83.0 million (September 30, 2020: €3.2 million) and relates to various temporary differences on intangibles in the Netherlands and Switzerland.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Movements in deferred tax balances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Non current</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Intangible</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provisions and</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assets</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liabilities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w w:val="98"/>
              </w:rPr>
              <w:t>Fixed assets</w:t>
            </w:r>
          </w:p>
        </w:tc>
        <w:tc>
          <w:tcPr>
            <w:tcW w:w="240" w:type="dxa"/>
            <w:vAlign w:val="bottom"/>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79"/>
              </w:rPr>
              <w:t>€</w:t>
            </w:r>
          </w:p>
        </w:tc>
        <w:tc>
          <w:tcPr>
            <w:tcW w:w="500" w:type="dxa"/>
            <w:vAlign w:val="bottom"/>
          </w:tcPr>
          <w:p>
            <w:pPr>
              <w:spacing w:after="0"/>
              <w:rPr>
                <w:sz w:val="20"/>
                <w:szCs w:val="20"/>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0"/>
                <w:szCs w:val="20"/>
                <w:color w:val="auto"/>
              </w:rPr>
            </w:pPr>
          </w:p>
        </w:tc>
        <w:tc>
          <w:tcPr>
            <w:tcW w:w="1380" w:type="dxa"/>
            <w:vAlign w:val="bottom"/>
            <w:gridSpan w:val="4"/>
          </w:tcPr>
          <w:p>
            <w:pPr>
              <w:jc w:val="right"/>
              <w:ind w:right="7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At January 1, 2021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1,964,583</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99,339</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7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2,063,922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(Charged)/credited</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 Profit or loss</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(85,416)</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87,002</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7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Currency translation differences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8,279</w:t>
            </w:r>
          </w:p>
        </w:tc>
        <w:tc>
          <w:tcPr>
            <w:tcW w:w="6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At September 30, 2021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1,879,167</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194,620</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7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2,073,787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liability</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At January 1, 2021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(1,964,583)</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(1,964,583)</w:t>
            </w: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(Charged)/credited</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 Profit or loss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79,663</w:t>
            </w:r>
          </w:p>
        </w:tc>
        <w:tc>
          <w:tcPr>
            <w:tcW w:w="60" w:type="dxa"/>
            <w:vAlign w:val="bottom"/>
          </w:tcPr>
          <w:p>
            <w:pPr>
              <w:spacing w:after="0"/>
              <w:rPr>
                <w:sz w:val="21"/>
                <w:szCs w:val="21"/>
                <w:color w:val="auto"/>
              </w:rPr>
            </w:pPr>
          </w:p>
        </w:tc>
        <w:tc>
          <w:tcPr>
            <w:tcW w:w="1560" w:type="dxa"/>
            <w:vAlign w:val="bottom"/>
            <w:gridSpan w:val="5"/>
          </w:tcPr>
          <w:p>
            <w:pPr>
              <w:jc w:val="right"/>
              <w:ind w:right="180"/>
              <w:spacing w:after="0"/>
              <w:rPr>
                <w:sz w:val="20"/>
                <w:szCs w:val="20"/>
                <w:color w:val="auto"/>
              </w:rPr>
            </w:pPr>
            <w:r>
              <w:rPr>
                <w:rFonts w:ascii="Arial" w:cs="Arial" w:eastAsia="Arial" w:hAnsi="Arial"/>
                <w:sz w:val="18"/>
                <w:szCs w:val="18"/>
                <w:color w:val="auto"/>
              </w:rPr>
              <w:t>(69,580)</w:t>
            </w:r>
          </w:p>
        </w:tc>
        <w:tc>
          <w:tcPr>
            <w:tcW w:w="1160" w:type="dxa"/>
            <w:vAlign w:val="bottom"/>
          </w:tcPr>
          <w:p>
            <w:pPr>
              <w:jc w:val="right"/>
              <w:spacing w:after="0"/>
              <w:rPr>
                <w:sz w:val="20"/>
                <w:szCs w:val="20"/>
                <w:color w:val="auto"/>
              </w:rPr>
            </w:pPr>
            <w:r>
              <w:rPr>
                <w:rFonts w:ascii="Arial" w:cs="Arial" w:eastAsia="Arial" w:hAnsi="Arial"/>
                <w:sz w:val="18"/>
                <w:szCs w:val="18"/>
                <w:color w:val="auto"/>
              </w:rPr>
              <w:t>10,083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 Currency translation differences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(2,149)</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40" w:type="dxa"/>
            <w:vAlign w:val="bottom"/>
          </w:tcPr>
          <w:p>
            <w:pPr>
              <w:spacing w:after="0"/>
              <w:rPr>
                <w:sz w:val="20"/>
                <w:szCs w:val="20"/>
                <w:color w:val="auto"/>
              </w:rPr>
            </w:pPr>
            <w:r>
              <w:rPr>
                <w:rFonts w:ascii="Arial" w:cs="Arial" w:eastAsia="Arial" w:hAnsi="Arial"/>
                <w:sz w:val="18"/>
                <w:szCs w:val="18"/>
                <w:color w:val="auto"/>
              </w:rPr>
              <w:t>At September 30, 2021</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(1,884,920)</w:t>
            </w:r>
          </w:p>
        </w:tc>
        <w:tc>
          <w:tcPr>
            <w:tcW w:w="1560" w:type="dxa"/>
            <w:vAlign w:val="bottom"/>
            <w:gridSpan w:val="5"/>
          </w:tcPr>
          <w:p>
            <w:pPr>
              <w:jc w:val="right"/>
              <w:ind w:right="180"/>
              <w:spacing w:after="0"/>
              <w:rPr>
                <w:sz w:val="20"/>
                <w:szCs w:val="20"/>
                <w:color w:val="auto"/>
              </w:rPr>
            </w:pPr>
            <w:r>
              <w:rPr>
                <w:rFonts w:ascii="Arial" w:cs="Arial" w:eastAsia="Arial" w:hAnsi="Arial"/>
                <w:sz w:val="18"/>
                <w:szCs w:val="18"/>
                <w:color w:val="auto"/>
              </w:rPr>
              <w:t>(71,729)</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(1,956,649)</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deferred tax assets at September 30, 2021</w:t>
            </w:r>
          </w:p>
        </w:tc>
        <w:tc>
          <w:tcPr>
            <w:tcW w:w="1140" w:type="dxa"/>
            <w:vAlign w:val="bottom"/>
            <w:tcBorders>
              <w:top w:val="single" w:sz="8" w:color="auto"/>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117,138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8. Property, plant and equipment</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5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60" w:type="dxa"/>
            <w:vAlign w:val="bottom"/>
            <w:gridSpan w:val="7"/>
          </w:tcPr>
          <w:p>
            <w:pPr>
              <w:jc w:val="center"/>
              <w:ind w:right="740"/>
              <w:spacing w:after="0"/>
              <w:rPr>
                <w:sz w:val="20"/>
                <w:szCs w:val="20"/>
                <w:color w:val="auto"/>
              </w:rPr>
            </w:pPr>
            <w:r>
              <w:rPr>
                <w:rFonts w:ascii="Arial" w:cs="Arial" w:eastAsia="Arial" w:hAnsi="Arial"/>
                <w:sz w:val="18"/>
                <w:szCs w:val="18"/>
                <w:color w:val="auto"/>
              </w:rPr>
              <w:t>Office</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2"/>
              </w:rPr>
              <w:t>equipment</w:t>
            </w:r>
          </w:p>
        </w:tc>
        <w:tc>
          <w:tcPr>
            <w:tcW w:w="300" w:type="dxa"/>
            <w:vAlign w:val="bottom"/>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gridSpan w:val="5"/>
          </w:tcPr>
          <w:p>
            <w:pPr>
              <w:jc w:val="center"/>
              <w:ind w:right="144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January 1, 2021</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48,503</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48,503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Additions</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61,494</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61,494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(12,168)</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(12,168)</w:t>
            </w:r>
          </w:p>
        </w:tc>
        <w:tc>
          <w:tcPr>
            <w:tcW w:w="0" w:type="dxa"/>
            <w:vAlign w:val="bottom"/>
          </w:tcPr>
          <w:p>
            <w:pPr>
              <w:spacing w:after="0"/>
              <w:rPr>
                <w:sz w:val="1"/>
                <w:szCs w:val="1"/>
                <w:color w:val="auto"/>
              </w:rPr>
            </w:pPr>
          </w:p>
        </w:tc>
      </w:tr>
      <w:tr>
        <w:trPr>
          <w:trHeight w:val="276"/>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 at September 30, 2021</w:t>
            </w:r>
          </w:p>
        </w:tc>
        <w:tc>
          <w:tcPr>
            <w:tcW w:w="114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500" w:type="dxa"/>
            <w:vAlign w:val="bottom"/>
            <w:tcBorders>
              <w:bottom w:val="single" w:sz="8" w:color="CFF0FC"/>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97,829</w:t>
            </w:r>
          </w:p>
        </w:tc>
        <w:tc>
          <w:tcPr>
            <w:tcW w:w="300" w:type="dxa"/>
            <w:vAlign w:val="bottom"/>
            <w:tcBorders>
              <w:bottom w:val="single" w:sz="8" w:color="CFF0FC"/>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97,829</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b w:val="1"/>
                <w:bCs w:val="1"/>
                <w:color w:val="auto"/>
              </w:rPr>
              <w:t>Balance at September 30, 2021</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Cost</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109,997</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109,997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3"/>
          </w:tcPr>
          <w:p>
            <w:pPr>
              <w:jc w:val="right"/>
              <w:ind w:right="150"/>
              <w:spacing w:after="0"/>
              <w:rPr>
                <w:sz w:val="20"/>
                <w:szCs w:val="20"/>
                <w:color w:val="auto"/>
              </w:rPr>
            </w:pPr>
            <w:r>
              <w:rPr>
                <w:rFonts w:ascii="Arial" w:cs="Arial" w:eastAsia="Arial" w:hAnsi="Arial"/>
                <w:sz w:val="18"/>
                <w:szCs w:val="18"/>
                <w:color w:val="auto"/>
              </w:rPr>
              <w:t>(12,168)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(12,168)</w:t>
            </w:r>
          </w:p>
        </w:tc>
        <w:tc>
          <w:tcPr>
            <w:tcW w:w="0" w:type="dxa"/>
            <w:vAlign w:val="bottom"/>
          </w:tcPr>
          <w:p>
            <w:pPr>
              <w:spacing w:after="0"/>
              <w:rPr>
                <w:sz w:val="1"/>
                <w:szCs w:val="1"/>
                <w:color w:val="auto"/>
              </w:rPr>
            </w:pPr>
          </w:p>
        </w:tc>
      </w:tr>
      <w:tr>
        <w:trPr>
          <w:trHeight w:val="237"/>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book amount</w:t>
            </w:r>
          </w:p>
        </w:tc>
        <w:tc>
          <w:tcPr>
            <w:tcW w:w="114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500" w:type="dxa"/>
            <w:vAlign w:val="bottom"/>
            <w:tcBorders>
              <w:top w:val="single" w:sz="8" w:color="CFF0FC"/>
              <w:bottom w:val="single" w:sz="8" w:color="CFF0FC"/>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spacing w:after="0"/>
              <w:rPr>
                <w:sz w:val="20"/>
                <w:szCs w:val="20"/>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97,829</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97,829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00"/>
        <w:spacing w:after="0" w:line="263" w:lineRule="auto"/>
        <w:rPr>
          <w:sz w:val="20"/>
          <w:szCs w:val="20"/>
          <w:color w:val="auto"/>
        </w:rPr>
      </w:pPr>
      <w:r>
        <w:rPr>
          <w:rFonts w:ascii="Arial" w:cs="Arial" w:eastAsia="Arial" w:hAnsi="Arial"/>
          <w:sz w:val="18"/>
          <w:szCs w:val="18"/>
          <w:color w:val="auto"/>
        </w:rPr>
        <w:t>During the nine months ended September 30, 2021, the Group acquired assets with a cost of €61,494 (December 31, 2020: €42,977). The acquisitions during the nine months ended September 30, 2021 and the year ended December 31, 2020 were related to equipment, tools and installations.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Arial" w:cs="Arial" w:eastAsia="Arial" w:hAnsi="Arial"/>
                <w:sz w:val="18"/>
                <w:szCs w:val="18"/>
                <w:b w:val="1"/>
                <w:bCs w:val="1"/>
                <w:color w:val="auto"/>
              </w:rPr>
              <w:t>9. Leases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540" w:type="dxa"/>
            <w:vAlign w:val="bottom"/>
          </w:tcPr>
          <w:p>
            <w:pPr>
              <w:spacing w:after="0"/>
              <w:rPr>
                <w:sz w:val="20"/>
                <w:szCs w:val="20"/>
                <w:color w:val="auto"/>
              </w:rPr>
            </w:pPr>
            <w:r>
              <w:rPr>
                <w:rFonts w:ascii="Arial" w:cs="Arial" w:eastAsia="Arial" w:hAnsi="Arial"/>
                <w:sz w:val="18"/>
                <w:szCs w:val="18"/>
                <w:color w:val="auto"/>
              </w:rPr>
              <w:t>The following table provides information about the Group’s right-of-use assets: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September 30,</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300" w:type="dxa"/>
            <w:vAlign w:val="bottom"/>
            <w:tcBorders>
              <w:bottom w:val="single" w:sz="8" w:color="CFF0FC"/>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2020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 2020</w:t>
            </w:r>
          </w:p>
        </w:tc>
        <w:tc>
          <w:tcPr>
            <w:tcW w:w="180" w:type="dxa"/>
            <w:vAlign w:val="bottom"/>
            <w:shd w:val="clear" w:color="auto" w:fill="CFF0FC"/>
          </w:tcPr>
          <w:p>
            <w:pPr>
              <w:spacing w:after="0"/>
              <w:rPr>
                <w:sz w:val="20"/>
                <w:szCs w:val="20"/>
                <w:color w:val="auto"/>
              </w:rPr>
            </w:pP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8"/>
                <w:szCs w:val="18"/>
                <w:color w:val="auto"/>
              </w:rPr>
              <w:t>Addition</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295,367</w:t>
            </w:r>
          </w:p>
        </w:tc>
        <w:tc>
          <w:tcPr>
            <w:tcW w:w="300" w:type="dxa"/>
            <w:vAlign w:val="bottom"/>
          </w:tcPr>
          <w:p>
            <w:pPr>
              <w:spacing w:after="0"/>
              <w:rPr>
                <w:sz w:val="21"/>
                <w:szCs w:val="21"/>
                <w:color w:val="auto"/>
              </w:rPr>
            </w:pPr>
          </w:p>
        </w:tc>
        <w:tc>
          <w:tcPr>
            <w:tcW w:w="168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Depreciation charges</w:t>
            </w:r>
          </w:p>
        </w:tc>
        <w:tc>
          <w:tcPr>
            <w:tcW w:w="20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(31,835)</w:t>
            </w:r>
          </w:p>
        </w:tc>
        <w:tc>
          <w:tcPr>
            <w:tcW w:w="1680" w:type="dxa"/>
            <w:vAlign w:val="bottom"/>
            <w:gridSpan w:val="2"/>
            <w:shd w:val="clear" w:color="auto" w:fill="CFF0FC"/>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Impact of transaction of foreign currency</w:t>
            </w:r>
          </w:p>
        </w:tc>
        <w:tc>
          <w:tcPr>
            <w:tcW w:w="18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(983)</w:t>
            </w:r>
          </w:p>
        </w:tc>
        <w:tc>
          <w:tcPr>
            <w:tcW w:w="1680" w:type="dxa"/>
            <w:vAlign w:val="bottom"/>
            <w:gridSpan w:val="2"/>
            <w:shd w:val="clear" w:color="auto" w:fill="CFF0FC"/>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180" w:type="dxa"/>
            <w:vAlign w:val="bottom"/>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262,549</w:t>
            </w:r>
          </w:p>
        </w:tc>
        <w:tc>
          <w:tcPr>
            <w:tcW w:w="300" w:type="dxa"/>
            <w:vAlign w:val="bottom"/>
          </w:tcPr>
          <w:p>
            <w:pPr>
              <w:spacing w:after="0"/>
              <w:rPr>
                <w:sz w:val="20"/>
                <w:szCs w:val="20"/>
                <w:color w:val="auto"/>
              </w:rPr>
            </w:pPr>
          </w:p>
        </w:tc>
        <w:tc>
          <w:tcPr>
            <w:tcW w:w="1560" w:type="dxa"/>
            <w:vAlign w:val="bottom"/>
            <w:tcBorders>
              <w:top w:val="single" w:sz="8" w:color="auto"/>
              <w:bottom w:val="single" w:sz="8" w:color="auto"/>
            </w:tcBorders>
          </w:tcPr>
          <w:p>
            <w:pPr>
              <w:ind w:left="13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w w:val="96"/>
              </w:rPr>
              <w:t>The following table provides information about the Group’s lease liabilities at September 30, 2021:</w:t>
            </w: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7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September 30,</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300" w:type="dxa"/>
            <w:vAlign w:val="bottom"/>
            <w:tcBorders>
              <w:bottom w:val="single" w:sz="8" w:color="CFF0FC"/>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2020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Office lease</w:t>
            </w:r>
          </w:p>
        </w:tc>
        <w:tc>
          <w:tcPr>
            <w:tcW w:w="20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(274,345)</w:t>
            </w:r>
          </w:p>
        </w:tc>
        <w:tc>
          <w:tcPr>
            <w:tcW w:w="1680" w:type="dxa"/>
            <w:vAlign w:val="bottom"/>
            <w:gridSpan w:val="2"/>
            <w:shd w:val="clear" w:color="auto" w:fill="CFF0FC"/>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8"/>
                <w:szCs w:val="18"/>
                <w:color w:val="auto"/>
              </w:rPr>
              <w:t>Total lease liability</w:t>
            </w:r>
          </w:p>
        </w:tc>
        <w:tc>
          <w:tcPr>
            <w:tcW w:w="2020" w:type="dxa"/>
            <w:vAlign w:val="bottom"/>
            <w:gridSpan w:val="3"/>
          </w:tcPr>
          <w:p>
            <w:pPr>
              <w:jc w:val="right"/>
              <w:ind w:right="240"/>
              <w:spacing w:after="0"/>
              <w:rPr>
                <w:sz w:val="20"/>
                <w:szCs w:val="20"/>
                <w:color w:val="auto"/>
              </w:rPr>
            </w:pPr>
            <w:r>
              <w:rPr>
                <w:rFonts w:ascii="Arial" w:cs="Arial" w:eastAsia="Arial" w:hAnsi="Arial"/>
                <w:sz w:val="18"/>
                <w:szCs w:val="18"/>
                <w:color w:val="auto"/>
              </w:rPr>
              <w:t>(274,345)</w:t>
            </w:r>
          </w:p>
        </w:tc>
        <w:tc>
          <w:tcPr>
            <w:tcW w:w="168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portion</w:t>
            </w:r>
          </w:p>
        </w:tc>
        <w:tc>
          <w:tcPr>
            <w:tcW w:w="20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(102,879)</w:t>
            </w:r>
          </w:p>
        </w:tc>
        <w:tc>
          <w:tcPr>
            <w:tcW w:w="1680" w:type="dxa"/>
            <w:vAlign w:val="bottom"/>
            <w:gridSpan w:val="2"/>
            <w:shd w:val="clear" w:color="auto" w:fill="CFF0FC"/>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8"/>
                <w:szCs w:val="18"/>
                <w:b w:val="1"/>
                <w:bCs w:val="1"/>
                <w:color w:val="auto"/>
              </w:rPr>
              <w:t>Non-current portion</w:t>
            </w:r>
          </w:p>
        </w:tc>
        <w:tc>
          <w:tcPr>
            <w:tcW w:w="180" w:type="dxa"/>
            <w:vAlign w:val="bottom"/>
          </w:tcPr>
          <w:p>
            <w:pPr>
              <w:spacing w:after="0"/>
              <w:rPr>
                <w:sz w:val="21"/>
                <w:szCs w:val="21"/>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(171,466)</w:t>
            </w:r>
          </w:p>
        </w:tc>
        <w:tc>
          <w:tcPr>
            <w:tcW w:w="168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lease agreement started on June 1, 2021 and has a lease term of three years. The average incremental borrowing rate applied to the lease liabilities was 2,91% during the nine months ended September 30, 2021(2020: n/a). Cash outflows related to leases during the nine months ended September 30, 2021 and 2020 were €20,575 and €0, respectively.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10. Receivables</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7720" w:type="dxa"/>
            <w:vAlign w:val="bottom"/>
          </w:tcPr>
          <w:p>
            <w:pPr>
              <w:spacing w:after="0"/>
              <w:rPr>
                <w:sz w:val="24"/>
                <w:szCs w:val="24"/>
                <w:color w:val="auto"/>
              </w:rPr>
            </w:pPr>
          </w:p>
        </w:tc>
        <w:tc>
          <w:tcPr>
            <w:tcW w:w="1840" w:type="dxa"/>
            <w:vAlign w:val="bottom"/>
            <w:gridSpan w:val="3"/>
          </w:tcPr>
          <w:p>
            <w:pPr>
              <w:ind w:left="220"/>
              <w:spacing w:after="0"/>
              <w:rPr>
                <w:sz w:val="20"/>
                <w:szCs w:val="20"/>
                <w:color w:val="auto"/>
              </w:rPr>
            </w:pPr>
            <w:r>
              <w:rPr>
                <w:rFonts w:ascii="Arial" w:cs="Arial" w:eastAsia="Arial" w:hAnsi="Arial"/>
                <w:sz w:val="18"/>
                <w:szCs w:val="18"/>
                <w:color w:val="auto"/>
              </w:rPr>
              <w:t>September 30,</w:t>
            </w:r>
          </w:p>
        </w:tc>
        <w:tc>
          <w:tcPr>
            <w:tcW w:w="1680" w:type="dxa"/>
            <w:vAlign w:val="bottom"/>
            <w:gridSpan w:val="2"/>
          </w:tcPr>
          <w:p>
            <w:pPr>
              <w:ind w:left="2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720" w:type="dxa"/>
            <w:vAlign w:val="bottom"/>
          </w:tcPr>
          <w:p>
            <w:pPr>
              <w:spacing w:after="0"/>
              <w:rPr>
                <w:sz w:val="24"/>
                <w:szCs w:val="24"/>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VAT receivables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632,367</w:t>
            </w:r>
          </w:p>
        </w:tc>
        <w:tc>
          <w:tcPr>
            <w:tcW w:w="120" w:type="dxa"/>
            <w:vAlign w:val="bottom"/>
            <w:tcBorders>
              <w:bottom w:val="single" w:sz="8" w:color="auto"/>
            </w:tcBorders>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569,578</w:t>
            </w:r>
          </w:p>
        </w:tc>
        <w:tc>
          <w:tcPr>
            <w:tcW w:w="1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2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632,367</w:t>
            </w:r>
          </w:p>
        </w:tc>
        <w:tc>
          <w:tcPr>
            <w:tcW w:w="1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569,578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11. Other current assets</w:t>
            </w: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7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7720" w:type="dxa"/>
            <w:vAlign w:val="bottom"/>
          </w:tcPr>
          <w:p>
            <w:pPr>
              <w:spacing w:after="0"/>
              <w:rPr>
                <w:sz w:val="24"/>
                <w:szCs w:val="24"/>
                <w:color w:val="auto"/>
              </w:rPr>
            </w:pPr>
          </w:p>
        </w:tc>
        <w:tc>
          <w:tcPr>
            <w:tcW w:w="1840" w:type="dxa"/>
            <w:vAlign w:val="bottom"/>
            <w:gridSpan w:val="3"/>
          </w:tcPr>
          <w:p>
            <w:pPr>
              <w:ind w:left="220"/>
              <w:spacing w:after="0"/>
              <w:rPr>
                <w:sz w:val="20"/>
                <w:szCs w:val="20"/>
                <w:color w:val="auto"/>
              </w:rPr>
            </w:pPr>
            <w:r>
              <w:rPr>
                <w:rFonts w:ascii="Arial" w:cs="Arial" w:eastAsia="Arial" w:hAnsi="Arial"/>
                <w:sz w:val="18"/>
                <w:szCs w:val="18"/>
                <w:color w:val="auto"/>
              </w:rPr>
              <w:t>September 30,</w:t>
            </w:r>
          </w:p>
        </w:tc>
        <w:tc>
          <w:tcPr>
            <w:tcW w:w="1680" w:type="dxa"/>
            <w:vAlign w:val="bottom"/>
            <w:gridSpan w:val="2"/>
          </w:tcPr>
          <w:p>
            <w:pPr>
              <w:ind w:left="2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20" w:type="dxa"/>
            <w:vAlign w:val="bottom"/>
          </w:tcPr>
          <w:p>
            <w:pPr>
              <w:spacing w:after="0"/>
              <w:rPr>
                <w:sz w:val="20"/>
                <w:szCs w:val="20"/>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Prepayments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3,379,862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540,701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5,712</w:t>
            </w:r>
          </w:p>
        </w:tc>
        <w:tc>
          <w:tcPr>
            <w:tcW w:w="12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1,212,626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3,385,574</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1,753,327</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Prepayments mainly relates to prepaid insurance, sign-on bonus to personnel, prepaid R&amp;D expenses and rent.</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7" w:name="page38"/>
    <w:bookmarkEnd w:id="37"/>
    <w:p>
      <w:pPr>
        <w:ind w:right="60"/>
        <w:spacing w:after="0" w:line="342" w:lineRule="auto"/>
        <w:rPr>
          <w:sz w:val="20"/>
          <w:szCs w:val="20"/>
          <w:color w:val="auto"/>
        </w:rPr>
      </w:pPr>
      <w:r>
        <w:rPr>
          <w:rFonts w:ascii="Arial" w:cs="Arial" w:eastAsia="Arial" w:hAnsi="Arial"/>
          <w:sz w:val="16"/>
          <w:szCs w:val="16"/>
          <w:color w:val="auto"/>
        </w:rPr>
        <w:t>Other assets per December 31, 2020, mainly consist of deferred transaction costs related to the Group’s IPO, which was completed in February, 2021. The balance was reclassified to the share premium at completion of the IPO. Other assets per September 30, 2021 consist of rent deposit paid.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Cash and cash equivalents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comprise of cash in bank and are not subject to any restriction.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September 30, 2021, the Company’s authorized share capital amounted to €14,100,000 divided into 58,750,000 ordinary shares and 58,750,000 preferred shares, each with a nominal value of €0.12. As at September 30, 2021, the total number of issued shares was 33,128,593 (2020: 23,569,276). On September 30, 2021, the issued share capital totaled to €3,975,432 (2020: €235,693).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hold the right to one vote per share.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Issued shares</w:t>
            </w: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8"/>
        </w:trPr>
        <w:tc>
          <w:tcPr>
            <w:tcW w:w="7720" w:type="dxa"/>
            <w:vAlign w:val="bottom"/>
          </w:tcPr>
          <w:p>
            <w:pPr>
              <w:spacing w:after="0"/>
              <w:rPr>
                <w:sz w:val="24"/>
                <w:szCs w:val="24"/>
                <w:color w:val="auto"/>
              </w:rPr>
            </w:pPr>
          </w:p>
        </w:tc>
        <w:tc>
          <w:tcPr>
            <w:tcW w:w="1840" w:type="dxa"/>
            <w:vAlign w:val="bottom"/>
            <w:gridSpan w:val="2"/>
          </w:tcPr>
          <w:p>
            <w:pPr>
              <w:ind w:left="220"/>
              <w:spacing w:after="0"/>
              <w:rPr>
                <w:sz w:val="20"/>
                <w:szCs w:val="20"/>
                <w:color w:val="auto"/>
              </w:rPr>
            </w:pPr>
            <w:r>
              <w:rPr>
                <w:rFonts w:ascii="Arial" w:cs="Arial" w:eastAsia="Arial" w:hAnsi="Arial"/>
                <w:sz w:val="18"/>
                <w:szCs w:val="18"/>
                <w:color w:val="auto"/>
              </w:rPr>
              <w:t>September 30,</w:t>
            </w:r>
          </w:p>
        </w:tc>
        <w:tc>
          <w:tcPr>
            <w:tcW w:w="1680" w:type="dxa"/>
            <w:vAlign w:val="bottom"/>
            <w:gridSpan w:val="2"/>
          </w:tcPr>
          <w:p>
            <w:pPr>
              <w:ind w:left="240"/>
              <w:spacing w:after="0"/>
              <w:rPr>
                <w:sz w:val="20"/>
                <w:szCs w:val="20"/>
                <w:color w:val="auto"/>
              </w:rPr>
            </w:pPr>
            <w:r>
              <w:rPr>
                <w:rFonts w:ascii="Arial" w:cs="Arial" w:eastAsia="Arial" w:hAnsi="Arial"/>
                <w:sz w:val="18"/>
                <w:szCs w:val="18"/>
                <w:color w:val="auto"/>
              </w:rPr>
              <w:t>December 31,</w:t>
            </w:r>
          </w:p>
        </w:tc>
      </w:tr>
      <w:tr>
        <w:trPr>
          <w:trHeight w:val="230"/>
        </w:trPr>
        <w:tc>
          <w:tcPr>
            <w:tcW w:w="7720" w:type="dxa"/>
            <w:vAlign w:val="bottom"/>
            <w:tcBorders>
              <w:bottom w:val="single" w:sz="8" w:color="CFF0FC"/>
            </w:tcBorders>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FF0FC"/>
            </w:tcBorders>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20"/>
                <w:szCs w:val="20"/>
                <w:color w:val="auto"/>
              </w:rPr>
            </w:pPr>
          </w:p>
        </w:tc>
      </w:tr>
      <w:tr>
        <w:trPr>
          <w:trHeight w:val="23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Ordinary shares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33,128,593</w:t>
            </w:r>
          </w:p>
        </w:tc>
        <w:tc>
          <w:tcPr>
            <w:tcW w:w="3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4,850,000</w:t>
            </w:r>
          </w:p>
        </w:tc>
        <w:tc>
          <w:tcPr>
            <w:tcW w:w="120" w:type="dxa"/>
            <w:vAlign w:val="bottom"/>
            <w:shd w:val="clear" w:color="auto" w:fill="CFF0FC"/>
          </w:tcPr>
          <w:p>
            <w:pPr>
              <w:spacing w:after="0"/>
              <w:rPr>
                <w:sz w:val="20"/>
                <w:szCs w:val="20"/>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Preferred shares A</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5,242,850</w:t>
            </w:r>
          </w:p>
        </w:tc>
        <w:tc>
          <w:tcPr>
            <w:tcW w:w="120" w:type="dxa"/>
            <w:vAlign w:val="bottom"/>
          </w:tcPr>
          <w:p>
            <w:pPr>
              <w:spacing w:after="0"/>
              <w:rPr>
                <w:sz w:val="21"/>
                <w:szCs w:val="21"/>
                <w:color w:val="auto"/>
              </w:rPr>
            </w:pPr>
          </w:p>
        </w:tc>
      </w:tr>
      <w:tr>
        <w:trPr>
          <w:trHeight w:val="24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Preferred shares B</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7,650,147</w:t>
            </w:r>
          </w:p>
        </w:tc>
        <w:tc>
          <w:tcPr>
            <w:tcW w:w="120" w:type="dxa"/>
            <w:vAlign w:val="bottom"/>
            <w:shd w:val="clear" w:color="auto" w:fill="CFF0FC"/>
          </w:tcPr>
          <w:p>
            <w:pPr>
              <w:spacing w:after="0"/>
              <w:rPr>
                <w:sz w:val="21"/>
                <w:szCs w:val="21"/>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Preferred shares C</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5,826,279</w:t>
            </w:r>
          </w:p>
        </w:tc>
        <w:tc>
          <w:tcPr>
            <w:tcW w:w="120" w:type="dxa"/>
            <w:vAlign w:val="bottom"/>
          </w:tcPr>
          <w:p>
            <w:pPr>
              <w:spacing w:after="0"/>
              <w:rPr>
                <w:sz w:val="21"/>
                <w:szCs w:val="21"/>
                <w:color w:val="auto"/>
              </w:rPr>
            </w:pPr>
          </w:p>
        </w:tc>
      </w:tr>
      <w:tr>
        <w:trPr>
          <w:trHeight w:val="237"/>
        </w:trPr>
        <w:tc>
          <w:tcPr>
            <w:tcW w:w="7720" w:type="dxa"/>
            <w:vAlign w:val="bottom"/>
            <w:tcBorders>
              <w:top w:val="single" w:sz="8" w:color="CFF0FC"/>
              <w:bottom w:val="single" w:sz="8" w:color="CFF0FC"/>
            </w:tcBorders>
            <w:shd w:val="clear" w:color="auto" w:fill="CFF0FC"/>
          </w:tcPr>
          <w:p>
            <w:pPr>
              <w:spacing w:after="0"/>
              <w:rPr>
                <w:sz w:val="20"/>
                <w:szCs w:val="20"/>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33,128,593</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23,569,276</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On February 5, 2021, the Company became public by listing its ordinary shares on the Nasdaq Stock Exchange. On the same date all Preferred shares A, Preferred shares B and Preferred shares C were automatically converted to ordinary shares and 9,511,075 shares were issued. Together with the issuance of the ordinary shares, the par value of each share was increased from €0.01 to €0.12.</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Arial" w:cs="Arial" w:eastAsia="Arial" w:hAnsi="Arial"/>
                <w:sz w:val="18"/>
                <w:szCs w:val="18"/>
                <w:b w:val="1"/>
                <w:bCs w:val="1"/>
                <w:color w:val="auto"/>
              </w:rPr>
              <w:t>14. Trade and other payables</w:t>
            </w:r>
          </w:p>
        </w:tc>
        <w:tc>
          <w:tcPr>
            <w:tcW w:w="4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40" w:type="dxa"/>
            <w:vAlign w:val="bottom"/>
            <w:gridSpan w:val="2"/>
          </w:tcPr>
          <w:p>
            <w:pPr>
              <w:ind w:left="140"/>
              <w:spacing w:after="0"/>
              <w:rPr>
                <w:sz w:val="20"/>
                <w:szCs w:val="20"/>
                <w:color w:val="auto"/>
              </w:rPr>
            </w:pPr>
            <w:r>
              <w:rPr>
                <w:rFonts w:ascii="Arial" w:cs="Arial" w:eastAsia="Arial" w:hAnsi="Arial"/>
                <w:sz w:val="18"/>
                <w:szCs w:val="18"/>
                <w:color w:val="auto"/>
              </w:rPr>
              <w:t>September 30,</w:t>
            </w:r>
          </w:p>
        </w:tc>
        <w:tc>
          <w:tcPr>
            <w:tcW w:w="1500" w:type="dxa"/>
            <w:vAlign w:val="bottom"/>
            <w:gridSpan w:val="2"/>
          </w:tcPr>
          <w:p>
            <w:pPr>
              <w:ind w:left="160"/>
              <w:spacing w:after="0"/>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p>
        </w:tc>
        <w:tc>
          <w:tcPr>
            <w:tcW w:w="4080" w:type="dxa"/>
            <w:vAlign w:val="bottom"/>
          </w:tcPr>
          <w:p>
            <w:pPr>
              <w:jc w:val="center"/>
              <w:ind w:left="2630"/>
              <w:spacing w:after="0"/>
              <w:rPr>
                <w:sz w:val="20"/>
                <w:szCs w:val="20"/>
                <w:color w:val="auto"/>
              </w:rPr>
            </w:pPr>
            <w:r>
              <w:rPr>
                <w:rFonts w:ascii="Arial" w:cs="Arial" w:eastAsia="Arial" w:hAnsi="Arial"/>
                <w:sz w:val="18"/>
                <w:szCs w:val="18"/>
                <w:color w:val="auto"/>
                <w:w w:val="93"/>
              </w:rPr>
              <w:t>Notes</w:t>
            </w: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Trade payables</w:t>
            </w:r>
          </w:p>
        </w:tc>
        <w:tc>
          <w:tcPr>
            <w:tcW w:w="40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3,372,341</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656,448</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Tax and social security liabilities</w:t>
            </w:r>
          </w:p>
        </w:tc>
        <w:tc>
          <w:tcPr>
            <w:tcW w:w="40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371,256</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190,504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Current lease liability</w:t>
            </w:r>
          </w:p>
        </w:tc>
        <w:tc>
          <w:tcPr>
            <w:tcW w:w="408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rPr>
              <w:t>9</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102,879</w:t>
            </w:r>
          </w:p>
        </w:tc>
        <w:tc>
          <w:tcPr>
            <w:tcW w:w="2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3,846,476</w:t>
            </w:r>
          </w:p>
        </w:tc>
        <w:tc>
          <w:tcPr>
            <w:tcW w:w="260" w:type="dxa"/>
            <w:vAlign w:val="bottom"/>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846,952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080" w:type="dxa"/>
            <w:vAlign w:val="bottom"/>
            <w:vMerge w:val="restart"/>
          </w:tcPr>
          <w:p>
            <w:pPr>
              <w:jc w:val="right"/>
              <w:ind w:right="2290"/>
              <w:spacing w:after="0"/>
              <w:rPr>
                <w:sz w:val="20"/>
                <w:szCs w:val="20"/>
                <w:color w:val="auto"/>
              </w:rPr>
            </w:pPr>
            <w:r>
              <w:rPr>
                <w:rFonts w:ascii="Arial" w:cs="Arial" w:eastAsia="Arial" w:hAnsi="Arial"/>
                <w:sz w:val="18"/>
                <w:szCs w:val="18"/>
                <w:color w:val="auto"/>
              </w:rPr>
              <w:t>17</w:t>
            </w: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38"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15. Accrued liabilities</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8"/>
        </w:trPr>
        <w:tc>
          <w:tcPr>
            <w:tcW w:w="7720" w:type="dxa"/>
            <w:vAlign w:val="bottom"/>
          </w:tcPr>
          <w:p>
            <w:pPr>
              <w:spacing w:after="0"/>
              <w:rPr>
                <w:sz w:val="24"/>
                <w:szCs w:val="24"/>
                <w:color w:val="auto"/>
              </w:rPr>
            </w:pPr>
          </w:p>
        </w:tc>
        <w:tc>
          <w:tcPr>
            <w:tcW w:w="1840" w:type="dxa"/>
            <w:vAlign w:val="bottom"/>
            <w:gridSpan w:val="2"/>
          </w:tcPr>
          <w:p>
            <w:pPr>
              <w:ind w:left="220"/>
              <w:spacing w:after="0"/>
              <w:rPr>
                <w:sz w:val="20"/>
                <w:szCs w:val="20"/>
                <w:color w:val="auto"/>
              </w:rPr>
            </w:pPr>
            <w:r>
              <w:rPr>
                <w:rFonts w:ascii="Arial" w:cs="Arial" w:eastAsia="Arial" w:hAnsi="Arial"/>
                <w:sz w:val="18"/>
                <w:szCs w:val="18"/>
                <w:color w:val="auto"/>
              </w:rPr>
              <w:t>September 30,</w:t>
            </w:r>
          </w:p>
        </w:tc>
        <w:tc>
          <w:tcPr>
            <w:tcW w:w="1680" w:type="dxa"/>
            <w:vAlign w:val="bottom"/>
            <w:gridSpan w:val="2"/>
          </w:tcPr>
          <w:p>
            <w:pPr>
              <w:ind w:left="240"/>
              <w:spacing w:after="0"/>
              <w:rPr>
                <w:sz w:val="20"/>
                <w:szCs w:val="20"/>
                <w:color w:val="auto"/>
              </w:rPr>
            </w:pPr>
            <w:r>
              <w:rPr>
                <w:rFonts w:ascii="Arial" w:cs="Arial" w:eastAsia="Arial" w:hAnsi="Arial"/>
                <w:sz w:val="18"/>
                <w:szCs w:val="18"/>
                <w:color w:val="auto"/>
              </w:rPr>
              <w:t>December 31,</w:t>
            </w:r>
          </w:p>
        </w:tc>
      </w:tr>
      <w:tr>
        <w:trPr>
          <w:trHeight w:val="230"/>
        </w:trPr>
        <w:tc>
          <w:tcPr>
            <w:tcW w:w="7720" w:type="dxa"/>
            <w:vAlign w:val="bottom"/>
          </w:tcPr>
          <w:p>
            <w:pPr>
              <w:spacing w:after="0"/>
              <w:rPr>
                <w:sz w:val="20"/>
                <w:szCs w:val="20"/>
                <w:color w:val="auto"/>
              </w:rPr>
            </w:pPr>
          </w:p>
        </w:tc>
        <w:tc>
          <w:tcPr>
            <w:tcW w:w="16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37"/>
        </w:trPr>
        <w:tc>
          <w:tcPr>
            <w:tcW w:w="7720" w:type="dxa"/>
            <w:vAlign w:val="bottom"/>
          </w:tcPr>
          <w:p>
            <w:pPr>
              <w:spacing w:after="0"/>
              <w:rPr>
                <w:sz w:val="20"/>
                <w:szCs w:val="20"/>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4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accounting fees</w:t>
            </w: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471,144</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1,505,304</w:t>
            </w:r>
          </w:p>
        </w:tc>
        <w:tc>
          <w:tcPr>
            <w:tcW w:w="120" w:type="dxa"/>
            <w:vAlign w:val="bottom"/>
            <w:shd w:val="clear" w:color="auto" w:fill="CFF0FC"/>
          </w:tcPr>
          <w:p>
            <w:pPr>
              <w:spacing w:after="0"/>
              <w:rPr>
                <w:sz w:val="21"/>
                <w:szCs w:val="21"/>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Clinical expenses</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1,097,000</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635,820</w:t>
            </w:r>
          </w:p>
        </w:tc>
        <w:tc>
          <w:tcPr>
            <w:tcW w:w="120" w:type="dxa"/>
            <w:vAlign w:val="bottom"/>
          </w:tcPr>
          <w:p>
            <w:pPr>
              <w:spacing w:after="0"/>
              <w:rPr>
                <w:sz w:val="21"/>
                <w:szCs w:val="21"/>
                <w:color w:val="auto"/>
              </w:rPr>
            </w:pPr>
          </w:p>
        </w:tc>
      </w:tr>
      <w:tr>
        <w:trPr>
          <w:trHeight w:val="24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Manufacturing expenses</w:t>
            </w: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419,000</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970,587</w:t>
            </w:r>
          </w:p>
        </w:tc>
        <w:tc>
          <w:tcPr>
            <w:tcW w:w="120" w:type="dxa"/>
            <w:vAlign w:val="bottom"/>
            <w:shd w:val="clear" w:color="auto" w:fill="CFF0FC"/>
          </w:tcPr>
          <w:p>
            <w:pPr>
              <w:spacing w:after="0"/>
              <w:rPr>
                <w:sz w:val="21"/>
                <w:szCs w:val="21"/>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Non-clinical expenses</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64,000</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421,429</w:t>
            </w:r>
          </w:p>
        </w:tc>
        <w:tc>
          <w:tcPr>
            <w:tcW w:w="120" w:type="dxa"/>
            <w:vAlign w:val="bottom"/>
          </w:tcPr>
          <w:p>
            <w:pPr>
              <w:spacing w:after="0"/>
              <w:rPr>
                <w:sz w:val="21"/>
                <w:szCs w:val="21"/>
                <w:color w:val="auto"/>
              </w:rPr>
            </w:pPr>
          </w:p>
        </w:tc>
      </w:tr>
      <w:tr>
        <w:trPr>
          <w:trHeight w:val="24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Personnel expenses</w:t>
            </w: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1,449,044</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875,238</w:t>
            </w:r>
          </w:p>
        </w:tc>
        <w:tc>
          <w:tcPr>
            <w:tcW w:w="120" w:type="dxa"/>
            <w:vAlign w:val="bottom"/>
            <w:shd w:val="clear" w:color="auto" w:fill="CFF0FC"/>
          </w:tcPr>
          <w:p>
            <w:pPr>
              <w:spacing w:after="0"/>
              <w:rPr>
                <w:sz w:val="21"/>
                <w:szCs w:val="21"/>
                <w:color w:val="auto"/>
              </w:rPr>
            </w:pPr>
          </w:p>
        </w:tc>
      </w:tr>
      <w:tr>
        <w:trPr>
          <w:trHeight w:val="24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expenses</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146,493</w:t>
            </w:r>
          </w:p>
        </w:tc>
        <w:tc>
          <w:tcPr>
            <w:tcW w:w="180" w:type="dxa"/>
            <w:vAlign w:val="bottom"/>
            <w:tcBorders>
              <w:bottom w:val="single" w:sz="8" w:color="CFF0FC"/>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58,459</w:t>
            </w:r>
          </w:p>
        </w:tc>
        <w:tc>
          <w:tcPr>
            <w:tcW w:w="120" w:type="dxa"/>
            <w:vAlign w:val="bottom"/>
            <w:tcBorders>
              <w:bottom w:val="single" w:sz="8" w:color="CFF0FC"/>
            </w:tcBorders>
          </w:tcPr>
          <w:p>
            <w:pPr>
              <w:spacing w:after="0"/>
              <w:rPr>
                <w:sz w:val="21"/>
                <w:szCs w:val="21"/>
                <w:color w:val="auto"/>
              </w:rPr>
            </w:pPr>
          </w:p>
        </w:tc>
      </w:tr>
      <w:tr>
        <w:trPr>
          <w:trHeight w:val="237"/>
        </w:trPr>
        <w:tc>
          <w:tcPr>
            <w:tcW w:w="772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3,646,681</w:t>
            </w:r>
          </w:p>
        </w:tc>
        <w:tc>
          <w:tcPr>
            <w:tcW w:w="18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4,466,837</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Risk management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Group’s risk management activities are the same as disclosed in note 16 of the consolidated financial statements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except for the following: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7"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The Company is exposed to foreign exchange risk arising from various currency exposures, primarily with respect to the U.S. Dollar. We received the proceeds from our initial public offering in February 2021 in U.S. Dollars. We seek to minimize our exchange rate risk by maintaining cash positions in the currencies in which we expect to incur the majority of our future expenses and we make payments from those positions.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Group has adopted an investment policy with the primary purpose of preserving capital, fulfilling its liquidity needs and diversifying the risks associated with cash. This investment policy establishes minimum ratings for institutions with which the Group holds cash, also aiming to minimize negative interest payment.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values</w:t>
      </w:r>
    </w:p>
    <w:p>
      <w:pPr>
        <w:spacing w:after="0" w:line="27"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Fair values of cash and cash equivalents, trade receivables, trade payables, and other current liabilities approximate their carrying amounts largely due to the short-term maturities of these instruments.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payments</w:t>
      </w:r>
    </w:p>
    <w:p>
      <w:pPr>
        <w:spacing w:after="0" w:line="27"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In 2016, the Company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long term incentive plan (“LTIP”).</w:t>
      </w:r>
    </w:p>
    <w:p>
      <w:pPr>
        <w:spacing w:after="0" w:line="2"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Set out below is an overview of changes in the Stock Options and Restricted Stock Units (“RSUs”) during the nine months ended September 30, 2021.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25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RSUs</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Weighted</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Weighted</w:t>
            </w:r>
          </w:p>
        </w:tc>
      </w:tr>
      <w:tr>
        <w:trPr>
          <w:trHeight w:val="229"/>
        </w:trPr>
        <w:tc>
          <w:tcPr>
            <w:tcW w:w="5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average</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r>
      <w:tr>
        <w:trPr>
          <w:trHeight w:val="230"/>
        </w:trPr>
        <w:tc>
          <w:tcPr>
            <w:tcW w:w="584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19"/>
                <w:szCs w:val="19"/>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exercise</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purchase</w:t>
            </w:r>
          </w:p>
        </w:tc>
      </w:tr>
      <w:tr>
        <w:trPr>
          <w:trHeight w:val="230"/>
        </w:trPr>
        <w:tc>
          <w:tcPr>
            <w:tcW w:w="584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options</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7"/>
              </w:rPr>
              <w:t>price</w:t>
            </w:r>
          </w:p>
        </w:tc>
        <w:tc>
          <w:tcPr>
            <w:tcW w:w="24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RSUs</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7"/>
              </w:rPr>
              <w:t>price</w:t>
            </w:r>
          </w:p>
        </w:tc>
        <w:tc>
          <w:tcPr>
            <w:tcW w:w="100" w:type="dxa"/>
            <w:vAlign w:val="bottom"/>
            <w:tcBorders>
              <w:bottom w:val="single" w:sz="8" w:color="CFF0FC"/>
            </w:tcBorders>
          </w:tcPr>
          <w:p>
            <w:pPr>
              <w:spacing w:after="0"/>
              <w:rPr>
                <w:sz w:val="20"/>
                <w:szCs w:val="20"/>
                <w:color w:val="auto"/>
              </w:rPr>
            </w:pPr>
          </w:p>
        </w:tc>
      </w:tr>
      <w:tr>
        <w:trPr>
          <w:trHeight w:val="237"/>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Outstanding January 1, 2021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1,465,295</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153,595</w:t>
            </w: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20"/>
                <w:szCs w:val="20"/>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1,144,000</w:t>
            </w:r>
          </w:p>
        </w:tc>
        <w:tc>
          <w:tcPr>
            <w:tcW w:w="24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15.80</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155,435</w:t>
            </w:r>
          </w:p>
        </w:tc>
        <w:tc>
          <w:tcPr>
            <w:tcW w:w="16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(34,000)</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(25,295)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(35,000)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16.67</w:t>
            </w:r>
          </w:p>
        </w:tc>
        <w:tc>
          <w:tcPr>
            <w:tcW w:w="2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37"/>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September 30,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2,540,295</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271,235</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January 1, 2021 the Company granted a total of 107,000 stock options to members of key management with an exercise price of €7.25 per share with a final exercise date of December 31, 2030 unless forfeited or exercised on an earlier date. On February 4, 2021, a total of 873,000 stock options were granted to members of key management with an exercise price of $20 per share with a final exercise date of February 3, 2031 unless forfeited or exercised on an earlier date. 25% of the aggregate number of share options shall vest on the 12-month anniversary of the vesting commencement date, and thereafter 1/48th of the aggregate number of share options shall vest on each subsequent monthly anniversary of the vesting commencement date until either the option is fully vested or the option holders’ continuous service terminates.</w:t>
      </w:r>
    </w:p>
    <w:p>
      <w:pPr>
        <w:spacing w:after="0" w:line="17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February 3, 2020 132,000 stock options were granted to a member of key management with an exercise price of €2.38 per share with a final exercise date of February 2, 2030 unless forfeited or exercised on an earlier date. Each of 2020, 2021, and 2022 is a performance period. The Board has determined the performance goals for the related performance period before September 30 of the respective year. On July 13, 2020 the performance goals for 2020 were determined and the fair value of the 44,000 stock options was reassessed for the stock options subject to the performance goals for 2020. The Board resolved to modify the terms and conditions related to the performance options effective June 25, 2021. The performance condition was released and the vesting period was changed from vesting on December 31, 2021 of the second tranche and December 31, 2022 of the third tranche to monthly vesting starting from February 3, 2020. Each month, 1/48 of the options will vest, with final vesting on February 4, 2024.</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Since this modification did not change Management’s best estimate of when the options will be exercised, no incremental fair value was granted.</w:t>
      </w:r>
    </w:p>
    <w:p>
      <w:pPr>
        <w:spacing w:after="0" w:line="22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June 25, 2021, a total of 14,000 stock options were granted to a member of key management with an exercise price of $20 per share with a final exercise date of February 3, 2031 unless forfeited or exercised on an earlier date. 25% of the aggregate number of share options shall vest on February 3, 2022 and thereafter 1/48th of the aggregate number of share options shall vest on each subsequent monthly anniversary of the vesting commencement date until either the option is fully vested or the option holders’ continuous service terminates.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July 1, 2021, a total of 150,000 stock options were granted to members of key management with an exercise price of $17.43 per share with a final exercise date of June 30, 2031 unless forfeited or exercised on an earlier date. 25% of the aggregate number of share options shall vest on June 30, 2022 and thereafter 1/48th of the aggregate number of share options shall vest on each subsequent monthly anniversary of the vesting commencement date until either the option is fully vested or the option holders’ continuous service terminates.</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three months ended September 30, 2021 a total of 66,452 RSUs were granted to employees that joined the Group in the same period. The RSUs shall vest equally over a four-year period on each of the four anniversaries of the vesting start date until either the RSUs are fully vested or the RSUs holders’ continuous service terminates.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0" w:name="page41"/>
    <w:bookmarkEnd w:id="40"/>
    <w:p>
      <w:pPr>
        <w:ind w:right="100"/>
        <w:spacing w:after="0" w:line="263" w:lineRule="auto"/>
        <w:rPr>
          <w:sz w:val="20"/>
          <w:szCs w:val="20"/>
          <w:color w:val="auto"/>
        </w:rPr>
      </w:pPr>
      <w:r>
        <w:rPr>
          <w:rFonts w:ascii="Arial" w:cs="Arial" w:eastAsia="Arial" w:hAnsi="Arial"/>
          <w:sz w:val="18"/>
          <w:szCs w:val="18"/>
          <w:color w:val="auto"/>
        </w:rPr>
        <w:t>The fair value of the RSUs is determined based on the share value per ordinary share at the grant date (or at the first trading day after the grant date if the Nasdaq Stock Exchange is not open on this date). The grant dates were July 1, 2021, August 1, 2021 and September 1, 2021. The share closing price was $17.43, $16.49 and $19.99 at July 1, 2021, August 2, 2021 and September 1, 2021, respectively.</w:t>
      </w:r>
    </w:p>
    <w:p>
      <w:pPr>
        <w:spacing w:after="0" w:line="14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For the nine months ended September 30, 2021, the Group recognized €6,207,308 of share-based payment expense in the unaudited condensed consolidated statement of income or loss and other comprehensive income (nine months ended September 30, 2020: €1,050,424).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 total number of 384,417 stock options are exercisable (September 30, 2020: nil).</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inputs used in the measurement of the fair value per option at each grant/ measurement date using the Black-Scholes formula (including the related number of options and the fair value of the options) were as follows: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July 1,</w:t>
            </w:r>
          </w:p>
        </w:tc>
        <w:tc>
          <w:tcPr>
            <w:tcW w:w="18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June 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June 25,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February 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January 1,</w:t>
            </w:r>
          </w:p>
        </w:tc>
      </w:tr>
      <w:tr>
        <w:trPr>
          <w:trHeight w:val="230"/>
        </w:trPr>
        <w:tc>
          <w:tcPr>
            <w:tcW w:w="3140" w:type="dxa"/>
            <w:vAlign w:val="bottom"/>
            <w:tcBorders>
              <w:bottom w:val="single" w:sz="8" w:color="CFF0FC"/>
            </w:tcBorders>
          </w:tcPr>
          <w:p>
            <w:pPr>
              <w:spacing w:after="0"/>
              <w:rPr>
                <w:sz w:val="20"/>
                <w:szCs w:val="20"/>
                <w:color w:val="auto"/>
              </w:rPr>
            </w:pPr>
          </w:p>
        </w:tc>
        <w:tc>
          <w:tcPr>
            <w:tcW w:w="6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CFF0FC"/>
            </w:tcBorders>
          </w:tcPr>
          <w:p>
            <w:pPr>
              <w:spacing w:after="0"/>
              <w:rPr>
                <w:sz w:val="20"/>
                <w:szCs w:val="20"/>
                <w:color w:val="auto"/>
              </w:rPr>
            </w:pPr>
          </w:p>
        </w:tc>
      </w:tr>
      <w:tr>
        <w:trPr>
          <w:trHeight w:val="237"/>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Number of options</w:t>
            </w: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88,000</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873,000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107,000</w:t>
            </w:r>
          </w:p>
        </w:tc>
        <w:tc>
          <w:tcPr>
            <w:tcW w:w="400" w:type="dxa"/>
            <w:vAlign w:val="bottom"/>
            <w:shd w:val="clear" w:color="auto" w:fill="CFF0FC"/>
          </w:tcPr>
          <w:p>
            <w:pPr>
              <w:spacing w:after="0"/>
              <w:rPr>
                <w:sz w:val="20"/>
                <w:szCs w:val="20"/>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Fair value of the options</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10.50</w:t>
            </w:r>
          </w:p>
        </w:tc>
        <w:tc>
          <w:tcPr>
            <w:tcW w:w="34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10.90</w:t>
            </w:r>
          </w:p>
        </w:tc>
        <w:tc>
          <w:tcPr>
            <w:tcW w:w="260" w:type="dxa"/>
            <w:vAlign w:val="bottom"/>
          </w:tcPr>
          <w:p>
            <w:pPr>
              <w:spacing w:after="0"/>
              <w:rPr>
                <w:sz w:val="21"/>
                <w:szCs w:val="21"/>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13.73</w:t>
            </w:r>
          </w:p>
        </w:tc>
        <w:tc>
          <w:tcPr>
            <w:tcW w:w="320" w:type="dxa"/>
            <w:vAlign w:val="bottom"/>
          </w:tcPr>
          <w:p>
            <w:pPr>
              <w:spacing w:after="0"/>
              <w:rPr>
                <w:sz w:val="21"/>
                <w:szCs w:val="21"/>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11.88</w:t>
            </w:r>
          </w:p>
        </w:tc>
        <w:tc>
          <w:tcPr>
            <w:tcW w:w="240" w:type="dxa"/>
            <w:vAlign w:val="bottom"/>
          </w:tcPr>
          <w:p>
            <w:pPr>
              <w:spacing w:after="0"/>
              <w:rPr>
                <w:sz w:val="21"/>
                <w:szCs w:val="21"/>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6.08</w:t>
            </w:r>
          </w:p>
        </w:tc>
        <w:tc>
          <w:tcPr>
            <w:tcW w:w="400" w:type="dxa"/>
            <w:vAlign w:val="bottom"/>
          </w:tcPr>
          <w:p>
            <w:pPr>
              <w:spacing w:after="0"/>
              <w:rPr>
                <w:sz w:val="21"/>
                <w:szCs w:val="21"/>
                <w:color w:val="auto"/>
              </w:rPr>
            </w:pPr>
          </w:p>
        </w:tc>
      </w:tr>
      <w:tr>
        <w:trPr>
          <w:trHeight w:val="243"/>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Fair value of the ordinary shares</w:t>
            </w:r>
          </w:p>
        </w:tc>
        <w:tc>
          <w:tcPr>
            <w:tcW w:w="90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260" w:type="dxa"/>
            <w:vAlign w:val="bottom"/>
            <w:shd w:val="clear" w:color="auto" w:fill="CFF0FC"/>
          </w:tcPr>
          <w:p>
            <w:pPr>
              <w:spacing w:after="0"/>
              <w:rPr>
                <w:sz w:val="21"/>
                <w:szCs w:val="21"/>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320" w:type="dxa"/>
            <w:vAlign w:val="bottom"/>
            <w:shd w:val="clear" w:color="auto" w:fill="CFF0FC"/>
          </w:tcPr>
          <w:p>
            <w:pPr>
              <w:spacing w:after="0"/>
              <w:rPr>
                <w:sz w:val="21"/>
                <w:szCs w:val="21"/>
                <w:color w:val="auto"/>
              </w:rPr>
            </w:pP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w:t>
            </w:r>
          </w:p>
        </w:tc>
        <w:tc>
          <w:tcPr>
            <w:tcW w:w="240" w:type="dxa"/>
            <w:vAlign w:val="bottom"/>
            <w:shd w:val="clear" w:color="auto" w:fill="CFF0FC"/>
          </w:tcPr>
          <w:p>
            <w:pPr>
              <w:spacing w:after="0"/>
              <w:rPr>
                <w:sz w:val="21"/>
                <w:szCs w:val="21"/>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400" w:type="dxa"/>
            <w:vAlign w:val="bottom"/>
            <w:shd w:val="clear" w:color="auto" w:fill="CFF0FC"/>
          </w:tcPr>
          <w:p>
            <w:pPr>
              <w:spacing w:after="0"/>
              <w:rPr>
                <w:sz w:val="21"/>
                <w:szCs w:val="2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Exercise price</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14.67</w:t>
            </w:r>
          </w:p>
        </w:tc>
        <w:tc>
          <w:tcPr>
            <w:tcW w:w="34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16.74</w:t>
            </w:r>
          </w:p>
        </w:tc>
        <w:tc>
          <w:tcPr>
            <w:tcW w:w="260" w:type="dxa"/>
            <w:vAlign w:val="bottom"/>
          </w:tcPr>
          <w:p>
            <w:pPr>
              <w:spacing w:after="0"/>
              <w:rPr>
                <w:sz w:val="21"/>
                <w:szCs w:val="21"/>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2.38</w:t>
            </w:r>
          </w:p>
        </w:tc>
        <w:tc>
          <w:tcPr>
            <w:tcW w:w="320" w:type="dxa"/>
            <w:vAlign w:val="bottom"/>
          </w:tcPr>
          <w:p>
            <w:pPr>
              <w:spacing w:after="0"/>
              <w:rPr>
                <w:sz w:val="21"/>
                <w:szCs w:val="21"/>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16.69</w:t>
            </w:r>
          </w:p>
        </w:tc>
        <w:tc>
          <w:tcPr>
            <w:tcW w:w="240" w:type="dxa"/>
            <w:vAlign w:val="bottom"/>
          </w:tcPr>
          <w:p>
            <w:pPr>
              <w:spacing w:after="0"/>
              <w:rPr>
                <w:sz w:val="21"/>
                <w:szCs w:val="21"/>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7.25</w:t>
            </w:r>
          </w:p>
        </w:tc>
        <w:tc>
          <w:tcPr>
            <w:tcW w:w="400" w:type="dxa"/>
            <w:vAlign w:val="bottom"/>
          </w:tcPr>
          <w:p>
            <w:pPr>
              <w:spacing w:after="0"/>
              <w:rPr>
                <w:sz w:val="21"/>
                <w:szCs w:val="21"/>
                <w:color w:val="auto"/>
              </w:rPr>
            </w:pPr>
          </w:p>
        </w:tc>
      </w:tr>
      <w:tr>
        <w:trPr>
          <w:trHeight w:val="243"/>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85%</w:t>
            </w: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Expected life (years)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21"/>
                <w:szCs w:val="21"/>
                <w:color w:val="auto"/>
              </w:rPr>
            </w:pPr>
          </w:p>
        </w:tc>
      </w:tr>
      <w:tr>
        <w:trPr>
          <w:trHeight w:val="243"/>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 (%)</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(0.6)%</w:t>
            </w: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Expected volatility is based on an evaluation of the historical volatilities of comparable listed biotech-companies over the most recent historical period that commensurate with the expected option life. The expected life is based on Management’s best estimate of when the options will be exercised. The risk-free interest rate is based on the yield on German Government Strip bonds or US Government bonds depending on whether the exercise price is in euros or in US Dollars, with tenure equal to the expected life. The expected dividend yield is zero considering the stage of the Group.</w:t>
      </w:r>
    </w:p>
    <w:p>
      <w:pPr>
        <w:spacing w:after="0" w:line="14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On February 5, 2021, the Company’s ordinary shares began trading on the Nasdaq Stock Exchange. From that date, the shares of the Company were traded at a regulated stock exchange. For the determination of the fair value on the grant date, the closing price on the grant date is used.</w:t>
      </w:r>
    </w:p>
    <w:p>
      <w:pPr>
        <w:spacing w:after="0" w:line="10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Reference is made to Note 5 for allocation of expenses in lines of the unaudited condensed consolidated statement of income or loss and other comprehensive income.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Basic and diluted loss per share</w:t>
      </w:r>
    </w:p>
    <w:p>
      <w:pPr>
        <w:spacing w:after="0" w:line="2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Basic and diluted loss per share is calculated by dividing the loss attributable to equity holders of the Company by the weighted average number of issued and outstanding ordinary shares during the three and nine months ended September 30, 2021 and September 30, 2020.</w:t>
      </w:r>
    </w:p>
    <w:p>
      <w:pPr>
        <w:spacing w:after="0" w:line="1" w:lineRule="exact"/>
        <w:rPr>
          <w:sz w:val="20"/>
          <w:szCs w:val="20"/>
          <w:color w:val="auto"/>
        </w:rPr>
      </w:pPr>
    </w:p>
    <w:p>
      <w:pPr>
        <w:ind w:right="800"/>
        <w:spacing w:after="0" w:line="250" w:lineRule="auto"/>
        <w:rPr>
          <w:sz w:val="20"/>
          <w:szCs w:val="20"/>
          <w:color w:val="auto"/>
        </w:rPr>
      </w:pPr>
      <w:r>
        <w:rPr>
          <w:rFonts w:ascii="Arial" w:cs="Arial" w:eastAsia="Arial" w:hAnsi="Arial"/>
          <w:sz w:val="18"/>
          <w:szCs w:val="18"/>
          <w:color w:val="auto"/>
        </w:rPr>
        <w:t>The Company’s potential dilutive securities have been excluded from the computation of diluted net loss per share attributable to ordinary stockholders as the effect of including them would be antidilutive.</w:t>
      </w:r>
    </w:p>
    <w:p>
      <w:pPr>
        <w:spacing w:after="0" w:line="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Potentially dilutive shares that were not included in the diluted per share calculations because they would be anti-dilutive were 5,242,850 Series A preferred shares and 7,650,147 Series B preferred shares as of September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ind w:right="220"/>
        <w:spacing w:after="0" w:line="277" w:lineRule="auto"/>
        <w:rPr>
          <w:sz w:val="20"/>
          <w:szCs w:val="20"/>
          <w:color w:val="auto"/>
        </w:rPr>
      </w:pPr>
      <w:r>
        <w:rPr>
          <w:rFonts w:ascii="Arial" w:cs="Arial" w:eastAsia="Arial" w:hAnsi="Arial"/>
          <w:sz w:val="18"/>
          <w:szCs w:val="18"/>
          <w:color w:val="auto"/>
        </w:rPr>
        <w:t>30, 2020. All the preferred shares were converted to common shares on the date that the Company completed its listing at Nasdaq. All the options outstanding as of September 30, 2021 and 2020 were anti-dilutive and were not included in the diluted per share calculations.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3580" w:type="dxa"/>
            <w:vAlign w:val="bottom"/>
            <w:gridSpan w:val="5"/>
          </w:tcPr>
          <w:p>
            <w:pPr>
              <w:ind w:left="900"/>
              <w:spacing w:after="0"/>
              <w:rPr>
                <w:sz w:val="20"/>
                <w:szCs w:val="20"/>
                <w:color w:val="auto"/>
              </w:rPr>
            </w:pPr>
            <w:r>
              <w:rPr>
                <w:rFonts w:ascii="Arial" w:cs="Arial" w:eastAsia="Arial" w:hAnsi="Arial"/>
                <w:sz w:val="18"/>
                <w:szCs w:val="18"/>
                <w:color w:val="auto"/>
              </w:rPr>
              <w:t>For the three months ended</w:t>
            </w:r>
          </w:p>
        </w:tc>
        <w:tc>
          <w:tcPr>
            <w:tcW w:w="2460" w:type="dxa"/>
            <w:vAlign w:val="bottom"/>
            <w:gridSpan w:val="4"/>
          </w:tcPr>
          <w:p>
            <w:pPr>
              <w:spacing w:after="0"/>
              <w:rPr>
                <w:sz w:val="20"/>
                <w:szCs w:val="20"/>
                <w:color w:val="auto"/>
              </w:rPr>
            </w:pPr>
            <w:r>
              <w:rPr>
                <w:rFonts w:ascii="Arial" w:cs="Arial" w:eastAsia="Arial" w:hAnsi="Arial"/>
                <w:sz w:val="18"/>
                <w:szCs w:val="18"/>
                <w:color w:val="auto"/>
              </w:rPr>
              <w:t>For the nine months ended</w:t>
            </w:r>
          </w:p>
        </w:tc>
      </w:tr>
      <w:tr>
        <w:trPr>
          <w:trHeight w:val="230"/>
        </w:trPr>
        <w:tc>
          <w:tcPr>
            <w:tcW w:w="5200" w:type="dxa"/>
            <w:vAlign w:val="bottom"/>
          </w:tcPr>
          <w:p>
            <w:pPr>
              <w:spacing w:after="0"/>
              <w:rPr>
                <w:sz w:val="20"/>
                <w:szCs w:val="20"/>
                <w:color w:val="auto"/>
              </w:rPr>
            </w:pPr>
          </w:p>
        </w:tc>
        <w:tc>
          <w:tcPr>
            <w:tcW w:w="2320" w:type="dxa"/>
            <w:vAlign w:val="bottom"/>
            <w:gridSpan w:val="3"/>
          </w:tcPr>
          <w:p>
            <w:pPr>
              <w:ind w:left="900"/>
              <w:spacing w:after="0"/>
              <w:rPr>
                <w:sz w:val="20"/>
                <w:szCs w:val="20"/>
                <w:color w:val="auto"/>
              </w:rPr>
            </w:pPr>
            <w:r>
              <w:rPr>
                <w:rFonts w:ascii="Arial" w:cs="Arial" w:eastAsia="Arial" w:hAnsi="Arial"/>
                <w:sz w:val="18"/>
                <w:szCs w:val="18"/>
                <w:color w:val="auto"/>
              </w:rPr>
              <w:t>September 30,</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36"/>
        </w:trPr>
        <w:tc>
          <w:tcPr>
            <w:tcW w:w="5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w:t>
            </w: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Loss attributable to equity holders of the Company</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(9,142,674)</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(6,399,837)</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(30,386,648)</w:t>
            </w: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(15,421,796)</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2200" w:type="dxa"/>
            <w:vAlign w:val="bottom"/>
            <w:gridSpan w:val="2"/>
          </w:tcPr>
          <w:p>
            <w:pPr>
              <w:jc w:val="right"/>
              <w:ind w:right="50"/>
              <w:spacing w:after="0"/>
              <w:rPr>
                <w:sz w:val="20"/>
                <w:szCs w:val="20"/>
                <w:color w:val="auto"/>
              </w:rPr>
            </w:pPr>
            <w:r>
              <w:rPr>
                <w:rFonts w:ascii="Arial" w:cs="Arial" w:eastAsia="Arial" w:hAnsi="Arial"/>
                <w:sz w:val="18"/>
                <w:szCs w:val="18"/>
                <w:color w:val="auto"/>
              </w:rPr>
              <w:t>23,282,105</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4,850,000</w:t>
            </w: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23,282,105</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4,850,000</w:t>
            </w:r>
          </w:p>
        </w:tc>
        <w:tc>
          <w:tcPr>
            <w:tcW w:w="100" w:type="dxa"/>
            <w:vAlign w:val="bottom"/>
          </w:tcPr>
          <w:p>
            <w:pPr>
              <w:spacing w:after="0"/>
              <w:rPr>
                <w:sz w:val="21"/>
                <w:szCs w:val="21"/>
                <w:color w:val="auto"/>
              </w:rPr>
            </w:pP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loss per share</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(1.32)</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(3.18)</w:t>
            </w:r>
          </w:p>
        </w:tc>
      </w:tr>
    </w:tbl>
    <w:p>
      <w:pPr>
        <w:spacing w:after="0" w:line="346" w:lineRule="exact"/>
        <w:rPr>
          <w:sz w:val="20"/>
          <w:szCs w:val="20"/>
          <w:color w:val="auto"/>
        </w:rPr>
      </w:pPr>
    </w:p>
    <w:p>
      <w:pPr>
        <w:ind w:right="8300" w:firstLine="8"/>
        <w:spacing w:after="0" w:line="282" w:lineRule="auto"/>
        <w:tabs>
          <w:tab w:leader="none" w:pos="284"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claims known to management related to the activities of the Group.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3"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The Group’s contractual obligations and commitments as of September 30, 2021 amounted to €18,500,000, (December 31, 2020: €11,351,000) primarily related to research and development commitments. All of which are due within 3 years.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Group had no contingent liabilities and no contingent assets as at September 30, 2021 and at September 30, 2020, 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parties</w:t>
      </w:r>
    </w:p>
    <w:p>
      <w:pPr>
        <w:spacing w:after="0" w:line="27"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Note 1.2 provides information about the Group’s structure, including details of the subsidiaries and the holding company. The following provides the total amount of transactions that have been entered into with related parties for the relevant financial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Charité Research Organisation GmbH (Charité CRO)</w:t>
      </w:r>
    </w:p>
    <w:p>
      <w:pPr>
        <w:spacing w:after="0" w:line="27"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Dr Knolle, who has served as Chief Scientific Officer and Chief Operating Officer since its inception, is a member of the board of Charité CRO. The Group has entered into a service contract with Charité CRO according to which Charité CRO provides services supporting research for the Group. The aggregate transaction value of the transactions with Charité CRO during the nine months ended September 30, 2021 and 2020 were €608 and €1,018,625, respectively. The outstanding balances with Charité CRO amounts to €nil on September 30, 2021 and December 31, 2020,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management personnel compensation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4500" w:type="dxa"/>
            <w:vAlign w:val="bottom"/>
            <w:gridSpan w:val="4"/>
          </w:tcPr>
          <w:p>
            <w:pPr>
              <w:ind w:left="1860"/>
              <w:spacing w:after="0"/>
              <w:rPr>
                <w:sz w:val="20"/>
                <w:szCs w:val="20"/>
                <w:color w:val="auto"/>
              </w:rPr>
            </w:pPr>
            <w:r>
              <w:rPr>
                <w:rFonts w:ascii="Arial" w:cs="Arial" w:eastAsia="Arial" w:hAnsi="Arial"/>
                <w:sz w:val="18"/>
                <w:szCs w:val="18"/>
                <w:color w:val="auto"/>
              </w:rPr>
              <w:t>For the three months ended</w:t>
            </w:r>
          </w:p>
        </w:tc>
        <w:tc>
          <w:tcPr>
            <w:tcW w:w="2640" w:type="dxa"/>
            <w:vAlign w:val="bottom"/>
            <w:gridSpan w:val="5"/>
          </w:tcPr>
          <w:p>
            <w:pPr>
              <w:ind w:left="120"/>
              <w:spacing w:after="0"/>
              <w:rPr>
                <w:sz w:val="20"/>
                <w:szCs w:val="20"/>
                <w:color w:val="auto"/>
              </w:rPr>
            </w:pPr>
            <w:r>
              <w:rPr>
                <w:rFonts w:ascii="Arial" w:cs="Arial" w:eastAsia="Arial" w:hAnsi="Arial"/>
                <w:sz w:val="18"/>
                <w:szCs w:val="18"/>
                <w:color w:val="auto"/>
              </w:rPr>
              <w:t>For the nine months ended</w:t>
            </w:r>
          </w:p>
        </w:tc>
      </w:tr>
      <w:tr>
        <w:trPr>
          <w:trHeight w:val="230"/>
        </w:trPr>
        <w:tc>
          <w:tcPr>
            <w:tcW w:w="4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September 30,</w:t>
            </w:r>
          </w:p>
        </w:tc>
        <w:tc>
          <w:tcPr>
            <w:tcW w:w="1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September 30,</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100" w:type="dxa"/>
            <w:vAlign w:val="bottom"/>
            <w:tcBorders>
              <w:bottom w:val="single" w:sz="8" w:color="CFF0FC"/>
            </w:tcBorders>
          </w:tcPr>
          <w:p>
            <w:pPr>
              <w:spacing w:after="0"/>
              <w:rPr>
                <w:sz w:val="20"/>
                <w:szCs w:val="20"/>
                <w:color w:val="auto"/>
              </w:rPr>
            </w:pPr>
          </w:p>
        </w:tc>
        <w:tc>
          <w:tcPr>
            <w:tcW w:w="186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FF0FC"/>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FF0FC"/>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20"/>
                <w:szCs w:val="20"/>
                <w:color w:val="auto"/>
              </w:rPr>
            </w:pPr>
          </w:p>
        </w:tc>
      </w:tr>
      <w:tr>
        <w:trPr>
          <w:trHeight w:val="236"/>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Short term employee benefits</w:t>
            </w:r>
          </w:p>
        </w:tc>
        <w:tc>
          <w:tcPr>
            <w:tcW w:w="3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838,302</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219,050</w:t>
            </w:r>
          </w:p>
        </w:tc>
        <w:tc>
          <w:tcPr>
            <w:tcW w:w="1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2,274,408</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1,022,417</w:t>
            </w:r>
          </w:p>
        </w:tc>
        <w:tc>
          <w:tcPr>
            <w:tcW w:w="100" w:type="dxa"/>
            <w:vAlign w:val="bottom"/>
            <w:shd w:val="clear" w:color="auto" w:fill="CFF0FC"/>
          </w:tcPr>
          <w:p>
            <w:pPr>
              <w:spacing w:after="0"/>
              <w:rPr>
                <w:sz w:val="20"/>
                <w:szCs w:val="20"/>
                <w:color w:val="auto"/>
              </w:rPr>
            </w:pP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Post employee benefits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34,079</w:t>
            </w: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17,488</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56,178</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31,203</w:t>
            </w:r>
          </w:p>
        </w:tc>
        <w:tc>
          <w:tcPr>
            <w:tcW w:w="100" w:type="dxa"/>
            <w:vAlign w:val="bottom"/>
          </w:tcPr>
          <w:p>
            <w:pPr>
              <w:spacing w:after="0"/>
              <w:rPr>
                <w:sz w:val="21"/>
                <w:szCs w:val="21"/>
                <w:color w:val="auto"/>
              </w:rPr>
            </w:pPr>
          </w:p>
        </w:tc>
      </w:tr>
      <w:tr>
        <w:trPr>
          <w:trHeight w:val="24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Share-based payments</w:t>
            </w:r>
          </w:p>
        </w:tc>
        <w:tc>
          <w:tcPr>
            <w:tcW w:w="1860" w:type="dxa"/>
            <w:vAlign w:val="bottom"/>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3,342,072</w:t>
            </w:r>
          </w:p>
        </w:tc>
        <w:tc>
          <w:tcPr>
            <w:tcW w:w="200" w:type="dxa"/>
            <w:vAlign w:val="bottom"/>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249,338</w:t>
            </w:r>
          </w:p>
        </w:tc>
        <w:tc>
          <w:tcPr>
            <w:tcW w:w="120" w:type="dxa"/>
            <w:vAlign w:val="bottom"/>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5,464,808</w:t>
            </w:r>
          </w:p>
        </w:tc>
        <w:tc>
          <w:tcPr>
            <w:tcW w:w="140" w:type="dxa"/>
            <w:vAlign w:val="bottom"/>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607,543</w:t>
            </w:r>
          </w:p>
        </w:tc>
        <w:tc>
          <w:tcPr>
            <w:tcW w:w="100" w:type="dxa"/>
            <w:vAlign w:val="bottom"/>
            <w:shd w:val="clear" w:color="auto" w:fill="CFF0FC"/>
          </w:tcPr>
          <w:p>
            <w:pPr>
              <w:spacing w:after="0"/>
              <w:rPr>
                <w:sz w:val="21"/>
                <w:szCs w:val="21"/>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4,214,453</w:t>
            </w:r>
          </w:p>
        </w:tc>
        <w:tc>
          <w:tcPr>
            <w:tcW w:w="2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485,876</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7,795,394</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1,661,163</w:t>
            </w:r>
          </w:p>
        </w:tc>
        <w:tc>
          <w:tcPr>
            <w:tcW w:w="100" w:type="dxa"/>
            <w:vAlign w:val="bottom"/>
          </w:tcPr>
          <w:p>
            <w:pPr>
              <w:spacing w:after="0"/>
              <w:rPr>
                <w:sz w:val="20"/>
                <w:szCs w:val="20"/>
                <w:color w:val="auto"/>
              </w:rPr>
            </w:pPr>
          </w:p>
        </w:tc>
      </w:tr>
      <w:tr>
        <w:trPr>
          <w:trHeight w:val="20"/>
        </w:trPr>
        <w:tc>
          <w:tcPr>
            <w:tcW w:w="4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An amount of €220.000 of the short-term employee benefits is capitalized in the unaudited condensed consolidated statements of financial position as at September 30, 2020 and is recognized in the Group’s statements of profit or loss and other comprehensive income in the period between October 2020 and September 2021.</w:t>
      </w:r>
    </w:p>
    <w:p>
      <w:pPr>
        <w:spacing w:after="0" w:line="14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 total of 1,144,000 stock options are granted to key management during the nine months ended September 30, 2021. Refer to note 18 for disclosures on the share-based payments.</w:t>
      </w:r>
    </w:p>
    <w:p>
      <w:pPr>
        <w:spacing w:after="0" w:line="143" w:lineRule="exact"/>
        <w:rPr>
          <w:sz w:val="20"/>
          <w:szCs w:val="20"/>
          <w:color w:val="auto"/>
        </w:rPr>
      </w:pPr>
    </w:p>
    <w:p>
      <w:pPr>
        <w:ind w:right="540"/>
        <w:spacing w:after="0" w:line="311" w:lineRule="auto"/>
        <w:rPr>
          <w:sz w:val="20"/>
          <w:szCs w:val="20"/>
          <w:color w:val="auto"/>
        </w:rPr>
      </w:pPr>
      <w:r>
        <w:rPr>
          <w:rFonts w:ascii="Arial" w:cs="Arial" w:eastAsia="Arial" w:hAnsi="Arial"/>
          <w:sz w:val="16"/>
          <w:szCs w:val="16"/>
          <w:color w:val="auto"/>
        </w:rPr>
        <w:t>The Group engages several management entities for the purpose of providing key management services to the Group. The aggregate value of transactions related to key management personnel, or entities which they control were €1,896,264 and €1,217,298 in the nine months ended September 30, 2021 and 2020, respectively and €157,881 and €287,394 in the three months ended September 30, 2021 and 2020 respectively.</w:t>
      </w:r>
    </w:p>
    <w:p>
      <w:pPr>
        <w:spacing w:after="0" w:line="1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outstanding balances payable to key management personnel, or entities which they control, as per September 30, 2021 and December 31, 2020 were €124,371 and €57,920,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Events after the reporting period</w:t>
      </w:r>
    </w:p>
    <w:p>
      <w:pPr>
        <w:spacing w:after="0" w:line="27" w:lineRule="exact"/>
        <w:rPr>
          <w:sz w:val="20"/>
          <w:szCs w:val="20"/>
          <w:color w:val="auto"/>
        </w:rPr>
      </w:pPr>
    </w:p>
    <w:p>
      <w:pPr>
        <w:ind w:right="720"/>
        <w:spacing w:after="0" w:line="290" w:lineRule="auto"/>
        <w:rPr>
          <w:sz w:val="20"/>
          <w:szCs w:val="20"/>
          <w:color w:val="auto"/>
        </w:rPr>
      </w:pPr>
      <w:r>
        <w:rPr>
          <w:rFonts w:ascii="Arial" w:cs="Arial" w:eastAsia="Arial" w:hAnsi="Arial"/>
          <w:sz w:val="17"/>
          <w:szCs w:val="17"/>
          <w:color w:val="auto"/>
        </w:rPr>
        <w:t>The Company has evaluated subsequent events through November 10, 2021, which is the date the condensed consolidated interim financial statements were authorized for issuance and did not identify any significant event after reporting period that needs to be disclosed.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3" w:name="page44"/>
    <w:bookmarkEnd w:id="43"/>
    <w:p>
      <w:pPr>
        <w:ind w:right="3639"/>
        <w:spacing w:after="0" w:line="454" w:lineRule="auto"/>
        <w:rPr>
          <w:sz w:val="20"/>
          <w:szCs w:val="20"/>
          <w:color w:val="auto"/>
        </w:rPr>
      </w:pPr>
      <w:r>
        <w:rPr>
          <w:rFonts w:ascii="Arial" w:cs="Arial" w:eastAsia="Arial" w:hAnsi="Arial"/>
          <w:sz w:val="18"/>
          <w:szCs w:val="18"/>
          <w:b w:val="1"/>
          <w:bCs w:val="1"/>
          <w:color w:val="auto"/>
        </w:rPr>
        <w:t xml:space="preserve">Signatories to the unaudited condensed consolidated interim financial statements </w:t>
      </w:r>
      <w:r>
        <w:rPr>
          <w:rFonts w:ascii="Arial" w:cs="Arial" w:eastAsia="Arial" w:hAnsi="Arial"/>
          <w:sz w:val="18"/>
          <w:szCs w:val="18"/>
          <w:color w:val="auto"/>
        </w:rPr>
        <w:t>Leiden, November 10, 2021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Pharvaris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B.A.E. Modig</w:t>
      </w:r>
      <w:r>
        <w:rPr>
          <w:sz w:val="20"/>
          <w:szCs w:val="20"/>
          <w:color w:val="auto"/>
        </w:rPr>
        <w:tab/>
      </w:r>
      <w:r>
        <w:rPr>
          <w:rFonts w:ascii="Arial" w:cs="Arial" w:eastAsia="Arial" w:hAnsi="Arial"/>
          <w:sz w:val="18"/>
          <w:szCs w:val="18"/>
          <w:color w:val="auto"/>
        </w:rPr>
        <w:t>M. Kleijwegt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R.P.L. Droller</w:t>
      </w:r>
      <w:r>
        <w:rPr>
          <w:sz w:val="20"/>
          <w:szCs w:val="20"/>
          <w:color w:val="auto"/>
        </w:rPr>
        <w:tab/>
      </w:r>
      <w:r>
        <w:rPr>
          <w:rFonts w:ascii="Arial" w:cs="Arial" w:eastAsia="Arial" w:hAnsi="Arial"/>
          <w:sz w:val="16"/>
          <w:szCs w:val="16"/>
          <w:color w:val="auto"/>
        </w:rPr>
        <w:t>R.H. Glassman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D.P. Meeker</w:t>
      </w:r>
      <w:r>
        <w:rPr>
          <w:sz w:val="20"/>
          <w:szCs w:val="20"/>
          <w:color w:val="auto"/>
        </w:rPr>
        <w:tab/>
      </w:r>
      <w:r>
        <w:rPr>
          <w:rFonts w:ascii="Arial" w:cs="Arial" w:eastAsia="Arial" w:hAnsi="Arial"/>
          <w:sz w:val="16"/>
          <w:szCs w:val="16"/>
          <w:color w:val="auto"/>
        </w:rPr>
        <w:t>J.G.C.P. Schikan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V. Monges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sectPr>
      <w:pgSz w:w="11900" w:h="16838" w:orient="portrait"/>
      <w:cols w:equalWidth="0" w:num="1">
        <w:col w:w="10139"/>
      </w:cols>
      <w:pgMar w:left="320" w:top="6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2021-11-10T07:06:20Z</dcterms:created>
  <dcterms:modified xsi:type="dcterms:W3CDTF">2021-11-10T07:06:20Z</dcterms:modified>
</cp:coreProperties>
</file>