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ind w:left="9840" w:right="300" w:hanging="9515"/>
        <w:spacing w:after="0" w:line="317"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February 4, 2021 under the Securities Act of 1933, as amended.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PHARVARIS B.V.</w:t>
      </w:r>
      <w:r>
        <w:rPr>
          <w:rFonts w:ascii="Times New Roman" w:cs="Times New Roman" w:eastAsia="Times New Roman" w:hAnsi="Times New Roman"/>
          <w:sz w:val="73"/>
          <w:szCs w:val="7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8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22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20" w:type="dxa"/>
            <w:vAlign w:val="bottom"/>
          </w:tcPr>
          <w:p>
            <w:pPr>
              <w:jc w:val="center"/>
              <w:ind w:left="10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2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 (0)71 203 6410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Berndt Modig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B.V.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 (0)71 203 6410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3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Copies:</w:t>
            </w:r>
          </w:p>
        </w:tc>
        <w:tc>
          <w:tcPr>
            <w:tcW w:w="3280" w:type="dxa"/>
            <w:vAlign w:val="bottom"/>
          </w:tcPr>
          <w:p>
            <w:pPr>
              <w:spacing w:after="0"/>
              <w:rPr>
                <w:sz w:val="20"/>
                <w:szCs w:val="20"/>
                <w:color w:val="auto"/>
              </w:rPr>
            </w:pPr>
          </w:p>
        </w:tc>
      </w:tr>
      <w:tr>
        <w:trPr>
          <w:trHeight w:val="437"/>
        </w:trPr>
        <w:tc>
          <w:tcPr>
            <w:tcW w:w="30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Sophia Hudson, P.C.</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Paul van der Bijl</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Frank F. Rahmani, Esq.</w:t>
            </w:r>
          </w:p>
        </w:tc>
      </w:tr>
      <w:tr>
        <w:trPr>
          <w:trHeight w:val="216"/>
        </w:trPr>
        <w:tc>
          <w:tcPr>
            <w:tcW w:w="30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Jennifer Lee, Esq.</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NautaDutilh N.V.</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Samir A. Gandhi, Esq.</w:t>
            </w:r>
          </w:p>
        </w:tc>
      </w:tr>
      <w:tr>
        <w:trPr>
          <w:trHeight w:val="216"/>
        </w:trPr>
        <w:tc>
          <w:tcPr>
            <w:tcW w:w="30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Beethovenstraat 400</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Sidley Austin LLP</w:t>
            </w:r>
          </w:p>
        </w:tc>
      </w:tr>
      <w:tr>
        <w:trPr>
          <w:trHeight w:val="216"/>
        </w:trPr>
        <w:tc>
          <w:tcPr>
            <w:tcW w:w="30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601 Lexington Avenue</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1082 PR Amsterdam</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555 California Street, Suite 2000</w:t>
            </w:r>
          </w:p>
        </w:tc>
      </w:tr>
      <w:tr>
        <w:trPr>
          <w:trHeight w:val="216"/>
        </w:trPr>
        <w:tc>
          <w:tcPr>
            <w:tcW w:w="30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7"/>
              </w:rPr>
              <w:t>New York, New York 10022</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94104</w:t>
            </w:r>
          </w:p>
        </w:tc>
      </w:tr>
      <w:tr>
        <w:trPr>
          <w:trHeight w:val="238"/>
        </w:trPr>
        <w:tc>
          <w:tcPr>
            <w:tcW w:w="30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(212) 446-4800</w:t>
            </w:r>
          </w:p>
        </w:tc>
        <w:tc>
          <w:tcPr>
            <w:tcW w:w="3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+31 (20) 717-1000</w:t>
            </w:r>
          </w:p>
        </w:tc>
        <w:tc>
          <w:tcPr>
            <w:tcW w:w="32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(415) 772-1200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this Registration Statement becomes effective.</w:t>
      </w:r>
    </w:p>
    <w:p>
      <w:pPr>
        <w:spacing w:after="0" w:line="229"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333-252157</w:t>
      </w:r>
    </w:p>
    <w:p>
      <w:pPr>
        <w:spacing w:after="0" w:line="179"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4"/>
          <w:szCs w:val="24"/>
          <w:color w:val="auto"/>
        </w:rPr>
      </w:pPr>
    </w:p>
    <w:p>
      <w:pPr>
        <w:spacing w:after="0" w:line="207" w:lineRule="exact"/>
        <w:tabs>
          <w:tab w:leader="none" w:pos="21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w:t>
      </w:r>
    </w:p>
    <w:p>
      <w:pPr>
        <w:sectPr>
          <w:pgSz w:w="11900" w:h="16949" w:orient="portrait"/>
          <w:cols w:equalWidth="0" w:num="1">
            <w:col w:w="11000"/>
          </w:cols>
          <w:pgMar w:left="440" w:top="225" w:right="459" w:bottom="0" w:gutter="0" w:footer="0" w:header="0"/>
        </w:sectPr>
      </w:pPr>
    </w:p>
    <w:bookmarkStart w:id="1" w:name="page2"/>
    <w:bookmarkEnd w:id="1"/>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of the Securities Act.. </w:t>
      </w:r>
      <w:r>
        <w:rPr>
          <w:rFonts w:ascii="MS PGothic" w:cs="MS PGothic" w:eastAsia="MS PGothic" w:hAnsi="MS PGothic"/>
          <w:sz w:val="18"/>
          <w:szCs w:val="18"/>
          <w:color w:val="auto"/>
        </w:rPr>
        <w:t>☐</w:t>
      </w:r>
    </w:p>
    <w:p>
      <w:pPr>
        <w:spacing w:after="0" w:line="160" w:lineRule="exact"/>
        <w:rPr>
          <w:sz w:val="20"/>
          <w:szCs w:val="20"/>
          <w:color w:val="auto"/>
        </w:rPr>
      </w:pPr>
    </w:p>
    <w:p>
      <w:pPr>
        <w:ind w:left="424" w:right="8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67" w:lineRule="exact"/>
        <w:rPr>
          <w:sz w:val="20"/>
          <w:szCs w:val="20"/>
          <w:color w:val="auto"/>
        </w:rPr>
      </w:pPr>
    </w:p>
    <w:p>
      <w:pPr>
        <w:ind w:left="424" w:right="22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convert the legal form of our Company under Dutch law from a private company with limited liability (besloten vennootschap met beperkte aansprakelijkheid) to a public company with limited liability (naamloze vennootschap) and change our name from Pharvaris B.V. to Pharvaris N.V. prior to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208915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Price(1)</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par value €0.12 per share</w:t>
            </w:r>
          </w:p>
        </w:tc>
        <w:tc>
          <w:tcPr>
            <w:tcW w:w="1540" w:type="dxa"/>
            <w:vAlign w:val="bottom"/>
            <w:tcBorders>
              <w:bottom w:val="single" w:sz="8" w:color="auto"/>
              <w:right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rPr>
              <w:t>1,518,575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w:t>
            </w:r>
          </w:p>
        </w:tc>
        <w:tc>
          <w:tcPr>
            <w:tcW w:w="1540" w:type="dxa"/>
            <w:vAlign w:val="bottom"/>
            <w:tcBorders>
              <w:bottom w:val="single" w:sz="8" w:color="auto"/>
              <w:right w:val="single" w:sz="8" w:color="auto"/>
            </w:tcBorders>
          </w:tcPr>
          <w:p>
            <w:pPr>
              <w:jc w:val="right"/>
              <w:ind w:right="227"/>
              <w:spacing w:after="0"/>
              <w:rPr>
                <w:sz w:val="20"/>
                <w:szCs w:val="20"/>
                <w:color w:val="auto"/>
              </w:rPr>
            </w:pPr>
            <w:r>
              <w:rPr>
                <w:rFonts w:ascii="Times New Roman" w:cs="Times New Roman" w:eastAsia="Times New Roman" w:hAnsi="Times New Roman"/>
                <w:sz w:val="18"/>
                <w:szCs w:val="18"/>
                <w:color w:val="auto"/>
              </w:rPr>
              <w:t>$30,371,500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40" w:hanging="424"/>
        <w:spacing w:after="0" w:line="258"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number of securities being registered. Does not include the securities that the Registrant previously registered on the Registration Statement on Form F-1 (File No. 333-252157).</w:t>
      </w:r>
    </w:p>
    <w:p>
      <w:pPr>
        <w:ind w:left="424" w:right="34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securities having a proposed maximum aggregate offering price of $151,857,500 on its Registration Statement on Form F-1, as amended (File No. 333-252157), which was declared effective by the Securities and Exchange Commission on February 4, 2021. In accordance with Rule 462(b) under the Securities Act, an additional number of securities having a proposed maximum offering price of $30,371,500 is hereby registered, which includes securities issuable upon the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9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F-1 is being filed with respect to the registration of 1,518,575 additional ordinary shares, par value €0.12 per share, of Pharvaris B.V., a Dutch private company with limited liability (the “Registrant”), pursuant to Rule 462(b) under the Securities Act of 1933, as amended, and General Instruction V to Form F-1. This Registration Statement relates to the Registrant’s Registration Statement on Form F-1, as amended (File No. 333-252157) (the “Prior Registration Statement”), initially filed by the Registrant on January 15, 2021 and declared effective by the Securities and Exchange Commission (the “Commission”) on February 4, 2021. The additional shares that are being registered for sale are in an amount and at a price that together represent no more than 20% of the maximum aggregate offering price set forth in the Calculation of Registration Fee table contained in the Prior Registration Statement. The required opinions of counsel and related consents and accountant’s consent are attached hereto and filed herewith. Pursuant to Rule 462(b), the contents of the Prior Registration Statement, including the exhibits thereto, are incorporated by reference into this Registration Statement.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Registrant hereby certifies to the Commission that (1) it has instructed its bank to pay the filing fee set forth on the cover page of this Registration Statement by a wire transfer of such amount to the Commission’s account at U.S. Bank as soon as practicable (but no later than the close of business as of February 5, 2021), (2) it will not revoke such instructions, (3) it has sufficient funds in the relevant account to cover the amount of such filing fee and (4) it will confirm receipt of such instructions by its bank during regular business hours no later than February 5, 2021.</w:t>
      </w:r>
    </w:p>
    <w:p>
      <w:pPr>
        <w:sectPr>
          <w:pgSz w:w="11900" w:h="16838" w:orient="portrait"/>
          <w:cols w:equalWidth="0" w:num="1">
            <w:col w:w="10980"/>
          </w:cols>
          <w:pgMar w:left="440" w:top="266" w:right="47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ind w:right="60" w:firstLine="436"/>
        <w:spacing w:after="0" w:line="266"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All exhibits filed with or incorporated by reference in the Prior Registration Statement on Form F-1 (SEC File No. 333-252157) are incorporated by reference into, and shall be deemed a part of, this Registration Statement, and the following additional exhibits are filed herewith, as part of this Registration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gridSpan w:val="2"/>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46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Opinion of NautaDutilh N.V., Dutch counsel to the Registrant.</w:t>
              </w:r>
            </w:hyperlink>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60" w:type="dxa"/>
            <w:vAlign w:val="bottom"/>
            <w:gridSpan w:val="2"/>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u w:val="single" w:color="auto"/>
                  <w:color w:val="0000EE"/>
                </w:rPr>
                <w:t>Consent of PricewaterhouseCoopers Accountants N.V</w:t>
              </w:r>
              <w:r>
                <w:rPr>
                  <w:rFonts w:ascii="Times New Roman" w:cs="Times New Roman" w:eastAsia="Times New Roman" w:hAnsi="Times New Roman"/>
                  <w:sz w:val="18"/>
                  <w:szCs w:val="18"/>
                  <w:color w:val="0000EE"/>
                </w:rPr>
                <w:t>.</w:t>
              </w:r>
            </w:hyperlink>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46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Consent of NautaDutilh N.V. (included on Exhibit 5.1).</w:t>
              </w:r>
            </w:hyperlink>
          </w:p>
        </w:tc>
      </w:tr>
      <w:tr>
        <w:trPr>
          <w:trHeight w:val="28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4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Power of Attorney (included on the signature page of the Registration Statement on Form F-1 (File No. 333-252157), filed with the</w:t>
              </w:r>
            </w:hyperlink>
          </w:p>
        </w:tc>
      </w:tr>
      <w:tr>
        <w:trPr>
          <w:trHeight w:val="196"/>
        </w:trPr>
        <w:tc>
          <w:tcPr>
            <w:tcW w:w="1440" w:type="dxa"/>
            <w:vAlign w:val="bottom"/>
          </w:tcPr>
          <w:p>
            <w:pPr>
              <w:spacing w:after="0"/>
              <w:rPr>
                <w:sz w:val="17"/>
                <w:szCs w:val="17"/>
                <w:color w:val="auto"/>
              </w:rPr>
            </w:pPr>
          </w:p>
        </w:tc>
        <w:tc>
          <w:tcPr>
            <w:tcW w:w="5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Commission on January 15, 2021 and incorporated herein by reference).</w:t>
              </w:r>
            </w:hyperlink>
          </w:p>
        </w:tc>
        <w:tc>
          <w:tcPr>
            <w:tcW w:w="4240" w:type="dxa"/>
            <w:vAlign w:val="bottom"/>
          </w:tcPr>
          <w:p>
            <w:pPr>
              <w:spacing w:after="0"/>
              <w:rPr>
                <w:sz w:val="17"/>
                <w:szCs w:val="17"/>
                <w:color w:val="auto"/>
              </w:rPr>
            </w:pPr>
          </w:p>
        </w:tc>
      </w:tr>
    </w:tbl>
    <w:p>
      <w:pPr>
        <w:sectPr>
          <w:pgSz w:w="11900" w:h="16838" w:orient="portrait"/>
          <w:cols w:equalWidth="0" w:num="1">
            <w:col w:w="10900"/>
          </w:cols>
          <w:pgMar w:left="440" w:top="266" w:right="5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Amsterdam, The Netherlands on February 4, 2021.</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PHARVARIS B.V.</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Member of the Board</w:t>
      </w:r>
    </w:p>
    <w:p>
      <w:pPr>
        <w:spacing w:after="0" w:line="22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February 4, 2021 in the capacities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spacing w:after="0"/>
              <w:rPr>
                <w:sz w:val="15"/>
                <w:szCs w:val="15"/>
                <w:color w:val="auto"/>
              </w:rPr>
            </w:pPr>
          </w:p>
        </w:tc>
      </w:tr>
      <w:tr>
        <w:trPr>
          <w:trHeight w:val="425"/>
        </w:trPr>
        <w:tc>
          <w:tcPr>
            <w:tcW w:w="4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Berndt Modig</w:t>
            </w: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Berndt Modig</w:t>
            </w: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Finance Director and Principal Accounting Officer</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Anna Nijdam</w:t>
            </w: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David Meeker, M.D.</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Rémi Droller</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Richard Gaster, M.D., Ph.D.</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Robert Glassman, M.D.</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Martijn Kleijwegt</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Hans Schikan, Pharm.D.</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2320" w:type="dxa"/>
            <w:vAlign w:val="bottom"/>
            <w:tcBorders>
              <w:bottom w:val="single" w:sz="8" w:color="auto"/>
            </w:tcBorders>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r>
        <w:trPr>
          <w:trHeight w:val="228"/>
        </w:trPr>
        <w:tc>
          <w:tcPr>
            <w:tcW w:w="420" w:type="dxa"/>
            <w:vAlign w:val="bottom"/>
          </w:tcPr>
          <w:p>
            <w:pPr>
              <w:spacing w:after="0"/>
              <w:rPr>
                <w:sz w:val="19"/>
                <w:szCs w:val="19"/>
                <w:color w:val="auto"/>
              </w:rPr>
            </w:pPr>
          </w:p>
        </w:tc>
        <w:tc>
          <w:tcPr>
            <w:tcW w:w="38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Morgan Conn</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7"/>
        </w:trPr>
        <w:tc>
          <w:tcPr>
            <w:tcW w:w="4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Berndt Modig</w:t>
            </w: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84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Berndt Modig</w:t>
            </w:r>
          </w:p>
        </w:tc>
        <w:tc>
          <w:tcPr>
            <w:tcW w:w="140" w:type="dxa"/>
            <w:vAlign w:val="bottom"/>
            <w:tcBorders>
              <w:top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ectPr>
          <w:pgSz w:w="11900" w:h="16838" w:orient="portrait"/>
          <w:cols w:equalWidth="0" w:num="1">
            <w:col w:w="11000"/>
          </w:cols>
          <w:pgMar w:left="440" w:top="26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5.1 and 23.2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ATTORNEYS • CIVIL LAW NOTARIES • TAX ADVISERS</w:t>
            </w:r>
          </w:p>
        </w:tc>
        <w:tc>
          <w:tcPr>
            <w:tcW w:w="2800" w:type="dxa"/>
            <w:vAlign w:val="bottom"/>
          </w:tcPr>
          <w:p>
            <w:pPr>
              <w:spacing w:after="0"/>
              <w:rPr>
                <w:sz w:val="20"/>
                <w:szCs w:val="20"/>
                <w:color w:val="auto"/>
              </w:rPr>
            </w:pPr>
          </w:p>
        </w:tc>
      </w:tr>
      <w:tr>
        <w:trPr>
          <w:trHeight w:val="4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P.O. Box 7113</w:t>
            </w:r>
          </w:p>
        </w:tc>
        <w:tc>
          <w:tcPr>
            <w:tcW w:w="28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Amsterdam, 4 February 2021.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1007 JC Amsterdam</w:t>
            </w:r>
          </w:p>
        </w:tc>
        <w:tc>
          <w:tcPr>
            <w:tcW w:w="280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Beethovenstraat 400</w:t>
            </w:r>
          </w:p>
        </w:tc>
        <w:tc>
          <w:tcPr>
            <w:tcW w:w="2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the Company</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1082 PR Amsterdam</w:t>
            </w:r>
          </w:p>
        </w:tc>
        <w:tc>
          <w:tcPr>
            <w:tcW w:w="280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 +31 20 71 71 000</w:t>
            </w:r>
          </w:p>
        </w:tc>
        <w:tc>
          <w:tcPr>
            <w:tcW w:w="28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 +31 20 71 71 111</w:t>
            </w: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-1096645</wp:posOffset>
            </wp:positionV>
            <wp:extent cx="11398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acted as legal counsel as to Dutch law to the Company in connection with the Offering. This opinion letter is rendered to you in order to be filed with the SEC as an exhibit to the Registration Statement.</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the Reviewed Documents.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in this opinion letter, we have reviewed and relied upon drafts of the Reviewed Documents and pdf copies or drafts, as the case may be, of the Corporate Documents and we have assumed that the Reviewed Documents shall be entered into for bona fide commercial reasons. We have not investigated or verified any factual matter disclosed to us in the course of our review.</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or the Corporate Documents subsequent to the date of this opinion letter.</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w:t>
      </w:r>
    </w:p>
    <w:p>
      <w:pPr>
        <w:sectPr>
          <w:pgSz w:w="11900" w:h="16838" w:orient="portrait"/>
          <w:cols w:equalWidth="0" w:num="1">
            <w:col w:w="11020"/>
          </w:cols>
          <w:pgMar w:left="440" w:top="121" w:right="439" w:bottom="1440" w:gutter="0" w:footer="0" w:header="0"/>
        </w:sectPr>
      </w:pPr>
    </w:p>
    <w:bookmarkStart w:id="6" w:name="page7"/>
    <w:bookmarkEnd w:id="6"/>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w:t>
      </w:r>
    </w:p>
    <w:p>
      <w:pPr>
        <w:spacing w:after="0" w:line="131" w:lineRule="exact"/>
        <w:rPr>
          <w:sz w:val="20"/>
          <w:szCs w:val="20"/>
          <w:color w:val="auto"/>
        </w:rPr>
      </w:pPr>
    </w:p>
    <w:p>
      <w:pPr>
        <w:ind w:left="424" w:right="18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declared effective by the SEC in the form reviewed by us;</w:t>
      </w:r>
    </w:p>
    <w:p>
      <w:pPr>
        <w:spacing w:after="0" w:line="128" w:lineRule="exact"/>
        <w:rPr>
          <w:rFonts w:ascii="Times New Roman" w:cs="Times New Roman" w:eastAsia="Times New Roman" w:hAnsi="Times New Roman"/>
          <w:sz w:val="18"/>
          <w:szCs w:val="18"/>
          <w:color w:val="auto"/>
        </w:rPr>
      </w:pPr>
    </w:p>
    <w:p>
      <w:pPr>
        <w:ind w:left="424" w:right="120"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internal regulations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have been adopted by any corporate body of the Company which would affect the validity of the resolutions recorded in the Resolutions and (ii) the Current Articles are the Articles of Association currently in force and the Revised Articles are the Articles of Association as they will be in force at each Relevant Moment;</w:t>
      </w:r>
    </w:p>
    <w:p>
      <w:pPr>
        <w:spacing w:after="0" w:line="80" w:lineRule="exact"/>
        <w:rPr>
          <w:rFonts w:ascii="Times New Roman" w:cs="Times New Roman" w:eastAsia="Times New Roman" w:hAnsi="Times New Roman"/>
          <w:sz w:val="18"/>
          <w:szCs w:val="18"/>
          <w:color w:val="auto"/>
        </w:rPr>
      </w:pPr>
    </w:p>
    <w:p>
      <w:pPr>
        <w:ind w:left="424" w:right="100" w:hanging="424"/>
        <w:spacing w:after="0" w:line="312"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recorded in the Resolutions are in full force and effect, the factual statements made and the confirmations given in the Resolutions and each Deed of Issue are complete and correct at each Relevant Moment and the Resolutions correctly reflect the resolutions recorded therein;</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Deed of Issue has been validly signed and executed on behalf of the Company;</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to the extent made in the Netherlands, has been, is and will be made in conformity with the Prospectus Regulation, the DFSA and the rules promulgated thereunder;</w:t>
      </w:r>
    </w:p>
    <w:p>
      <w:pPr>
        <w:spacing w:after="0" w:line="65" w:lineRule="exact"/>
        <w:rPr>
          <w:rFonts w:ascii="Times New Roman" w:cs="Times New Roman" w:eastAsia="Times New Roman" w:hAnsi="Times New Roman"/>
          <w:sz w:val="18"/>
          <w:szCs w:val="18"/>
          <w:color w:val="auto"/>
        </w:rPr>
      </w:pPr>
    </w:p>
    <w:p>
      <w:pPr>
        <w:ind w:left="424" w:right="40" w:hanging="424"/>
        <w:spacing w:after="0" w:line="28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 has been validly granted as a right to subscribe for Ordinary Shares (</w:t>
      </w:r>
      <w:r>
        <w:rPr>
          <w:rFonts w:ascii="Times New Roman" w:cs="Times New Roman" w:eastAsia="Times New Roman" w:hAnsi="Times New Roman"/>
          <w:sz w:val="18"/>
          <w:szCs w:val="18"/>
          <w:i w:val="1"/>
          <w:iCs w:val="1"/>
          <w:color w:val="auto"/>
        </w:rPr>
        <w:t>recht tot het nemen van aandelen</w:t>
      </w:r>
      <w:r>
        <w:rPr>
          <w:rFonts w:ascii="Times New Roman" w:cs="Times New Roman" w:eastAsia="Times New Roman" w:hAnsi="Times New Roman"/>
          <w:sz w:val="18"/>
          <w:szCs w:val="18"/>
          <w:color w:val="auto"/>
        </w:rPr>
        <w:t>), (ii) shall be in full force and effect upon being exercised and (iii) shall have been validly exercised in accordance with the terms of the Underwriting Agreement; and</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634" w:right="459" w:bottom="1440" w:gutter="0" w:footer="0" w:header="0"/>
        </w:sectPr>
      </w:pPr>
    </w:p>
    <w:bookmarkStart w:id="7" w:name="page8"/>
    <w:bookmarkEnd w:id="7"/>
    <w:p>
      <w:pPr>
        <w:ind w:left="424" w:right="82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at each Relevant Moment, each of the assumptions made in this opinion letter will be correct in all aspects by reference to the facts and circumstances then existing.</w:t>
      </w:r>
    </w:p>
    <w:p>
      <w:pPr>
        <w:spacing w:after="0" w:line="162"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Corporate Status</w:t>
      </w:r>
    </w:p>
    <w:p>
      <w:pPr>
        <w:spacing w:after="0" w:line="133" w:lineRule="exact"/>
        <w:rPr>
          <w:sz w:val="20"/>
          <w:szCs w:val="20"/>
          <w:color w:val="auto"/>
        </w:rPr>
      </w:pPr>
    </w:p>
    <w:p>
      <w:pPr>
        <w:ind w:left="424" w:right="760" w:hanging="424"/>
        <w:spacing w:after="0" w:line="28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incorporated as a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and, upon the execution of the Deed of Conversion, shall be validly existing as a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w:t>
      </w:r>
    </w:p>
    <w:p>
      <w:pPr>
        <w:spacing w:after="0" w:line="264"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 Shares and Option Shares</w:t>
      </w:r>
    </w:p>
    <w:p>
      <w:pPr>
        <w:spacing w:after="0" w:line="134" w:lineRule="exact"/>
        <w:rPr>
          <w:rFonts w:ascii="Times New Roman" w:cs="Times New Roman" w:eastAsia="Times New Roman" w:hAnsi="Times New Roman"/>
          <w:sz w:val="18"/>
          <w:szCs w:val="18"/>
          <w:color w:val="auto"/>
        </w:rPr>
      </w:pPr>
    </w:p>
    <w:p>
      <w:pPr>
        <w:ind w:left="424" w:right="3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by the Company of payment in full for the Offer Shares and the Option Shares (if any) as provided for in the Reviewed Documents, and when issued and accepted in accordance with the Resolutions and the Reviewed Documents, the Offer Shares and the Option Shares (if any) shall be validly issued, fully paid and non-assessable.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129" w:lineRule="exact"/>
        <w:rPr>
          <w:sz w:val="20"/>
          <w:szCs w:val="20"/>
          <w:color w:val="auto"/>
        </w:rPr>
      </w:pPr>
    </w:p>
    <w:p>
      <w:pPr>
        <w:ind w:left="424"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1 must not be read to imply that the Company cannot be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8"/>
          <w:szCs w:val="18"/>
          <w:i w:val="1"/>
          <w:iCs w:val="1"/>
          <w:color w:val="auto"/>
        </w:rPr>
        <w:t>belanghebbende</w:t>
      </w:r>
      <w:r>
        <w:rPr>
          <w:rFonts w:ascii="Times New Roman" w:cs="Times New Roman" w:eastAsia="Times New Roman" w:hAnsi="Times New Roman"/>
          <w:sz w:val="18"/>
          <w:szCs w:val="18"/>
          <w:color w:val="auto"/>
        </w:rPr>
        <w:t>) or the public prosecution office in certain circumstances, such as when there are certain defects in the incorporation of the company. Any such dissolution will not have retro-active effect.</w:t>
      </w:r>
    </w:p>
    <w:p>
      <w:pPr>
        <w:spacing w:after="0" w:line="87"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8"/>
          <w:szCs w:val="18"/>
          <w:i w:val="1"/>
          <w:iCs w:val="1"/>
          <w:color w:val="auto"/>
        </w:rPr>
        <w:t>wist of zonder eigen onderzoek moest weten</w:t>
      </w:r>
      <w:r>
        <w:rPr>
          <w:rFonts w:ascii="Times New Roman" w:cs="Times New Roman" w:eastAsia="Times New Roman" w:hAnsi="Times New Roman"/>
          <w:sz w:val="18"/>
          <w:szCs w:val="18"/>
          <w:color w:val="auto"/>
        </w:rPr>
        <w:t>). The Dutch Supreme Court (</w:t>
      </w:r>
      <w:r>
        <w:rPr>
          <w:rFonts w:ascii="Times New Roman" w:cs="Times New Roman" w:eastAsia="Times New Roman" w:hAnsi="Times New Roman"/>
          <w:sz w:val="18"/>
          <w:szCs w:val="18"/>
          <w:i w:val="1"/>
          <w:iCs w:val="1"/>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Nederlanden</w:t>
      </w:r>
      <w:r>
        <w:rPr>
          <w:rFonts w:ascii="Times New Roman" w:cs="Times New Roman" w:eastAsia="Times New Roman" w:hAnsi="Times New Roman"/>
          <w:sz w:val="18"/>
          <w:szCs w:val="18"/>
          <w:color w:val="auto"/>
        </w:rPr>
        <w:t>) has ruled that in determining whether the objects of a legal entity are transgressed, not only the description of the objects 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entity’s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is decisive, but all (relevant) circumstances must be taken into account, in particular whether the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634" w:right="479" w:bottom="1440" w:gutter="0" w:footer="0" w:header="0"/>
        </w:sectPr>
      </w:pPr>
    </w:p>
    <w:bookmarkStart w:id="8" w:name="page9"/>
    <w:bookmarkEnd w:id="8"/>
    <w:p>
      <w:pPr>
        <w:ind w:left="424"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interests of the legal entity were served by the transaction. Based on the objects clause contained in the Current Articles and in the Revised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w:t>
      </w:r>
    </w:p>
    <w:p>
      <w:pPr>
        <w:spacing w:after="0" w:line="68" w:lineRule="exact"/>
        <w:rPr>
          <w:sz w:val="20"/>
          <w:szCs w:val="20"/>
          <w:color w:val="auto"/>
        </w:rPr>
      </w:pPr>
    </w:p>
    <w:p>
      <w:pPr>
        <w:ind w:left="424"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2:98c DCC, a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may grant loans (</w:t>
      </w:r>
      <w:r>
        <w:rPr>
          <w:rFonts w:ascii="Times New Roman" w:cs="Times New Roman" w:eastAsia="Times New Roman" w:hAnsi="Times New Roman"/>
          <w:sz w:val="18"/>
          <w:szCs w:val="18"/>
          <w:i w:val="1"/>
          <w:iCs w:val="1"/>
          <w:color w:val="auto"/>
        </w:rPr>
        <w:t>leningen verstrekken</w:t>
      </w:r>
      <w:r>
        <w:rPr>
          <w:rFonts w:ascii="Times New Roman" w:cs="Times New Roman" w:eastAsia="Times New Roman" w:hAnsi="Times New Roman"/>
          <w:sz w:val="18"/>
          <w:szCs w:val="18"/>
          <w:color w:val="auto"/>
        </w:rPr>
        <w:t>) only in accordance with the restrictions set out in Section 2:98c DCC, and may not provide security (</w:t>
      </w:r>
      <w:r>
        <w:rPr>
          <w:rFonts w:ascii="Times New Roman" w:cs="Times New Roman" w:eastAsia="Times New Roman" w:hAnsi="Times New Roman"/>
          <w:sz w:val="18"/>
          <w:szCs w:val="18"/>
          <w:i w:val="1"/>
          <w:iCs w:val="1"/>
          <w:color w:val="auto"/>
        </w:rPr>
        <w:t>zekerheid stellen</w:t>
      </w:r>
      <w:r>
        <w:rPr>
          <w:rFonts w:ascii="Times New Roman" w:cs="Times New Roman" w:eastAsia="Times New Roman" w:hAnsi="Times New Roman"/>
          <w:sz w:val="18"/>
          <w:szCs w:val="18"/>
          <w:color w:val="auto"/>
        </w:rPr>
        <w:t>), give a price guarantee (</w:t>
      </w:r>
      <w:r>
        <w:rPr>
          <w:rFonts w:ascii="Times New Roman" w:cs="Times New Roman" w:eastAsia="Times New Roman" w:hAnsi="Times New Roman"/>
          <w:sz w:val="18"/>
          <w:szCs w:val="18"/>
          <w:i w:val="1"/>
          <w:iCs w:val="1"/>
          <w:color w:val="auto"/>
        </w:rPr>
        <w:t>koersgarantie geven</w:t>
      </w:r>
      <w:r>
        <w:rPr>
          <w:rFonts w:ascii="Times New Roman" w:cs="Times New Roman" w:eastAsia="Times New Roman" w:hAnsi="Times New Roman"/>
          <w:sz w:val="18"/>
          <w:szCs w:val="18"/>
          <w:color w:val="auto"/>
        </w:rPr>
        <w:t>) or otherwise bind itself, whether jointly and severally or otherwise with or for third parties (</w:t>
      </w:r>
      <w:r>
        <w:rPr>
          <w:rFonts w:ascii="Times New Roman" w:cs="Times New Roman" w:eastAsia="Times New Roman" w:hAnsi="Times New Roman"/>
          <w:sz w:val="18"/>
          <w:szCs w:val="18"/>
          <w:i w:val="1"/>
          <w:iCs w:val="1"/>
          <w:color w:val="auto"/>
        </w:rPr>
        <w:t>zich op andere wijze sterk maken of zich hoofdelijk of anderszins naast of voor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anderen verbinden</w:t>
      </w:r>
      <w:r>
        <w:rPr>
          <w:rFonts w:ascii="Times New Roman" w:cs="Times New Roman" w:eastAsia="Times New Roman" w:hAnsi="Times New Roman"/>
          <w:sz w:val="18"/>
          <w:szCs w:val="18"/>
          <w:color w:val="auto"/>
        </w:rPr>
        <w:t>) with a view to (</w:t>
      </w:r>
      <w:r>
        <w:rPr>
          <w:rFonts w:ascii="Times New Roman" w:cs="Times New Roman" w:eastAsia="Times New Roman" w:hAnsi="Times New Roman"/>
          <w:sz w:val="18"/>
          <w:szCs w:val="18"/>
          <w:i w:val="1"/>
          <w:iCs w:val="1"/>
          <w:color w:val="auto"/>
        </w:rPr>
        <w:t>met het oog op</w:t>
      </w:r>
      <w:r>
        <w:rPr>
          <w:rFonts w:ascii="Times New Roman" w:cs="Times New Roman" w:eastAsia="Times New Roman" w:hAnsi="Times New Roman"/>
          <w:sz w:val="18"/>
          <w:szCs w:val="18"/>
          <w:color w:val="auto"/>
        </w:rPr>
        <w:t>) the subscription or acquisition by third parties of shares in its share capital or depository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receipts. This prohibition also applies to its subsidiaries (</w:t>
      </w:r>
      <w:r>
        <w:rPr>
          <w:rFonts w:ascii="Times New Roman" w:cs="Times New Roman" w:eastAsia="Times New Roman" w:hAnsi="Times New Roman"/>
          <w:sz w:val="18"/>
          <w:szCs w:val="18"/>
          <w:i w:val="1"/>
          <w:iCs w:val="1"/>
          <w:color w:val="auto"/>
        </w:rPr>
        <w:t>dochtervennootschappen</w:t>
      </w:r>
      <w:r>
        <w:rPr>
          <w:rFonts w:ascii="Times New Roman" w:cs="Times New Roman" w:eastAsia="Times New Roman" w:hAnsi="Times New Roman"/>
          <w:sz w:val="18"/>
          <w:szCs w:val="18"/>
          <w:color w:val="auto"/>
        </w:rPr>
        <w:t>). It is generally assumed that a transaction entered into in violation of Section 2:98c DCC is null and void (</w:t>
      </w:r>
      <w:r>
        <w:rPr>
          <w:rFonts w:ascii="Times New Roman" w:cs="Times New Roman" w:eastAsia="Times New Roman" w:hAnsi="Times New Roman"/>
          <w:sz w:val="18"/>
          <w:szCs w:val="18"/>
          <w:i w:val="1"/>
          <w:iCs w:val="1"/>
          <w:color w:val="auto"/>
        </w:rPr>
        <w:t>nietig</w:t>
      </w:r>
      <w:r>
        <w:rPr>
          <w:rFonts w:ascii="Times New Roman" w:cs="Times New Roman" w:eastAsia="Times New Roman" w:hAnsi="Times New Roman"/>
          <w:sz w:val="18"/>
          <w:szCs w:val="18"/>
          <w:color w:val="auto"/>
        </w:rPr>
        <w:t>). Based on the content of the Reviewed Documents, we have no reason to believe that the Company or its subsidiaries will violate Section 2:98c DCC in connection with the issue of the Offer Shares or the Option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expressed in this opinion letter may be limited or affected by:</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bankruptcy, insolvency, reorganisation, moratorium or other similar laws or procedures now or hereafter in effect, relating to or affecting the enforcement or protection of creditors’ rights generally;</w:t>
      </w:r>
    </w:p>
    <w:p>
      <w:pPr>
        <w:spacing w:after="0" w:line="65" w:lineRule="exact"/>
        <w:rPr>
          <w:rFonts w:ascii="Times New Roman" w:cs="Times New Roman" w:eastAsia="Times New Roman" w:hAnsi="Times New Roman"/>
          <w:sz w:val="18"/>
          <w:szCs w:val="18"/>
          <w:color w:val="auto"/>
        </w:rPr>
      </w:pPr>
    </w:p>
    <w:p>
      <w:pPr>
        <w:ind w:left="964" w:right="240" w:hanging="532"/>
        <w:spacing w:after="0" w:line="284"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fraudulent preference and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and similar rights available in other jurisdictions to insolvency practitioners and insolvency office holders in bankruptcy proceedings or creditors;</w:t>
      </w:r>
    </w:p>
    <w:p>
      <w:pPr>
        <w:spacing w:after="0" w:line="6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based on tort (</w:t>
      </w:r>
      <w:r>
        <w:rPr>
          <w:rFonts w:ascii="Times New Roman" w:cs="Times New Roman" w:eastAsia="Times New Roman" w:hAnsi="Times New Roman"/>
          <w:sz w:val="18"/>
          <w:szCs w:val="18"/>
          <w:i w:val="1"/>
          <w:iCs w:val="1"/>
          <w:color w:val="auto"/>
        </w:rPr>
        <w:t>onrechtmatige daad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634" w:right="499" w:bottom="1440" w:gutter="0" w:footer="0" w:header="0"/>
        </w:sectPr>
      </w:pPr>
    </w:p>
    <w:bookmarkStart w:id="9" w:name="page10"/>
    <w:bookmarkEnd w:id="9"/>
    <w:p>
      <w:pPr>
        <w:ind w:left="964" w:right="20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sanctions and measures, including but not limited to those concerning export control, pursuant to European Union regulations, under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Anti-Boycott Regulation, Anti Money Laundering Laws and related legislation; and</w:t>
      </w:r>
    </w:p>
    <w:p>
      <w:pPr>
        <w:spacing w:after="0" w:line="12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force majeure (</w:t>
      </w:r>
      <w:r>
        <w:rPr>
          <w:rFonts w:ascii="Times New Roman" w:cs="Times New Roman" w:eastAsia="Times New Roman" w:hAnsi="Times New Roman"/>
          <w:sz w:val="18"/>
          <w:szCs w:val="18"/>
          <w:i w:val="1"/>
          <w:iCs w:val="1"/>
          <w:color w:val="auto"/>
        </w:rPr>
        <w:t>niet toerekenbare tekortkoming</w:t>
      </w:r>
      <w:r>
        <w:rPr>
          <w:rFonts w:ascii="Times New Roman" w:cs="Times New Roman" w:eastAsia="Times New Roman" w:hAnsi="Times New Roman"/>
          <w:sz w:val="18"/>
          <w:szCs w:val="18"/>
          <w:color w:val="auto"/>
        </w:rPr>
        <w:t>), reasonableness and fairness (</w:t>
      </w:r>
      <w:r>
        <w:rPr>
          <w:rFonts w:ascii="Times New Roman" w:cs="Times New Roman" w:eastAsia="Times New Roman" w:hAnsi="Times New Roman"/>
          <w:sz w:val="18"/>
          <w:szCs w:val="18"/>
          <w:i w:val="1"/>
          <w:iCs w:val="1"/>
          <w:color w:val="auto"/>
        </w:rPr>
        <w:t>redelijkheid en billijkheid</w:t>
      </w:r>
      <w:r>
        <w:rPr>
          <w:rFonts w:ascii="Times New Roman" w:cs="Times New Roman" w:eastAsia="Times New Roman" w:hAnsi="Times New Roman"/>
          <w:sz w:val="18"/>
          <w:szCs w:val="18"/>
          <w:color w:val="auto"/>
        </w:rPr>
        <w:t>), suspension</w:t>
      </w:r>
    </w:p>
    <w:p>
      <w:pPr>
        <w:spacing w:after="0" w:line="29"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opschorting</w:t>
      </w:r>
      <w:r>
        <w:rPr>
          <w:rFonts w:ascii="Times New Roman" w:cs="Times New Roman" w:eastAsia="Times New Roman" w:hAnsi="Times New Roman"/>
          <w:sz w:val="18"/>
          <w:szCs w:val="18"/>
          <w:color w:val="auto"/>
        </w:rPr>
        <w:t>), dissolution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unforeseen circumstances (</w:t>
      </w:r>
      <w:r>
        <w:rPr>
          <w:rFonts w:ascii="Times New Roman" w:cs="Times New Roman" w:eastAsia="Times New Roman" w:hAnsi="Times New Roman"/>
          <w:sz w:val="18"/>
          <w:szCs w:val="18"/>
          <w:i w:val="1"/>
          <w:iCs w:val="1"/>
          <w:color w:val="auto"/>
        </w:rPr>
        <w:t>onvoorziene omstandigheden</w:t>
      </w:r>
      <w:r>
        <w:rPr>
          <w:rFonts w:ascii="Times New Roman" w:cs="Times New Roman" w:eastAsia="Times New Roman" w:hAnsi="Times New Roman"/>
          <w:sz w:val="18"/>
          <w:szCs w:val="18"/>
          <w:color w:val="auto"/>
        </w:rPr>
        <w:t>) and vitiated consent (i.e., duress</w:t>
      </w:r>
    </w:p>
    <w:p>
      <w:pPr>
        <w:spacing w:after="0" w:line="9" w:lineRule="exact"/>
        <w:rPr>
          <w:rFonts w:ascii="Times New Roman" w:cs="Times New Roman" w:eastAsia="Times New Roman" w:hAnsi="Times New Roman"/>
          <w:sz w:val="18"/>
          <w:szCs w:val="18"/>
          <w:color w:val="auto"/>
        </w:rPr>
      </w:pPr>
    </w:p>
    <w:p>
      <w:pPr>
        <w:ind w:left="96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bedreiging</w:t>
      </w:r>
      <w:r>
        <w:rPr>
          <w:rFonts w:ascii="Times New Roman" w:cs="Times New Roman" w:eastAsia="Times New Roman" w:hAnsi="Times New Roman"/>
          <w:sz w:val="18"/>
          <w:szCs w:val="18"/>
          <w:color w:val="auto"/>
        </w:rPr>
        <w:t>), fraud (</w:t>
      </w:r>
      <w:r>
        <w:rPr>
          <w:rFonts w:ascii="Times New Roman" w:cs="Times New Roman" w:eastAsia="Times New Roman" w:hAnsi="Times New Roman"/>
          <w:sz w:val="18"/>
          <w:szCs w:val="18"/>
          <w:i w:val="1"/>
          <w:iCs w:val="1"/>
          <w:color w:val="auto"/>
        </w:rPr>
        <w:t>bedrog</w:t>
      </w:r>
      <w:r>
        <w:rPr>
          <w:rFonts w:ascii="Times New Roman" w:cs="Times New Roman" w:eastAsia="Times New Roman" w:hAnsi="Times New Roman"/>
          <w:sz w:val="18"/>
          <w:szCs w:val="18"/>
          <w:color w:val="auto"/>
        </w:rPr>
        <w:t>), abuse of circumstances (</w:t>
      </w:r>
      <w:r>
        <w:rPr>
          <w:rFonts w:ascii="Times New Roman" w:cs="Times New Roman" w:eastAsia="Times New Roman" w:hAnsi="Times New Roman"/>
          <w:sz w:val="18"/>
          <w:szCs w:val="18"/>
          <w:i w:val="1"/>
          <w:iCs w:val="1"/>
          <w:color w:val="auto"/>
        </w:rPr>
        <w:t>misbruik van omstandigheden</w:t>
      </w:r>
      <w:r>
        <w:rPr>
          <w:rFonts w:ascii="Times New Roman" w:cs="Times New Roman" w:eastAsia="Times New Roman" w:hAnsi="Times New Roman"/>
          <w:sz w:val="18"/>
          <w:szCs w:val="18"/>
          <w:color w:val="auto"/>
        </w:rPr>
        <w:t>) and error (</w:t>
      </w:r>
      <w:r>
        <w:rPr>
          <w:rFonts w:ascii="Times New Roman" w:cs="Times New Roman" w:eastAsia="Times New Roman" w:hAnsi="Times New Roman"/>
          <w:sz w:val="18"/>
          <w:szCs w:val="18"/>
          <w:i w:val="1"/>
          <w:iCs w:val="1"/>
          <w:color w:val="auto"/>
        </w:rPr>
        <w:t>dwaling</w:t>
      </w:r>
      <w:r>
        <w:rPr>
          <w:rFonts w:ascii="Times New Roman" w:cs="Times New Roman" w:eastAsia="Times New Roman" w:hAnsi="Times New Roman"/>
          <w:sz w:val="18"/>
          <w:szCs w:val="18"/>
          <w:color w:val="auto"/>
        </w:rPr>
        <w:t>)) or a difference of intention (</w:t>
      </w:r>
      <w:r>
        <w:rPr>
          <w:rFonts w:ascii="Times New Roman" w:cs="Times New Roman" w:eastAsia="Times New Roman" w:hAnsi="Times New Roman"/>
          <w:sz w:val="18"/>
          <w:szCs w:val="18"/>
          <w:i w:val="1"/>
          <w:iCs w:val="1"/>
          <w:color w:val="auto"/>
        </w:rPr>
        <w:t>wil</w:t>
      </w:r>
      <w:r>
        <w:rPr>
          <w:rFonts w:ascii="Times New Roman" w:cs="Times New Roman" w:eastAsia="Times New Roman" w:hAnsi="Times New Roman"/>
          <w:sz w:val="18"/>
          <w:szCs w:val="18"/>
          <w:color w:val="auto"/>
        </w:rPr>
        <w:t>) and declaration (</w:t>
      </w:r>
      <w:r>
        <w:rPr>
          <w:rFonts w:ascii="Times New Roman" w:cs="Times New Roman" w:eastAsia="Times New Roman" w:hAnsi="Times New Roman"/>
          <w:sz w:val="18"/>
          <w:szCs w:val="18"/>
          <w:i w:val="1"/>
          <w:iCs w:val="1"/>
          <w:color w:val="auto"/>
        </w:rPr>
        <w:t>verklaring</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does not purport to express any opinion or view on the operational rules and procedures of any clearing or settlement system or agency.</w:t>
      </w:r>
    </w:p>
    <w:p>
      <w:pPr>
        <w:spacing w:after="0" w:line="162" w:lineRule="exact"/>
        <w:rPr>
          <w:sz w:val="20"/>
          <w:szCs w:val="20"/>
          <w:color w:val="auto"/>
        </w:rPr>
      </w:pPr>
    </w:p>
    <w:p>
      <w:pPr>
        <w:ind w:left="4" w:right="58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NautaDutilh N.V.</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NautaDutilh N.V.</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634"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 Money Laundering Laws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Anti-Boycott Regulation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Register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Articles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18"/>
          <w:szCs w:val="18"/>
          <w:i w:val="1"/>
          <w:iCs w:val="1"/>
          <w:color w:val="auto"/>
        </w:rPr>
        <w:t>Wet ter voorkoming van witwassen en financieren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terrorisme</w:t>
      </w:r>
      <w:r>
        <w:rPr>
          <w:rFonts w:ascii="Times New Roman" w:cs="Times New Roman" w:eastAsia="Times New Roman" w:hAnsi="Times New Roman"/>
          <w:sz w:val="18"/>
          <w:szCs w:val="18"/>
          <w:color w:val="auto"/>
        </w:rPr>
        <w:t>) and the Dutch Criminal Code (</w:t>
      </w:r>
      <w:r>
        <w:rPr>
          <w:rFonts w:ascii="Times New Roman" w:cs="Times New Roman" w:eastAsia="Times New Roman" w:hAnsi="Times New Roman"/>
          <w:sz w:val="18"/>
          <w:szCs w:val="18"/>
          <w:i w:val="1"/>
          <w:iCs w:val="1"/>
          <w:color w:val="auto"/>
        </w:rPr>
        <w:t>Wetboek van Strafrecht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-1247775</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-1153160</wp:posOffset>
            </wp:positionV>
            <wp:extent cx="11398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Council Regulation (EC) No 2271/96 of 22 November 1996 on protecting against the effects of the extra-territorial application of legislation adopted by a third country, and actions based thereon or resulting therefrom.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as they read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Pharvaris B.V., a private company with limited liability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registered with the Commercial Register under number 64239411, to be renamed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Pharvaris N.V. in connection with the Offering.</w:t>
      </w:r>
    </w:p>
    <w:p>
      <w:pPr>
        <w:spacing w:after="0" w:line="6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Deed of Incorporation, the Deed of Conversion, the Current Articles, the Revised Articles, the Resolutions and the Registration Statement.</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Articles of Association as they read after the execution of a deed of amendment dated 5 November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480" w:space="720"/>
            <w:col w:w="7680"/>
          </w:cols>
          <w:pgMar w:left="440" w:top="630"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Conversion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right="620"/>
        <w:spacing w:after="0" w:line="4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Deed of Incorporation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Deed of Issue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DFSA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NautaDutilh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Netherlands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draft deed of conversion and amendment to the Articles of Association prepared by us with reference number 82044177 M 30256910.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-622300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-528320</wp:posOffset>
            </wp:positionV>
            <wp:extent cx="113982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dated 30 September 2015</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draft deed of issue of the Offer Shares or Option Shares, as the case may be, prepared by us with references 82044177 M 30256945 and 82041678 M 21475950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Financial Supervision Act (</w:t>
      </w:r>
      <w:r>
        <w:rPr>
          <w:rFonts w:ascii="Times New Roman" w:cs="Times New Roman" w:eastAsia="Times New Roman" w:hAnsi="Times New Roman"/>
          <w:sz w:val="18"/>
          <w:szCs w:val="18"/>
          <w:i w:val="1"/>
          <w:iCs w:val="1"/>
          <w:color w:val="auto"/>
        </w:rPr>
        <w:t>Wet op het financieel toezicht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general meeting (</w:t>
      </w:r>
      <w:r>
        <w:rPr>
          <w:rFonts w:ascii="Times New Roman" w:cs="Times New Roman" w:eastAsia="Times New Roman" w:hAnsi="Times New Roman"/>
          <w:sz w:val="18"/>
          <w:szCs w:val="18"/>
          <w:i w:val="1"/>
          <w:iCs w:val="1"/>
          <w:color w:val="auto"/>
        </w:rPr>
        <w:t>algemene vergadering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NautaDutilh N.V.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territory of the Kingdom of the Netherlands.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1,320,500 Ordinary Shares.</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offering of the Offer Shares and, if any, the Option Shares and the admission to listing and trading of those Common Shares on the NASDAQ Stock Market as contemplated by the Registration Statement.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option to acquire Option Shares to be granted to the Underwriters pursuant to the Underwriting Agreement and the Resolutions.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198,075 Ordinary Shares or such lesser number of Ordinary Shares in respect of which the Option is exercised.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in the Company’s capital, with a nominal value of EUR 0.12 each.</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480" w:space="720"/>
            <w:col w:w="7680"/>
          </w:cols>
          <w:pgMar w:left="440" w:top="630" w:right="5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 Regulation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Times New Roman" w:cs="Times New Roman" w:eastAsia="Times New Roman" w:hAnsi="Times New Roman"/>
          <w:sz w:val="18"/>
          <w:szCs w:val="18"/>
          <w:color w:val="auto"/>
        </w:rPr>
        <w:t>Regulation (EU) 2017/1129 of the European Parliament and of the Council of 14 June 2017 on the prospectus to be published when securities are offered to the public or admitted to trading on a regulated market, and repealing Directive 2003/71/EC.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-750570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-655955</wp:posOffset>
            </wp:positionV>
            <wp:extent cx="11398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480" w:space="720"/>
            <w:col w:w="7780"/>
          </w:cols>
          <w:pgMar w:left="440" w:top="63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registration statement on Form F-1 filed or to be filed with the SEC in connection with the Offering in the form reviewed by us.</w:t>
      </w:r>
    </w:p>
    <w:p>
      <w:pPr>
        <w:spacing w:after="0" w:line="50"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Moment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time that Offer Shares or Option Shares are issued pursuant to the execution of a Deed of Issue.</w:t>
      </w:r>
    </w:p>
    <w:p>
      <w:pPr>
        <w:spacing w:after="0" w:line="125"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of the following:</w:t>
      </w:r>
    </w:p>
    <w:p>
      <w:pPr>
        <w:spacing w:after="0" w:line="142"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0" w:hanging="15"/>
        <w:spacing w:after="0" w:line="282" w:lineRule="auto"/>
        <w:rPr>
          <w:sz w:val="20"/>
          <w:szCs w:val="20"/>
          <w:color w:val="auto"/>
        </w:rPr>
      </w:pPr>
      <w:r>
        <w:rPr>
          <w:rFonts w:ascii="Times New Roman" w:cs="Times New Roman" w:eastAsia="Times New Roman" w:hAnsi="Times New Roman"/>
          <w:sz w:val="18"/>
          <w:szCs w:val="18"/>
          <w:color w:val="auto"/>
        </w:rPr>
        <w:t>the written resolutions of the Board, dated 10 November 2020, 22 January 2021 and 1 February 2021;</w:t>
      </w:r>
    </w:p>
    <w:p>
      <w:pPr>
        <w:spacing w:after="0" w:line="67" w:lineRule="exact"/>
        <w:rPr>
          <w:sz w:val="20"/>
          <w:szCs w:val="20"/>
          <w:color w:val="auto"/>
        </w:rPr>
      </w:pPr>
    </w:p>
    <w:p>
      <w:pPr>
        <w:sectPr>
          <w:pgSz w:w="11900" w:h="16838" w:orient="portrait"/>
          <w:cols w:equalWidth="0" w:num="2">
            <w:col w:w="3700" w:space="220"/>
            <w:col w:w="7060"/>
          </w:cols>
          <w:pgMar w:left="440" w:top="630" w:right="479"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written resolutions of the General Meeting, dated 1 February 2021; and</w:t>
      </w:r>
    </w:p>
    <w:p>
      <w:pPr>
        <w:spacing w:after="0" w:line="131" w:lineRule="exact"/>
        <w:rPr>
          <w:sz w:val="20"/>
          <w:szCs w:val="20"/>
          <w:color w:val="auto"/>
        </w:rPr>
      </w:pPr>
    </w:p>
    <w:p>
      <w:pPr>
        <w:sectPr>
          <w:pgSz w:w="11900" w:h="16838" w:orient="portrait"/>
          <w:cols w:equalWidth="0" w:num="2">
            <w:col w:w="3700" w:space="200"/>
            <w:col w:w="7080"/>
          </w:cols>
          <w:pgMar w:left="440" w:top="630" w:right="479"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Times New Roman" w:cs="Times New Roman" w:eastAsia="Times New Roman" w:hAnsi="Times New Roman"/>
          <w:sz w:val="17"/>
          <w:szCs w:val="17"/>
          <w:color w:val="auto"/>
        </w:rPr>
        <w:t>pricing committee resolutions prepared by us and bearing the reference 82044177 M 31112124.</w:t>
      </w:r>
    </w:p>
    <w:p>
      <w:pPr>
        <w:spacing w:after="0" w:line="138" w:lineRule="exact"/>
        <w:rPr>
          <w:sz w:val="20"/>
          <w:szCs w:val="20"/>
          <w:color w:val="auto"/>
        </w:rPr>
      </w:pPr>
    </w:p>
    <w:p>
      <w:pPr>
        <w:sectPr>
          <w:pgSz w:w="11900" w:h="16838" w:orient="portrait"/>
          <w:cols w:equalWidth="0" w:num="2">
            <w:col w:w="3700" w:space="200"/>
            <w:col w:w="70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Reviewed Documents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Deed of Issue and the Underwriting Agreement.</w:t>
      </w:r>
    </w:p>
    <w:p>
      <w:pPr>
        <w:spacing w:after="0" w:line="125"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Revised Articles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Articles of Association as they will read immediately after the execution of the duly completed Deed of Conversion.</w:t>
      </w:r>
    </w:p>
    <w:p>
      <w:pPr>
        <w:spacing w:after="0" w:line="50"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Securities and Exchange Commission.</w:t>
      </w:r>
    </w:p>
    <w:p>
      <w:pPr>
        <w:spacing w:after="0" w:line="125"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Underwriters, as listed in Schedule I to the Underwriting Agreement.</w:t>
      </w:r>
    </w:p>
    <w:p>
      <w:pPr>
        <w:spacing w:after="0" w:line="113"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40"/>
        <w:spacing w:after="0" w:line="282" w:lineRule="auto"/>
        <w:rPr>
          <w:sz w:val="20"/>
          <w:szCs w:val="20"/>
          <w:color w:val="auto"/>
        </w:rPr>
      </w:pPr>
      <w:r>
        <w:rPr>
          <w:rFonts w:ascii="Times New Roman" w:cs="Times New Roman" w:eastAsia="Times New Roman" w:hAnsi="Times New Roman"/>
          <w:sz w:val="18"/>
          <w:szCs w:val="18"/>
          <w:color w:val="auto"/>
        </w:rPr>
        <w:t>The draft underwriting agreement to be entered into between the Company and the Underwriters in connection with the Offering, in the form reviewed by NautaDutilh.</w:t>
      </w:r>
    </w:p>
    <w:p>
      <w:pPr>
        <w:spacing w:after="0" w:line="94"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80"/>
          </w:cols>
          <w:pgMar w:left="440" w:top="630" w:right="47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F-1 of our report dated November 10, 2020 relating to the financial statements, which appears in Amendment Number 2 to the Registration Statement on Form F-1 (No. 333-252157) of Pharvaris B.V.. We also consent to the reference to us under the heading “Experts” in Amendment Number 2 to the Registration Statement on Form F-1 (No. 333-252157) incorporated by reference in this Registration Statement.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R.M.N. Admiraal 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Accountants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Eindhoven, the Netherlands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8"/>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3"/>
    </w:lvl>
    <w:lvl w:ilvl="1">
      <w:lvlJc w:val="left"/>
      <w:lvlText w:val="%2."/>
      <w:numFmt w:val="lowerLetter"/>
      <w:start w:val="1"/>
    </w:lvl>
  </w:abstractNum>
  <w:abstractNum w:abstractNumId="9">
    <w:nsid w:val="216231B"/>
    <w:multiLevelType w:val="hybridMultilevel"/>
    <w:lvl w:ilvl="0">
      <w:lvlJc w:val="left"/>
      <w:lvlText w:val="%1"/>
      <w:numFmt w:val="upperLetter"/>
      <w:start w:val="1"/>
    </w:lvl>
    <w:lvl w:ilvl="1">
      <w:lvlJc w:val="left"/>
      <w:lvlText w:val="%2."/>
      <w:numFmt w:val="lowerLetter"/>
      <w:start w:val="4"/>
    </w:lvl>
  </w:abstractNum>
  <w:abstractNum w:abstractNumId="10">
    <w:nsid w:val="1F16E9E8"/>
    <w:multiLevelType w:val="hybridMultilevel"/>
    <w:lvl w:ilvl="0">
      <w:lvlJc w:val="left"/>
      <w:lvlText w:val="%1."/>
      <w:numFmt w:val="upp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jpeg"/><Relationship Id="rId21" Type="http://schemas.openxmlformats.org/officeDocument/2006/relationships/hyperlink" Target="http://www.sec.gov/Archives/edgar/data/1800347/000104746920001294/a2240689zs-1.htm#Ex_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2021-02-04T19:39:20Z</dcterms:created>
  <dcterms:modified xsi:type="dcterms:W3CDTF">2021-02-04T19:39:20Z</dcterms:modified>
</cp:coreProperties>
</file>