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303530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2199640</wp:posOffset>
            </wp:positionH>
            <wp:positionV relativeFrom="paragraph">
              <wp:posOffset>158750</wp:posOffset>
            </wp:positionV>
            <wp:extent cx="27432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743200" cy="8255"/>
                    </a:xfrm>
                    <a:prstGeom prst="rect">
                      <a:avLst/>
                    </a:prstGeom>
                    <a:noFill/>
                  </pic:spPr>
                </pic:pic>
              </a:graphicData>
            </a:graphic>
          </wp:anchor>
        </w:drawing>
      </w:r>
    </w:p>
    <w:p>
      <w:pPr>
        <w:spacing w:after="0" w:line="200" w:lineRule="exact"/>
        <w:rPr>
          <w:sz w:val="24"/>
          <w:szCs w:val="24"/>
          <w:color w:val="auto"/>
        </w:rPr>
      </w:pPr>
    </w:p>
    <w:p>
      <w:pPr>
        <w:spacing w:after="0" w:line="27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2199640</wp:posOffset>
            </wp:positionH>
            <wp:positionV relativeFrom="paragraph">
              <wp:posOffset>186690</wp:posOffset>
            </wp:positionV>
            <wp:extent cx="27432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743200" cy="8890"/>
                    </a:xfrm>
                    <a:prstGeom prst="rect">
                      <a:avLst/>
                    </a:prstGeom>
                    <a:noFill/>
                  </pic:spPr>
                </pic:pic>
              </a:graphicData>
            </a:graphic>
          </wp:anchor>
        </w:drawing>
      </w:r>
    </w:p>
    <w:p>
      <w:pPr>
        <w:spacing w:after="0" w:line="200" w:lineRule="exact"/>
        <w:rPr>
          <w:sz w:val="24"/>
          <w:szCs w:val="24"/>
          <w:color w:val="auto"/>
        </w:rPr>
      </w:pPr>
    </w:p>
    <w:p>
      <w:pPr>
        <w:spacing w:after="0" w:line="24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PURSUANT TO RULE 13A-16 OR 15D-16 UNDER</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THE SECURITIES EXCHANGE ACT OF 1934</w:t>
      </w: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month of July 2021</w:t>
      </w:r>
    </w:p>
    <w:p>
      <w:pPr>
        <w:spacing w:after="0" w:line="22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001-40010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2199640</wp:posOffset>
            </wp:positionH>
            <wp:positionV relativeFrom="paragraph">
              <wp:posOffset>171450</wp:posOffset>
            </wp:positionV>
            <wp:extent cx="27432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743200" cy="8255"/>
                    </a:xfrm>
                    <a:prstGeom prst="rect">
                      <a:avLst/>
                    </a:prstGeom>
                    <a:noFill/>
                  </pic:spPr>
                </pic:pic>
              </a:graphicData>
            </a:graphic>
          </wp:anchor>
        </w:drawing>
      </w:r>
    </w:p>
    <w:p>
      <w:pPr>
        <w:spacing w:after="0" w:line="200" w:lineRule="exact"/>
        <w:rPr>
          <w:sz w:val="24"/>
          <w:szCs w:val="24"/>
          <w:color w:val="auto"/>
        </w:rPr>
      </w:pPr>
    </w:p>
    <w:p>
      <w:pPr>
        <w:spacing w:after="0" w:line="290"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Pharvaris N.V.</w:t>
      </w:r>
    </w:p>
    <w:p>
      <w:pPr>
        <w:spacing w:after="0" w:line="27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2199640</wp:posOffset>
            </wp:positionH>
            <wp:positionV relativeFrom="paragraph">
              <wp:posOffset>177800</wp:posOffset>
            </wp:positionV>
            <wp:extent cx="27432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743200" cy="8255"/>
                    </a:xfrm>
                    <a:prstGeom prst="rect">
                      <a:avLst/>
                    </a:prstGeom>
                    <a:noFill/>
                  </pic:spPr>
                </pic:pic>
              </a:graphicData>
            </a:graphic>
          </wp:anchor>
        </w:drawing>
      </w:r>
    </w:p>
    <w:p>
      <w:pPr>
        <w:spacing w:after="0" w:line="200" w:lineRule="exact"/>
        <w:rPr>
          <w:sz w:val="24"/>
          <w:szCs w:val="24"/>
          <w:color w:val="auto"/>
        </w:rPr>
      </w:pPr>
    </w:p>
    <w:p>
      <w:pPr>
        <w:spacing w:after="0" w:line="23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J.H. Oortweg 21</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2333 CH Leiden</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The Netherlands</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(Address of principal executive office)</w:t>
      </w:r>
    </w:p>
    <w:p>
      <w:pPr>
        <w:spacing w:after="0" w:line="184"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52" w:lineRule="exact"/>
        <w:rPr>
          <w:sz w:val="24"/>
          <w:szCs w:val="24"/>
          <w:color w:val="auto"/>
        </w:rPr>
      </w:pPr>
    </w:p>
    <w:p>
      <w:pPr>
        <w:spacing w:after="0" w:line="207" w:lineRule="exact"/>
        <w:tabs>
          <w:tab w:leader="none" w:pos="286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Form 40-F </w:t>
      </w:r>
      <w:r>
        <w:rPr>
          <w:rFonts w:ascii="MS PGothic" w:cs="MS PGothic" w:eastAsia="MS PGothic" w:hAnsi="MS PGothic"/>
          <w:sz w:val="16"/>
          <w:szCs w:val="16"/>
          <w:color w:val="auto"/>
        </w:rPr>
        <w:t>☐</w:t>
      </w:r>
    </w:p>
    <w:p>
      <w:pPr>
        <w:spacing w:after="0" w:line="18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74"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Note: Regulation S-T Rule 101(b)(1) only permits the submission in paper of a Form 6-K if submitted solely to provide an attached annual report to security holders</w:t>
      </w:r>
    </w:p>
    <w:p>
      <w:pPr>
        <w:spacing w:after="0" w:line="97"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85" w:lineRule="exact"/>
        <w:rPr>
          <w:sz w:val="24"/>
          <w:szCs w:val="24"/>
          <w:color w:val="auto"/>
        </w:rPr>
      </w:pPr>
    </w:p>
    <w:p>
      <w:pPr>
        <w:spacing w:after="0" w:line="275" w:lineRule="auto"/>
        <w:rPr>
          <w:sz w:val="20"/>
          <w:szCs w:val="20"/>
          <w:color w:val="auto"/>
        </w:rPr>
      </w:pPr>
      <w:r>
        <w:rPr>
          <w:rFonts w:ascii="Arial" w:cs="Arial" w:eastAsia="Arial" w:hAnsi="Arial"/>
          <w:sz w:val="17"/>
          <w:szCs w:val="17"/>
          <w:color w:val="auto"/>
        </w:rPr>
        <w:t>Note: Regulation S-T Rule 101(b)(7) only permits the submission in paper of a Form 6-K if submitted to furnish a report or other document that the registrant foreign private issuer must furnish and make public under the laws of the jurisdiction in which the registrant is incorporated, domiciled or legally organized (the registrant’s “home country”), or under the rules of the home country exchange on which the registrant’s securities are traded, as long as the report or other document is not a press release, is not required to be and has not been distributed to the registrant’s security holders, and, if discussing a material event, has already been the subject of a Form 6-K submission or other Commission filing on EDGAR.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146685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172085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746" w:right="39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PHARVARIS N.V.</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July 30, 2021, Pharvaris N.V. issued a press release. A copy of the press release is attached hereto as Exhibit 99.1 and is incorporated by reference herein. Exhibit 99.1 to this Report on Form 6-K shall not be deemed “filed” for purposes of Section 18 of the Securities Exchange Act of 1934 (the “Exchange Act”) or otherwise subject to the liabilities of that section, nor shall it be deemed incorporated by reference in any filing under the Securities Act of 1933, as amended or the Exchange Act.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20" w:type="dxa"/>
            <w:vAlign w:val="bottom"/>
          </w:tcPr>
          <w:p>
            <w:pPr>
              <w:spacing w:after="0"/>
              <w:rPr>
                <w:sz w:val="20"/>
                <w:szCs w:val="20"/>
                <w:color w:val="auto"/>
              </w:rPr>
            </w:pPr>
          </w:p>
        </w:tc>
        <w:tc>
          <w:tcPr>
            <w:tcW w:w="7720" w:type="dxa"/>
            <w:vAlign w:val="bottom"/>
            <w:gridSpan w:val="2"/>
          </w:tcPr>
          <w:p>
            <w:pPr>
              <w:ind w:left="2120"/>
              <w:spacing w:after="0"/>
              <w:rPr>
                <w:sz w:val="20"/>
                <w:szCs w:val="20"/>
                <w:color w:val="auto"/>
              </w:rPr>
            </w:pPr>
            <w:r>
              <w:rPr>
                <w:rFonts w:ascii="Arial" w:cs="Arial" w:eastAsia="Arial" w:hAnsi="Arial"/>
                <w:sz w:val="18"/>
                <w:szCs w:val="18"/>
                <w:b w:val="1"/>
                <w:bCs w:val="1"/>
                <w:color w:val="auto"/>
              </w:rPr>
              <w:t>PHARVARIS N.V.</w:t>
            </w:r>
          </w:p>
        </w:tc>
      </w:tr>
      <w:tr>
        <w:trPr>
          <w:trHeight w:val="493"/>
        </w:trPr>
        <w:tc>
          <w:tcPr>
            <w:tcW w:w="3520" w:type="dxa"/>
            <w:vAlign w:val="bottom"/>
          </w:tcPr>
          <w:p>
            <w:pPr>
              <w:spacing w:after="0"/>
              <w:rPr>
                <w:sz w:val="20"/>
                <w:szCs w:val="20"/>
                <w:color w:val="auto"/>
              </w:rPr>
            </w:pPr>
            <w:r>
              <w:rPr>
                <w:rFonts w:ascii="Arial" w:cs="Arial" w:eastAsia="Arial" w:hAnsi="Arial"/>
                <w:sz w:val="18"/>
                <w:szCs w:val="18"/>
                <w:color w:val="auto"/>
              </w:rPr>
              <w:t>Date: July 30, 2021</w:t>
            </w:r>
          </w:p>
        </w:tc>
        <w:tc>
          <w:tcPr>
            <w:tcW w:w="2840" w:type="dxa"/>
            <w:vAlign w:val="bottom"/>
          </w:tcPr>
          <w:p>
            <w:pPr>
              <w:ind w:left="2120"/>
              <w:spacing w:after="0"/>
              <w:rPr>
                <w:sz w:val="20"/>
                <w:szCs w:val="20"/>
                <w:color w:val="auto"/>
              </w:rPr>
            </w:pPr>
            <w:r>
              <w:rPr>
                <w:rFonts w:ascii="Arial" w:cs="Arial" w:eastAsia="Arial" w:hAnsi="Arial"/>
                <w:sz w:val="18"/>
                <w:szCs w:val="18"/>
                <w:color w:val="auto"/>
              </w:rPr>
              <w:t>By:</w:t>
            </w:r>
          </w:p>
        </w:tc>
        <w:tc>
          <w:tcPr>
            <w:tcW w:w="4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Berndt Modig</w:t>
            </w:r>
          </w:p>
        </w:tc>
      </w:tr>
      <w:tr>
        <w:trPr>
          <w:trHeight w:val="229"/>
        </w:trPr>
        <w:tc>
          <w:tcPr>
            <w:tcW w:w="3520" w:type="dxa"/>
            <w:vAlign w:val="bottom"/>
          </w:tcPr>
          <w:p>
            <w:pPr>
              <w:spacing w:after="0"/>
              <w:rPr>
                <w:sz w:val="19"/>
                <w:szCs w:val="19"/>
                <w:color w:val="auto"/>
              </w:rPr>
            </w:pPr>
          </w:p>
        </w:tc>
        <w:tc>
          <w:tcPr>
            <w:tcW w:w="2840" w:type="dxa"/>
            <w:vAlign w:val="bottom"/>
          </w:tcPr>
          <w:p>
            <w:pPr>
              <w:ind w:left="2120"/>
              <w:spacing w:after="0"/>
              <w:rPr>
                <w:sz w:val="20"/>
                <w:szCs w:val="20"/>
                <w:color w:val="auto"/>
              </w:rPr>
            </w:pPr>
            <w:r>
              <w:rPr>
                <w:rFonts w:ascii="Arial" w:cs="Arial" w:eastAsia="Arial" w:hAnsi="Arial"/>
                <w:sz w:val="18"/>
                <w:szCs w:val="18"/>
                <w:color w:val="auto"/>
              </w:rPr>
              <w:t>Name:</w:t>
            </w:r>
          </w:p>
        </w:tc>
        <w:tc>
          <w:tcPr>
            <w:tcW w:w="4880" w:type="dxa"/>
            <w:vAlign w:val="bottom"/>
          </w:tcPr>
          <w:p>
            <w:pPr>
              <w:spacing w:after="0"/>
              <w:rPr>
                <w:sz w:val="20"/>
                <w:szCs w:val="20"/>
                <w:color w:val="auto"/>
              </w:rPr>
            </w:pPr>
            <w:r>
              <w:rPr>
                <w:rFonts w:ascii="Arial" w:cs="Arial" w:eastAsia="Arial" w:hAnsi="Arial"/>
                <w:sz w:val="18"/>
                <w:szCs w:val="18"/>
                <w:color w:val="auto"/>
              </w:rPr>
              <w:t>Berndt Modig</w:t>
            </w:r>
          </w:p>
        </w:tc>
      </w:tr>
      <w:tr>
        <w:trPr>
          <w:trHeight w:val="230"/>
        </w:trPr>
        <w:tc>
          <w:tcPr>
            <w:tcW w:w="3520" w:type="dxa"/>
            <w:vAlign w:val="bottom"/>
          </w:tcPr>
          <w:p>
            <w:pPr>
              <w:spacing w:after="0"/>
              <w:rPr>
                <w:sz w:val="20"/>
                <w:szCs w:val="20"/>
                <w:color w:val="auto"/>
              </w:rPr>
            </w:pPr>
          </w:p>
        </w:tc>
        <w:tc>
          <w:tcPr>
            <w:tcW w:w="2840" w:type="dxa"/>
            <w:vAlign w:val="bottom"/>
          </w:tcPr>
          <w:p>
            <w:pPr>
              <w:ind w:left="2120"/>
              <w:spacing w:after="0"/>
              <w:rPr>
                <w:sz w:val="20"/>
                <w:szCs w:val="20"/>
                <w:color w:val="auto"/>
              </w:rPr>
            </w:pPr>
            <w:r>
              <w:rPr>
                <w:rFonts w:ascii="Arial" w:cs="Arial" w:eastAsia="Arial" w:hAnsi="Arial"/>
                <w:sz w:val="18"/>
                <w:szCs w:val="18"/>
                <w:color w:val="auto"/>
              </w:rPr>
              <w:t>Title:</w:t>
            </w:r>
          </w:p>
        </w:tc>
        <w:tc>
          <w:tcPr>
            <w:tcW w:w="488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7620" w:type="dxa"/>
            <w:vAlign w:val="bottom"/>
            <w:gridSpan w:val="3"/>
          </w:tcPr>
          <w:p>
            <w:pPr>
              <w:ind w:left="130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441"/>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10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6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No.</w:t>
            </w:r>
          </w:p>
        </w:tc>
        <w:tc>
          <w:tcPr>
            <w:tcW w:w="10100" w:type="dxa"/>
            <w:vAlign w:val="bottom"/>
            <w:gridSpan w:val="5"/>
          </w:tcPr>
          <w:p>
            <w:pPr>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189"/>
        </w:trPr>
        <w:tc>
          <w:tcPr>
            <w:tcW w:w="102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99.1</w:t>
            </w:r>
          </w:p>
        </w:tc>
        <w:tc>
          <w:tcPr>
            <w:tcW w:w="120" w:type="dxa"/>
            <w:vAlign w:val="bottom"/>
          </w:tcPr>
          <w:p>
            <w:pPr>
              <w:spacing w:after="0"/>
              <w:rPr>
                <w:sz w:val="16"/>
                <w:szCs w:val="16"/>
                <w:color w:val="auto"/>
              </w:rPr>
            </w:pPr>
          </w:p>
        </w:tc>
        <w:tc>
          <w:tcPr>
            <w:tcW w:w="10100" w:type="dxa"/>
            <w:vAlign w:val="bottom"/>
            <w:tcBorders>
              <w:top w:val="single" w:sz="8" w:color="auto"/>
            </w:tcBorders>
            <w:gridSpan w:val="5"/>
          </w:tcPr>
          <w:p>
            <w:pPr>
              <w:spacing w:after="0" w:line="189" w:lineRule="exact"/>
              <w:rPr>
                <w:rFonts w:ascii="Arial" w:cs="Arial" w:eastAsia="Arial" w:hAnsi="Arial"/>
                <w:sz w:val="18"/>
                <w:szCs w:val="18"/>
                <w:color w:val="0000EE"/>
              </w:rPr>
            </w:pPr>
            <w:hyperlink w:anchor="page5">
              <w:r>
                <w:rPr>
                  <w:rFonts w:ascii="Arial" w:cs="Arial" w:eastAsia="Arial" w:hAnsi="Arial"/>
                  <w:sz w:val="18"/>
                  <w:szCs w:val="18"/>
                  <w:color w:val="0000EE"/>
                </w:rPr>
                <w:t>Press Release, dated July 30, 2021</w:t>
              </w:r>
            </w:hyperlink>
            <w:r>
              <w:rPr>
                <w:rFonts w:ascii="Arial" w:cs="Arial" w:eastAsia="Arial" w:hAnsi="Arial"/>
                <w:sz w:val="18"/>
                <w:szCs w:val="18"/>
                <w:u w:val="single" w:color="auto"/>
                <w:color w:val="000000"/>
              </w:rPr>
              <w:t>.</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20" w:type="dxa"/>
            <w:vAlign w:val="bottom"/>
          </w:tcPr>
          <w:p>
            <w:pPr>
              <w:spacing w:after="0"/>
              <w:rPr>
                <w:sz w:val="20"/>
                <w:szCs w:val="20"/>
                <w:color w:val="auto"/>
              </w:rPr>
            </w:pPr>
            <w:r>
              <w:rPr>
                <w:rFonts w:ascii="Arial" w:cs="Arial" w:eastAsia="Arial" w:hAnsi="Arial"/>
                <w:sz w:val="18"/>
                <w:szCs w:val="18"/>
                <w:color w:val="auto"/>
              </w:rPr>
              <w:t>99.2</w:t>
            </w:r>
          </w:p>
        </w:tc>
        <w:tc>
          <w:tcPr>
            <w:tcW w:w="120" w:type="dxa"/>
            <w:vAlign w:val="bottom"/>
          </w:tcPr>
          <w:p>
            <w:pPr>
              <w:spacing w:after="0"/>
              <w:rPr>
                <w:sz w:val="24"/>
                <w:szCs w:val="24"/>
                <w:color w:val="auto"/>
              </w:rPr>
            </w:pPr>
          </w:p>
        </w:tc>
        <w:tc>
          <w:tcPr>
            <w:tcW w:w="10100" w:type="dxa"/>
            <w:vAlign w:val="bottom"/>
            <w:gridSpan w:val="5"/>
          </w:tcPr>
          <w:p>
            <w:pPr>
              <w:spacing w:after="0"/>
              <w:rPr>
                <w:rFonts w:ascii="Arial" w:cs="Arial" w:eastAsia="Arial" w:hAnsi="Arial"/>
                <w:sz w:val="18"/>
                <w:szCs w:val="18"/>
                <w:color w:val="0000EE"/>
                <w:w w:val="93"/>
              </w:rPr>
            </w:pPr>
            <w:hyperlink w:anchor="page10">
              <w:r>
                <w:rPr>
                  <w:rFonts w:ascii="Arial" w:cs="Arial" w:eastAsia="Arial" w:hAnsi="Arial"/>
                  <w:sz w:val="18"/>
                  <w:szCs w:val="18"/>
                  <w:color w:val="0000EE"/>
                  <w:w w:val="93"/>
                </w:rPr>
                <w:t>Management’s Discussion and Analysis of Financial Condition and Results of Operations as of and for the Three and Six Months Ended</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2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June 30, 2021</w:t>
              </w:r>
              <w:r>
                <w:rPr>
                  <w:rFonts w:ascii="Arial" w:cs="Arial" w:eastAsia="Arial" w:hAnsi="Arial"/>
                  <w:sz w:val="18"/>
                  <w:szCs w:val="18"/>
                  <w:u w:val="single" w:color="auto"/>
                  <w:color w:val="000000"/>
                </w:rPr>
                <w:t>.</w:t>
              </w:r>
            </w:hyperlink>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vMerge w:val="restart"/>
          </w:tcPr>
          <w:p>
            <w:pPr>
              <w:spacing w:after="0"/>
              <w:rPr>
                <w:sz w:val="20"/>
                <w:szCs w:val="20"/>
                <w:color w:val="auto"/>
              </w:rPr>
            </w:pPr>
            <w:r>
              <w:rPr>
                <w:rFonts w:ascii="Arial" w:cs="Arial" w:eastAsia="Arial" w:hAnsi="Arial"/>
                <w:sz w:val="18"/>
                <w:szCs w:val="18"/>
                <w:color w:val="auto"/>
              </w:rPr>
              <w:t>99.3</w:t>
            </w:r>
          </w:p>
        </w:tc>
        <w:tc>
          <w:tcPr>
            <w:tcW w:w="12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814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0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100" w:type="dxa"/>
            <w:vAlign w:val="bottom"/>
            <w:gridSpan w:val="5"/>
          </w:tcPr>
          <w:p>
            <w:pPr>
              <w:spacing w:after="0"/>
              <w:rPr>
                <w:rFonts w:ascii="Arial" w:cs="Arial" w:eastAsia="Arial" w:hAnsi="Arial"/>
                <w:sz w:val="18"/>
                <w:szCs w:val="18"/>
                <w:color w:val="0000EE"/>
                <w:w w:val="98"/>
              </w:rPr>
            </w:pPr>
            <w:hyperlink w:anchor="page22">
              <w:r>
                <w:rPr>
                  <w:rFonts w:ascii="Arial" w:cs="Arial" w:eastAsia="Arial" w:hAnsi="Arial"/>
                  <w:sz w:val="18"/>
                  <w:szCs w:val="18"/>
                  <w:color w:val="0000EE"/>
                  <w:w w:val="98"/>
                </w:rPr>
                <w:t>Unaudited Condensed Consolidated Interim Financial Statements as of and for the Three and Six Months Ended June 30, 2021</w:t>
              </w:r>
            </w:hyperlink>
            <w:r>
              <w:rPr>
                <w:rFonts w:ascii="Arial" w:cs="Arial" w:eastAsia="Arial" w:hAnsi="Arial"/>
                <w:sz w:val="18"/>
                <w:szCs w:val="18"/>
                <w:u w:val="single" w:color="auto"/>
                <w:color w:val="000000"/>
                <w:w w:val="98"/>
              </w:rPr>
              <w:t>.</w:t>
            </w:r>
          </w:p>
        </w:tc>
        <w:tc>
          <w:tcPr>
            <w:tcW w:w="0" w:type="dxa"/>
            <w:vAlign w:val="bottom"/>
          </w:tcPr>
          <w:p>
            <w:pPr>
              <w:spacing w:after="0"/>
              <w:rPr>
                <w:sz w:val="1"/>
                <w:szCs w:val="1"/>
                <w:color w:val="auto"/>
              </w:rPr>
            </w:pPr>
          </w:p>
        </w:tc>
      </w:tr>
      <w:tr>
        <w:trPr>
          <w:trHeight w:val="695"/>
        </w:trPr>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140" w:type="dxa"/>
            <w:vAlign w:val="bottom"/>
            <w:tcBorders>
              <w:top w:val="single" w:sz="8" w:color="0000EE"/>
            </w:tcBorders>
            <w:gridSpan w:val="3"/>
          </w:tcPr>
          <w:p>
            <w:pPr>
              <w:ind w:left="4440"/>
              <w:spacing w:after="0"/>
              <w:rPr>
                <w:sz w:val="20"/>
                <w:szCs w:val="20"/>
                <w:color w:val="auto"/>
              </w:rPr>
            </w:pPr>
            <w:r>
              <w:rPr>
                <w:rFonts w:ascii="Arial" w:cs="Arial" w:eastAsia="Arial" w:hAnsi="Arial"/>
                <w:sz w:val="18"/>
                <w:szCs w:val="18"/>
                <w:color w:val="auto"/>
              </w:rPr>
              <w:t>4</w:t>
            </w: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21" w:right="339" w:bottom="1440" w:gutter="0" w:footer="0" w:header="0"/>
        </w:sectPr>
      </w:pPr>
    </w:p>
    <w:bookmarkStart w:id="4" w:name="page5"/>
    <w:bookmarkEnd w:id="4"/>
    <w:p>
      <w:pPr>
        <w:jc w:val="right"/>
        <w:spacing w:after="0"/>
        <w:rPr>
          <w:sz w:val="20"/>
          <w:szCs w:val="20"/>
          <w:color w:val="auto"/>
        </w:rPr>
      </w:pPr>
      <w:r>
        <w:rPr>
          <w:rFonts w:ascii="Arial" w:cs="Arial" w:eastAsia="Arial" w:hAnsi="Arial"/>
          <w:sz w:val="20"/>
          <w:szCs w:val="20"/>
          <w:b w:val="1"/>
          <w:bCs w:val="1"/>
          <w:color w:val="auto"/>
        </w:rPr>
        <w:t>Exhibit 99.1</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Pharvaris Reports Second Quarter 2021 Financial Results and Provides Business Highlights</w:t>
      </w:r>
    </w:p>
    <w:p>
      <w:pPr>
        <w:spacing w:after="0" w:line="207" w:lineRule="exact"/>
        <w:rPr>
          <w:sz w:val="20"/>
          <w:szCs w:val="20"/>
          <w:color w:val="auto"/>
        </w:rPr>
      </w:pPr>
    </w:p>
    <w:p>
      <w:pPr>
        <w:ind w:left="880" w:right="220" w:hanging="440"/>
        <w:spacing w:after="0" w:line="250" w:lineRule="auto"/>
        <w:tabs>
          <w:tab w:leader="none" w:pos="880" w:val="left"/>
        </w:tabs>
        <w:numPr>
          <w:ilvl w:val="0"/>
          <w:numId w:val="1"/>
        </w:numPr>
        <w:rPr>
          <w:rFonts w:ascii="Arial" w:cs="Arial" w:eastAsia="Arial" w:hAnsi="Arial"/>
          <w:sz w:val="20"/>
          <w:szCs w:val="20"/>
          <w:color w:val="auto"/>
        </w:rPr>
      </w:pPr>
      <w:r>
        <w:rPr>
          <w:rFonts w:ascii="Arial" w:cs="Arial" w:eastAsia="Arial" w:hAnsi="Arial"/>
          <w:sz w:val="20"/>
          <w:szCs w:val="20"/>
          <w:b w:val="1"/>
          <w:bCs w:val="1"/>
          <w:color w:val="auto"/>
        </w:rPr>
        <w:t>RAPIDe-1, Phase 2 on-demand study of PHVS416 for the treatment of HAE attacks expanding to US, expected to report data in 2022</w:t>
      </w:r>
    </w:p>
    <w:p>
      <w:pPr>
        <w:spacing w:after="0" w:line="1" w:lineRule="exact"/>
        <w:rPr>
          <w:rFonts w:ascii="Arial" w:cs="Arial" w:eastAsia="Arial" w:hAnsi="Arial"/>
          <w:sz w:val="20"/>
          <w:szCs w:val="20"/>
          <w:color w:val="auto"/>
        </w:rPr>
      </w:pPr>
    </w:p>
    <w:p>
      <w:pPr>
        <w:ind w:left="880" w:right="40" w:hanging="440"/>
        <w:spacing w:after="0" w:line="239" w:lineRule="auto"/>
        <w:tabs>
          <w:tab w:leader="none" w:pos="880" w:val="left"/>
        </w:tabs>
        <w:numPr>
          <w:ilvl w:val="0"/>
          <w:numId w:val="1"/>
        </w:numPr>
        <w:rPr>
          <w:rFonts w:ascii="Arial" w:cs="Arial" w:eastAsia="Arial" w:hAnsi="Arial"/>
          <w:sz w:val="20"/>
          <w:szCs w:val="20"/>
          <w:color w:val="auto"/>
        </w:rPr>
      </w:pPr>
      <w:r>
        <w:rPr>
          <w:rFonts w:ascii="Arial" w:cs="Arial" w:eastAsia="Arial" w:hAnsi="Arial"/>
          <w:sz w:val="20"/>
          <w:szCs w:val="20"/>
          <w:b w:val="1"/>
          <w:bCs w:val="1"/>
          <w:color w:val="auto"/>
        </w:rPr>
        <w:t>CHAPTER-1, Phase 2 prophylactic study of PHVS416 for the prevention of HAE attacks, and PHVS719 Phase 1 PK study expected to initiate in 2021</w:t>
      </w:r>
    </w:p>
    <w:p>
      <w:pPr>
        <w:ind w:left="880" w:hanging="440"/>
        <w:spacing w:after="0"/>
        <w:tabs>
          <w:tab w:leader="none" w:pos="880" w:val="left"/>
        </w:tabs>
        <w:numPr>
          <w:ilvl w:val="0"/>
          <w:numId w:val="1"/>
        </w:numPr>
        <w:rPr>
          <w:rFonts w:ascii="Arial" w:cs="Arial" w:eastAsia="Arial" w:hAnsi="Arial"/>
          <w:sz w:val="19"/>
          <w:szCs w:val="19"/>
          <w:color w:val="auto"/>
        </w:rPr>
      </w:pPr>
      <w:r>
        <w:rPr>
          <w:rFonts w:ascii="Arial" w:cs="Arial" w:eastAsia="Arial" w:hAnsi="Arial"/>
          <w:sz w:val="19"/>
          <w:szCs w:val="19"/>
          <w:b w:val="1"/>
          <w:bCs w:val="1"/>
          <w:color w:val="auto"/>
        </w:rPr>
        <w:t>Executing from a strong financial position with cash and cash equivalents of €224.3 million as of June 30, 2021</w:t>
      </w:r>
    </w:p>
    <w:p>
      <w:pPr>
        <w:spacing w:after="0" w:line="205" w:lineRule="exact"/>
        <w:rPr>
          <w:sz w:val="20"/>
          <w:szCs w:val="20"/>
          <w:color w:val="auto"/>
        </w:rPr>
      </w:pPr>
    </w:p>
    <w:p>
      <w:pPr>
        <w:ind w:right="40"/>
        <w:spacing w:after="0" w:line="248" w:lineRule="auto"/>
        <w:rPr>
          <w:sz w:val="20"/>
          <w:szCs w:val="20"/>
          <w:color w:val="auto"/>
        </w:rPr>
      </w:pPr>
      <w:r>
        <w:rPr>
          <w:rFonts w:ascii="Arial" w:cs="Arial" w:eastAsia="Arial" w:hAnsi="Arial"/>
          <w:sz w:val="20"/>
          <w:szCs w:val="20"/>
          <w:b w:val="1"/>
          <w:bCs w:val="1"/>
          <w:color w:val="auto"/>
        </w:rPr>
        <w:t xml:space="preserve">Zug, Switzerland, July 30, 2021 </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Pharvaris</w:t>
      </w:r>
      <w:r>
        <w:rPr>
          <w:rFonts w:ascii="Arial" w:cs="Arial" w:eastAsia="Arial" w:hAnsi="Arial"/>
          <w:sz w:val="20"/>
          <w:szCs w:val="20"/>
          <w:b w:val="1"/>
          <w:bCs w:val="1"/>
          <w:color w:val="auto"/>
        </w:rPr>
        <w:t xml:space="preserve"> </w:t>
      </w:r>
      <w:r>
        <w:rPr>
          <w:rFonts w:ascii="Arial" w:cs="Arial" w:eastAsia="Arial" w:hAnsi="Arial"/>
          <w:sz w:val="20"/>
          <w:szCs w:val="20"/>
          <w:color w:val="auto"/>
        </w:rPr>
        <w:t>(Nasdaq: PHVS), a clinical-stage company focused on the development and commercialization</w:t>
      </w:r>
      <w:r>
        <w:rPr>
          <w:rFonts w:ascii="Arial" w:cs="Arial" w:eastAsia="Arial" w:hAnsi="Arial"/>
          <w:sz w:val="20"/>
          <w:szCs w:val="20"/>
          <w:b w:val="1"/>
          <w:bCs w:val="1"/>
          <w:color w:val="auto"/>
        </w:rPr>
        <w:t xml:space="preserve"> </w:t>
      </w:r>
      <w:r>
        <w:rPr>
          <w:rFonts w:ascii="Arial" w:cs="Arial" w:eastAsia="Arial" w:hAnsi="Arial"/>
          <w:sz w:val="20"/>
          <w:szCs w:val="20"/>
          <w:color w:val="auto"/>
        </w:rPr>
        <w:t>of novel oral bradykinin-B2-receptor antagonists for the treatment of hereditary angioedema (HAE) and other bradykinin-B2-receptor-mediated indications, today reported financial results for the second quarter ended June 30, 2021, and provided an update on recent business highlights.</w:t>
      </w:r>
    </w:p>
    <w:p>
      <w:pPr>
        <w:spacing w:after="0" w:line="203" w:lineRule="exact"/>
        <w:rPr>
          <w:sz w:val="20"/>
          <w:szCs w:val="20"/>
          <w:color w:val="auto"/>
        </w:rPr>
      </w:pPr>
    </w:p>
    <w:p>
      <w:pPr>
        <w:spacing w:after="0" w:line="269" w:lineRule="auto"/>
        <w:rPr>
          <w:sz w:val="20"/>
          <w:szCs w:val="20"/>
          <w:color w:val="auto"/>
        </w:rPr>
      </w:pPr>
      <w:r>
        <w:rPr>
          <w:rFonts w:ascii="Arial" w:cs="Arial" w:eastAsia="Arial" w:hAnsi="Arial"/>
          <w:sz w:val="18"/>
          <w:szCs w:val="18"/>
          <w:color w:val="auto"/>
        </w:rPr>
        <w:t>“We made significant clinical advancements this quarter as we seek to offer novel treatments to HAE patients that are both convenient and efficacious. The data presented recently at two medical meetings continue to demonstrate the compelling PK/PD and safety profiles of PHA121, which is the active ingredient in PHVS416 and PHVS719. Regarding RAPIDe-1, our Phase 2 on-demand study of PHVS416, we are encouraged by positive feedback from clinical sites and look forward to expanding this study to provide the opportunity for US patients to participate. We also expect to initiate our prophylactic study this year and report topline data for both patient studies in 2022,” said Berndt Modig, co-founder and chief executive officer of Pharvaris. “We are very happy to have our newly appointed chief community engagement</w:t>
      </w:r>
    </w:p>
    <w:p>
      <w:pPr>
        <w:spacing w:after="0" w:line="1" w:lineRule="exact"/>
        <w:rPr>
          <w:sz w:val="20"/>
          <w:szCs w:val="20"/>
          <w:color w:val="auto"/>
        </w:rPr>
      </w:pPr>
    </w:p>
    <w:p>
      <w:pPr>
        <w:ind w:right="280" w:firstLine="8"/>
        <w:spacing w:after="0" w:line="244" w:lineRule="auto"/>
        <w:tabs>
          <w:tab w:leader="none" w:pos="203" w:val="left"/>
        </w:tabs>
        <w:numPr>
          <w:ilvl w:val="0"/>
          <w:numId w:val="2"/>
        </w:numPr>
        <w:rPr>
          <w:rFonts w:ascii="Arial" w:cs="Arial" w:eastAsia="Arial" w:hAnsi="Arial"/>
          <w:sz w:val="20"/>
          <w:szCs w:val="20"/>
          <w:color w:val="auto"/>
        </w:rPr>
      </w:pPr>
      <w:r>
        <w:rPr>
          <w:rFonts w:ascii="Arial" w:cs="Arial" w:eastAsia="Arial" w:hAnsi="Arial"/>
          <w:sz w:val="20"/>
          <w:szCs w:val="20"/>
          <w:color w:val="auto"/>
        </w:rPr>
        <w:t>commercial officer, Wim Souverijns, on board. He has immediately started laying the foundations of our global commercial and market access strategy and engaging broadly with stakeholders.”</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Recent Pipeline and Business Highlights and Upcoming Milestones</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Pipeline</w:t>
      </w:r>
    </w:p>
    <w:p>
      <w:pPr>
        <w:spacing w:after="0" w:line="16" w:lineRule="exact"/>
        <w:rPr>
          <w:sz w:val="20"/>
          <w:szCs w:val="20"/>
          <w:color w:val="auto"/>
        </w:rPr>
      </w:pPr>
    </w:p>
    <w:p>
      <w:pPr>
        <w:ind w:left="880" w:right="20" w:hanging="440"/>
        <w:spacing w:after="0" w:line="241" w:lineRule="auto"/>
        <w:tabs>
          <w:tab w:leader="none" w:pos="880" w:val="left"/>
        </w:tabs>
        <w:numPr>
          <w:ilvl w:val="0"/>
          <w:numId w:val="3"/>
        </w:numPr>
        <w:rPr>
          <w:rFonts w:ascii="Arial" w:cs="Arial" w:eastAsia="Arial" w:hAnsi="Arial"/>
          <w:sz w:val="20"/>
          <w:szCs w:val="20"/>
          <w:color w:val="auto"/>
        </w:rPr>
      </w:pPr>
      <w:r>
        <w:rPr>
          <w:rFonts w:ascii="Arial" w:cs="Arial" w:eastAsia="Arial" w:hAnsi="Arial"/>
          <w:sz w:val="20"/>
          <w:szCs w:val="20"/>
          <w:b w:val="1"/>
          <w:bCs w:val="1"/>
          <w:color w:val="auto"/>
        </w:rPr>
        <w:t xml:space="preserve">Phase 2 on-demand study (RAPIDe-1) of PHVS416 proceeding toward data readout in 2022. </w:t>
      </w:r>
      <w:r>
        <w:rPr>
          <w:rFonts w:ascii="Arial" w:cs="Arial" w:eastAsia="Arial" w:hAnsi="Arial"/>
          <w:sz w:val="20"/>
          <w:szCs w:val="20"/>
          <w:color w:val="auto"/>
        </w:rPr>
        <w:t>In February 2021, Pharvaris</w:t>
      </w:r>
      <w:r>
        <w:rPr>
          <w:rFonts w:ascii="Arial" w:cs="Arial" w:eastAsia="Arial" w:hAnsi="Arial"/>
          <w:sz w:val="20"/>
          <w:szCs w:val="20"/>
          <w:b w:val="1"/>
          <w:bCs w:val="1"/>
          <w:color w:val="auto"/>
        </w:rPr>
        <w:t xml:space="preserve"> </w:t>
      </w:r>
      <w:r>
        <w:rPr>
          <w:rFonts w:ascii="Arial" w:cs="Arial" w:eastAsia="Arial" w:hAnsi="Arial"/>
          <w:sz w:val="20"/>
          <w:szCs w:val="20"/>
          <w:color w:val="auto"/>
        </w:rPr>
        <w:t>announced that enrollment had commenced in its Phase 2 clinical study of PHVS416 for the on-demand treatment of HAE attacks. An IND for the on-demand RAPIDe-1 study is in effect, expanding enrollment into the United States. Data from this trial is expected to be reported in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335915</wp:posOffset>
            </wp:positionV>
            <wp:extent cx="71748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 w:name="page6"/>
    <w:bookmarkEnd w:id="5"/>
    <w:p>
      <w:pPr>
        <w:ind w:left="880" w:hanging="440"/>
        <w:spacing w:after="0" w:line="245" w:lineRule="auto"/>
        <w:tabs>
          <w:tab w:leader="none" w:pos="880" w:val="left"/>
        </w:tabs>
        <w:numPr>
          <w:ilvl w:val="0"/>
          <w:numId w:val="4"/>
        </w:numPr>
        <w:rPr>
          <w:rFonts w:ascii="Arial" w:cs="Arial" w:eastAsia="Arial" w:hAnsi="Arial"/>
          <w:sz w:val="20"/>
          <w:szCs w:val="20"/>
          <w:color w:val="auto"/>
        </w:rPr>
      </w:pPr>
      <w:r>
        <w:rPr>
          <w:rFonts w:ascii="Arial" w:cs="Arial" w:eastAsia="Arial" w:hAnsi="Arial"/>
          <w:sz w:val="20"/>
          <w:szCs w:val="20"/>
          <w:b w:val="1"/>
          <w:bCs w:val="1"/>
          <w:color w:val="auto"/>
        </w:rPr>
        <w:t xml:space="preserve">Phase 2 prophylactic study (HAE CHAPTER-1) of PHVS416 to begin in 2021. </w:t>
      </w:r>
      <w:r>
        <w:rPr>
          <w:rFonts w:ascii="Arial" w:cs="Arial" w:eastAsia="Arial" w:hAnsi="Arial"/>
          <w:sz w:val="20"/>
          <w:szCs w:val="20"/>
          <w:color w:val="auto"/>
        </w:rPr>
        <w:t>In addition to developing PHVS416 for the on-demand treatment of HAE attacks, the company plans to investigate the therapeutic potential of PHVS416 for the prophylactic prevention of HAE attacks. In April 2021, Pharvaris announced that an IND was in effect in the US and expects to initiate the study in 2021.</w:t>
      </w:r>
    </w:p>
    <w:p>
      <w:pPr>
        <w:ind w:left="880" w:hanging="440"/>
        <w:spacing w:after="0" w:line="239" w:lineRule="auto"/>
        <w:tabs>
          <w:tab w:leader="none" w:pos="880" w:val="left"/>
        </w:tabs>
        <w:numPr>
          <w:ilvl w:val="0"/>
          <w:numId w:val="4"/>
        </w:numPr>
        <w:rPr>
          <w:rFonts w:ascii="Arial" w:cs="Arial" w:eastAsia="Arial" w:hAnsi="Arial"/>
          <w:sz w:val="20"/>
          <w:szCs w:val="20"/>
          <w:color w:val="auto"/>
        </w:rPr>
      </w:pPr>
      <w:r>
        <w:rPr>
          <w:rFonts w:ascii="Arial" w:cs="Arial" w:eastAsia="Arial" w:hAnsi="Arial"/>
          <w:sz w:val="20"/>
          <w:szCs w:val="20"/>
          <w:b w:val="1"/>
          <w:bCs w:val="1"/>
          <w:color w:val="auto"/>
        </w:rPr>
        <w:t xml:space="preserve">Phase 1 pharmacokinetics study of PHVS719 to begin by the end of 2021. </w:t>
      </w:r>
      <w:r>
        <w:rPr>
          <w:rFonts w:ascii="Arial" w:cs="Arial" w:eastAsia="Arial" w:hAnsi="Arial"/>
          <w:sz w:val="20"/>
          <w:szCs w:val="20"/>
          <w:color w:val="auto"/>
        </w:rPr>
        <w:t>PHVS719 is an extended-release formulation of</w:t>
      </w:r>
      <w:r>
        <w:rPr>
          <w:rFonts w:ascii="Arial" w:cs="Arial" w:eastAsia="Arial" w:hAnsi="Arial"/>
          <w:sz w:val="20"/>
          <w:szCs w:val="20"/>
          <w:b w:val="1"/>
          <w:bCs w:val="1"/>
          <w:color w:val="auto"/>
        </w:rPr>
        <w:t xml:space="preserve"> </w:t>
      </w:r>
      <w:r>
        <w:rPr>
          <w:rFonts w:ascii="Arial" w:cs="Arial" w:eastAsia="Arial" w:hAnsi="Arial"/>
          <w:sz w:val="20"/>
          <w:szCs w:val="20"/>
          <w:color w:val="auto"/>
        </w:rPr>
        <w:t>PHA121 intended for use in the prophylactic treatment of HAE. The company expects to initiate a Phase 1 pharmacokinetics study by the end of 2021.</w:t>
      </w:r>
    </w:p>
    <w:p>
      <w:pPr>
        <w:spacing w:after="0" w:line="1" w:lineRule="exact"/>
        <w:rPr>
          <w:rFonts w:ascii="Arial" w:cs="Arial" w:eastAsia="Arial" w:hAnsi="Arial"/>
          <w:sz w:val="20"/>
          <w:szCs w:val="20"/>
          <w:color w:val="auto"/>
        </w:rPr>
      </w:pPr>
    </w:p>
    <w:p>
      <w:pPr>
        <w:ind w:left="880" w:right="100" w:hanging="440"/>
        <w:spacing w:after="0"/>
        <w:tabs>
          <w:tab w:leader="none" w:pos="880" w:val="left"/>
        </w:tabs>
        <w:numPr>
          <w:ilvl w:val="0"/>
          <w:numId w:val="4"/>
        </w:numPr>
        <w:rPr>
          <w:rFonts w:ascii="Arial" w:cs="Arial" w:eastAsia="Arial" w:hAnsi="Arial"/>
          <w:sz w:val="20"/>
          <w:szCs w:val="20"/>
          <w:color w:val="auto"/>
        </w:rPr>
      </w:pPr>
      <w:r>
        <w:rPr>
          <w:rFonts w:ascii="Arial" w:cs="Arial" w:eastAsia="Arial" w:hAnsi="Arial"/>
          <w:sz w:val="20"/>
          <w:szCs w:val="20"/>
          <w:b w:val="1"/>
          <w:bCs w:val="1"/>
          <w:color w:val="auto"/>
        </w:rPr>
        <w:t xml:space="preserve">Presentations of clinical data of PHA121 at medical meetings. </w:t>
      </w:r>
      <w:r>
        <w:rPr>
          <w:rFonts w:ascii="Arial" w:cs="Arial" w:eastAsia="Arial" w:hAnsi="Arial"/>
          <w:sz w:val="20"/>
          <w:szCs w:val="20"/>
          <w:color w:val="auto"/>
        </w:rPr>
        <w:t>Data detailing PHA121’s pharmacokinetic (PK),</w:t>
      </w:r>
      <w:r>
        <w:rPr>
          <w:rFonts w:ascii="Arial" w:cs="Arial" w:eastAsia="Arial" w:hAnsi="Arial"/>
          <w:sz w:val="20"/>
          <w:szCs w:val="20"/>
          <w:b w:val="1"/>
          <w:bCs w:val="1"/>
          <w:color w:val="auto"/>
        </w:rPr>
        <w:t xml:space="preserve"> </w:t>
      </w:r>
      <w:r>
        <w:rPr>
          <w:rFonts w:ascii="Arial" w:cs="Arial" w:eastAsia="Arial" w:hAnsi="Arial"/>
          <w:sz w:val="20"/>
          <w:szCs w:val="20"/>
          <w:color w:val="auto"/>
        </w:rPr>
        <w:t>pharmacodynamic (PD), and safety profiles were presented at the 12th C1 Inhibitor Deficiency and Angioedema Workshop in June 2021 and at the European Academy of Allergy and Clinical Immunology (EAACI) Annual Congress in July 2021. PHA121, the active ingredient in PHVS416 and PHVS719, was well-tolerated and showed a favorable PK profile up to the highest dose tested.</w:t>
      </w:r>
    </w:p>
    <w:p>
      <w:pPr>
        <w:spacing w:after="0" w:line="22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Corporate</w:t>
      </w:r>
    </w:p>
    <w:p>
      <w:pPr>
        <w:spacing w:after="0" w:line="16" w:lineRule="exact"/>
        <w:rPr>
          <w:sz w:val="20"/>
          <w:szCs w:val="20"/>
          <w:color w:val="auto"/>
        </w:rPr>
      </w:pPr>
    </w:p>
    <w:p>
      <w:pPr>
        <w:ind w:left="880" w:right="40" w:hanging="440"/>
        <w:spacing w:after="0" w:line="241" w:lineRule="auto"/>
        <w:tabs>
          <w:tab w:leader="none" w:pos="880" w:val="left"/>
        </w:tabs>
        <w:numPr>
          <w:ilvl w:val="0"/>
          <w:numId w:val="5"/>
        </w:numPr>
        <w:rPr>
          <w:rFonts w:ascii="Arial" w:cs="Arial" w:eastAsia="Arial" w:hAnsi="Arial"/>
          <w:sz w:val="20"/>
          <w:szCs w:val="20"/>
          <w:color w:val="auto"/>
        </w:rPr>
      </w:pPr>
      <w:r>
        <w:rPr>
          <w:rFonts w:ascii="Arial" w:cs="Arial" w:eastAsia="Arial" w:hAnsi="Arial"/>
          <w:sz w:val="20"/>
          <w:szCs w:val="20"/>
          <w:b w:val="1"/>
          <w:bCs w:val="1"/>
          <w:color w:val="auto"/>
        </w:rPr>
        <w:t xml:space="preserve">Held Annual Meeting of Shareholders and appointed Viviane Monges to Board of Directors. </w:t>
      </w:r>
      <w:r>
        <w:rPr>
          <w:rFonts w:ascii="Arial" w:cs="Arial" w:eastAsia="Arial" w:hAnsi="Arial"/>
          <w:sz w:val="20"/>
          <w:szCs w:val="20"/>
          <w:color w:val="auto"/>
        </w:rPr>
        <w:t>On June 29, 2021, the company</w:t>
      </w:r>
      <w:r>
        <w:rPr>
          <w:rFonts w:ascii="Arial" w:cs="Arial" w:eastAsia="Arial" w:hAnsi="Arial"/>
          <w:sz w:val="20"/>
          <w:szCs w:val="20"/>
          <w:b w:val="1"/>
          <w:bCs w:val="1"/>
          <w:color w:val="auto"/>
        </w:rPr>
        <w:t xml:space="preserve"> </w:t>
      </w:r>
      <w:r>
        <w:rPr>
          <w:rFonts w:ascii="Arial" w:cs="Arial" w:eastAsia="Arial" w:hAnsi="Arial"/>
          <w:sz w:val="20"/>
          <w:szCs w:val="20"/>
          <w:color w:val="auto"/>
        </w:rPr>
        <w:t>held an Annual Meeting of Shareholders at which all the proposals were approved. On June 29, 2021, the Company’s general meeting of shareholders appointed Ms. Viviane Monges as Non-Executive Director. On June 30, 2021, the Board of Directors elected Ms. Monges as chair of the Audit Committee.</w:t>
      </w:r>
    </w:p>
    <w:p>
      <w:pPr>
        <w:spacing w:after="0" w:line="201" w:lineRule="exact"/>
        <w:rPr>
          <w:rFonts w:ascii="Arial" w:cs="Arial" w:eastAsia="Arial" w:hAnsi="Arial"/>
          <w:sz w:val="20"/>
          <w:szCs w:val="20"/>
          <w:color w:val="auto"/>
        </w:rPr>
      </w:pPr>
    </w:p>
    <w:p>
      <w:pPr>
        <w:ind w:left="880" w:right="200" w:hanging="440"/>
        <w:spacing w:after="0" w:line="248" w:lineRule="auto"/>
        <w:tabs>
          <w:tab w:leader="none" w:pos="880" w:val="left"/>
        </w:tabs>
        <w:numPr>
          <w:ilvl w:val="0"/>
          <w:numId w:val="5"/>
        </w:numPr>
        <w:rPr>
          <w:rFonts w:ascii="Arial" w:cs="Arial" w:eastAsia="Arial" w:hAnsi="Arial"/>
          <w:sz w:val="20"/>
          <w:szCs w:val="20"/>
          <w:color w:val="auto"/>
        </w:rPr>
      </w:pPr>
      <w:r>
        <w:rPr>
          <w:rFonts w:ascii="Arial" w:cs="Arial" w:eastAsia="Arial" w:hAnsi="Arial"/>
          <w:sz w:val="20"/>
          <w:szCs w:val="20"/>
          <w:b w:val="1"/>
          <w:bCs w:val="1"/>
          <w:color w:val="auto"/>
        </w:rPr>
        <w:t xml:space="preserve">Establishment of Community Engagement and Commercial Function with appointment of Wim Souverijns to leadership team. </w:t>
      </w:r>
      <w:r>
        <w:rPr>
          <w:rFonts w:ascii="Arial" w:cs="Arial" w:eastAsia="Arial" w:hAnsi="Arial"/>
          <w:sz w:val="20"/>
          <w:szCs w:val="20"/>
          <w:color w:val="auto"/>
        </w:rPr>
        <w:t>Effective July 1, 2021, Wim Souverijns, Ph.D., joined Pharvaris’ executive team. In this newly created role, Wim is</w:t>
      </w:r>
      <w:r>
        <w:rPr>
          <w:rFonts w:ascii="Arial" w:cs="Arial" w:eastAsia="Arial" w:hAnsi="Arial"/>
          <w:sz w:val="20"/>
          <w:szCs w:val="20"/>
          <w:b w:val="1"/>
          <w:bCs w:val="1"/>
          <w:color w:val="auto"/>
        </w:rPr>
        <w:t xml:space="preserve"> </w:t>
      </w:r>
      <w:r>
        <w:rPr>
          <w:rFonts w:ascii="Arial" w:cs="Arial" w:eastAsia="Arial" w:hAnsi="Arial"/>
          <w:sz w:val="20"/>
          <w:szCs w:val="20"/>
          <w:color w:val="auto"/>
        </w:rPr>
        <w:t>responsible for engagement of key stakeholders across HAE as the company sets its regulatory, commercial, and market-access strategies.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Second Quarter 2021 Financial Results</w:t>
      </w:r>
    </w:p>
    <w:p>
      <w:pPr>
        <w:spacing w:after="0" w:line="22" w:lineRule="exact"/>
        <w:rPr>
          <w:sz w:val="20"/>
          <w:szCs w:val="20"/>
          <w:color w:val="auto"/>
        </w:rPr>
      </w:pPr>
    </w:p>
    <w:p>
      <w:pPr>
        <w:ind w:left="880" w:right="580" w:hanging="440"/>
        <w:spacing w:after="0" w:line="239" w:lineRule="auto"/>
        <w:tabs>
          <w:tab w:leader="none" w:pos="880" w:val="left"/>
        </w:tabs>
        <w:numPr>
          <w:ilvl w:val="0"/>
          <w:numId w:val="6"/>
        </w:numPr>
        <w:rPr>
          <w:rFonts w:ascii="Arial" w:cs="Arial" w:eastAsia="Arial" w:hAnsi="Arial"/>
          <w:sz w:val="20"/>
          <w:szCs w:val="20"/>
          <w:color w:val="auto"/>
        </w:rPr>
      </w:pPr>
      <w:r>
        <w:rPr>
          <w:rFonts w:ascii="Arial" w:cs="Arial" w:eastAsia="Arial" w:hAnsi="Arial"/>
          <w:sz w:val="20"/>
          <w:szCs w:val="20"/>
          <w:b w:val="1"/>
          <w:bCs w:val="1"/>
          <w:color w:val="auto"/>
        </w:rPr>
        <w:t xml:space="preserve">Liquidity Position. </w:t>
      </w:r>
      <w:r>
        <w:rPr>
          <w:rFonts w:ascii="Arial" w:cs="Arial" w:eastAsia="Arial" w:hAnsi="Arial"/>
          <w:sz w:val="20"/>
          <w:szCs w:val="20"/>
          <w:color w:val="auto"/>
        </w:rPr>
        <w:t>Cash and cash equivalents were €224.3 million for the quarter ended June 30, 2021, compared to €98.6</w:t>
      </w:r>
      <w:r>
        <w:rPr>
          <w:rFonts w:ascii="Arial" w:cs="Arial" w:eastAsia="Arial" w:hAnsi="Arial"/>
          <w:sz w:val="20"/>
          <w:szCs w:val="20"/>
          <w:b w:val="1"/>
          <w:bCs w:val="1"/>
          <w:color w:val="auto"/>
        </w:rPr>
        <w:t xml:space="preserve"> </w:t>
      </w:r>
      <w:r>
        <w:rPr>
          <w:rFonts w:ascii="Arial" w:cs="Arial" w:eastAsia="Arial" w:hAnsi="Arial"/>
          <w:sz w:val="20"/>
          <w:szCs w:val="20"/>
          <w:color w:val="auto"/>
        </w:rPr>
        <w:t>million for the year ended December 31, 2020.</w:t>
      </w:r>
    </w:p>
    <w:p>
      <w:pPr>
        <w:ind w:left="880" w:right="120" w:hanging="440"/>
        <w:spacing w:after="0" w:line="244" w:lineRule="auto"/>
        <w:tabs>
          <w:tab w:leader="none" w:pos="880" w:val="left"/>
        </w:tabs>
        <w:numPr>
          <w:ilvl w:val="0"/>
          <w:numId w:val="6"/>
        </w:numPr>
        <w:rPr>
          <w:rFonts w:ascii="Arial" w:cs="Arial" w:eastAsia="Arial" w:hAnsi="Arial"/>
          <w:sz w:val="20"/>
          <w:szCs w:val="20"/>
          <w:color w:val="auto"/>
        </w:rPr>
      </w:pPr>
      <w:r>
        <w:rPr>
          <w:rFonts w:ascii="Arial" w:cs="Arial" w:eastAsia="Arial" w:hAnsi="Arial"/>
          <w:sz w:val="20"/>
          <w:szCs w:val="20"/>
          <w:b w:val="1"/>
          <w:bCs w:val="1"/>
          <w:color w:val="auto"/>
        </w:rPr>
        <w:t xml:space="preserve">Research and Development (R&amp;D) Expenses. </w:t>
      </w:r>
      <w:r>
        <w:rPr>
          <w:rFonts w:ascii="Arial" w:cs="Arial" w:eastAsia="Arial" w:hAnsi="Arial"/>
          <w:sz w:val="20"/>
          <w:szCs w:val="20"/>
          <w:color w:val="auto"/>
        </w:rPr>
        <w:t>R&amp;D expenses were €8.1 million for the quarter ended June 30, 2021, compared</w:t>
      </w:r>
      <w:r>
        <w:rPr>
          <w:rFonts w:ascii="Arial" w:cs="Arial" w:eastAsia="Arial" w:hAnsi="Arial"/>
          <w:sz w:val="20"/>
          <w:szCs w:val="20"/>
          <w:b w:val="1"/>
          <w:bCs w:val="1"/>
          <w:color w:val="auto"/>
        </w:rPr>
        <w:t xml:space="preserve"> </w:t>
      </w:r>
      <w:r>
        <w:rPr>
          <w:rFonts w:ascii="Arial" w:cs="Arial" w:eastAsia="Arial" w:hAnsi="Arial"/>
          <w:sz w:val="20"/>
          <w:szCs w:val="20"/>
          <w:color w:val="auto"/>
        </w:rPr>
        <w:t>to €4.3 million for the quarter ended June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334010</wp:posOffset>
            </wp:positionV>
            <wp:extent cx="71748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6" w:name="page7"/>
    <w:bookmarkEnd w:id="6"/>
    <w:p>
      <w:pPr>
        <w:ind w:left="880" w:right="40" w:hanging="440"/>
        <w:spacing w:after="0" w:line="250" w:lineRule="auto"/>
        <w:tabs>
          <w:tab w:leader="none" w:pos="880" w:val="left"/>
        </w:tabs>
        <w:numPr>
          <w:ilvl w:val="0"/>
          <w:numId w:val="7"/>
        </w:numPr>
        <w:rPr>
          <w:rFonts w:ascii="Arial" w:cs="Arial" w:eastAsia="Arial" w:hAnsi="Arial"/>
          <w:sz w:val="20"/>
          <w:szCs w:val="20"/>
          <w:color w:val="auto"/>
        </w:rPr>
      </w:pPr>
      <w:r>
        <w:rPr>
          <w:rFonts w:ascii="Arial" w:cs="Arial" w:eastAsia="Arial" w:hAnsi="Arial"/>
          <w:sz w:val="20"/>
          <w:szCs w:val="20"/>
          <w:b w:val="1"/>
          <w:bCs w:val="1"/>
          <w:color w:val="auto"/>
        </w:rPr>
        <w:t>General and Administrative (G&amp;A) Expenses</w:t>
      </w:r>
      <w:r>
        <w:rPr>
          <w:rFonts w:ascii="Arial" w:cs="Arial" w:eastAsia="Arial" w:hAnsi="Arial"/>
          <w:sz w:val="20"/>
          <w:szCs w:val="20"/>
          <w:color w:val="auto"/>
        </w:rPr>
        <w:t>. G&amp;A expenses were €4.7 million for the quarter ended June 30, 2021, compared</w:t>
      </w:r>
      <w:r>
        <w:rPr>
          <w:rFonts w:ascii="Arial" w:cs="Arial" w:eastAsia="Arial" w:hAnsi="Arial"/>
          <w:sz w:val="20"/>
          <w:szCs w:val="20"/>
          <w:b w:val="1"/>
          <w:bCs w:val="1"/>
          <w:color w:val="auto"/>
        </w:rPr>
        <w:t xml:space="preserve"> </w:t>
      </w:r>
      <w:r>
        <w:rPr>
          <w:rFonts w:ascii="Arial" w:cs="Arial" w:eastAsia="Arial" w:hAnsi="Arial"/>
          <w:sz w:val="20"/>
          <w:szCs w:val="20"/>
          <w:color w:val="auto"/>
        </w:rPr>
        <w:t>to €1.4 million for the quarter ended June 30, 2020.</w:t>
      </w:r>
    </w:p>
    <w:p>
      <w:pPr>
        <w:spacing w:after="0" w:line="1" w:lineRule="exact"/>
        <w:rPr>
          <w:rFonts w:ascii="Arial" w:cs="Arial" w:eastAsia="Arial" w:hAnsi="Arial"/>
          <w:sz w:val="20"/>
          <w:szCs w:val="20"/>
          <w:color w:val="auto"/>
        </w:rPr>
      </w:pPr>
    </w:p>
    <w:p>
      <w:pPr>
        <w:ind w:left="880" w:right="140" w:hanging="440"/>
        <w:spacing w:after="0" w:line="241" w:lineRule="auto"/>
        <w:tabs>
          <w:tab w:leader="none" w:pos="880" w:val="left"/>
        </w:tabs>
        <w:numPr>
          <w:ilvl w:val="0"/>
          <w:numId w:val="7"/>
        </w:numPr>
        <w:rPr>
          <w:rFonts w:ascii="Arial" w:cs="Arial" w:eastAsia="Arial" w:hAnsi="Arial"/>
          <w:sz w:val="20"/>
          <w:szCs w:val="20"/>
          <w:color w:val="auto"/>
        </w:rPr>
      </w:pPr>
      <w:r>
        <w:rPr>
          <w:rFonts w:ascii="Arial" w:cs="Arial" w:eastAsia="Arial" w:hAnsi="Arial"/>
          <w:sz w:val="20"/>
          <w:szCs w:val="20"/>
          <w:b w:val="1"/>
          <w:bCs w:val="1"/>
          <w:color w:val="auto"/>
        </w:rPr>
        <w:t xml:space="preserve">Loss for the period. </w:t>
      </w:r>
      <w:r>
        <w:rPr>
          <w:rFonts w:ascii="Arial" w:cs="Arial" w:eastAsia="Arial" w:hAnsi="Arial"/>
          <w:sz w:val="20"/>
          <w:szCs w:val="20"/>
          <w:color w:val="auto"/>
        </w:rPr>
        <w:t>Loss for the quarter ended June 30, 2021 was €15.2 million, or basic and diluted loss per share of €0.94, for</w:t>
      </w:r>
      <w:r>
        <w:rPr>
          <w:rFonts w:ascii="Arial" w:cs="Arial" w:eastAsia="Arial" w:hAnsi="Arial"/>
          <w:sz w:val="20"/>
          <w:szCs w:val="20"/>
          <w:b w:val="1"/>
          <w:bCs w:val="1"/>
          <w:color w:val="auto"/>
        </w:rPr>
        <w:t xml:space="preserve"> </w:t>
      </w:r>
      <w:r>
        <w:rPr>
          <w:rFonts w:ascii="Arial" w:cs="Arial" w:eastAsia="Arial" w:hAnsi="Arial"/>
          <w:sz w:val="20"/>
          <w:szCs w:val="20"/>
          <w:color w:val="auto"/>
        </w:rPr>
        <w:t>the quarter ended June 30, 2021, compared to loss for the quarter ended June 30, 2020 of €5.7 million, or basic and diluted loss per share of €1.19 for the quarter ended June 30, 2020.</w:t>
      </w: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on International Financial Reporting Standards (IFRS)</w:t>
      </w:r>
    </w:p>
    <w:p>
      <w:pPr>
        <w:spacing w:after="0" w:line="22" w:lineRule="exact"/>
        <w:rPr>
          <w:sz w:val="20"/>
          <w:szCs w:val="20"/>
          <w:color w:val="auto"/>
        </w:rPr>
      </w:pPr>
    </w:p>
    <w:p>
      <w:pPr>
        <w:ind w:right="100"/>
        <w:spacing w:after="0" w:line="297" w:lineRule="auto"/>
        <w:rPr>
          <w:sz w:val="20"/>
          <w:szCs w:val="20"/>
          <w:color w:val="auto"/>
        </w:rPr>
      </w:pPr>
      <w:r>
        <w:rPr>
          <w:rFonts w:ascii="Arial" w:cs="Arial" w:eastAsia="Arial" w:hAnsi="Arial"/>
          <w:sz w:val="18"/>
          <w:szCs w:val="18"/>
          <w:color w:val="auto"/>
        </w:rPr>
        <w:t>Pharvaris is a Foreign Private Issuer and prepares and reports consolidated financial statements and financial information in accordance with IFRS as issued by the International Accounting Standards Board. Pharvaris maintains its books and records in the Euro currency.</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PHVS416</w:t>
      </w:r>
    </w:p>
    <w:p>
      <w:pPr>
        <w:spacing w:after="0" w:line="22" w:lineRule="exact"/>
        <w:rPr>
          <w:sz w:val="20"/>
          <w:szCs w:val="20"/>
          <w:color w:val="auto"/>
        </w:rPr>
      </w:pPr>
    </w:p>
    <w:p>
      <w:pPr>
        <w:spacing w:after="0" w:line="260" w:lineRule="auto"/>
        <w:rPr>
          <w:sz w:val="20"/>
          <w:szCs w:val="20"/>
          <w:color w:val="auto"/>
        </w:rPr>
      </w:pPr>
      <w:r>
        <w:rPr>
          <w:rFonts w:ascii="Arial" w:cs="Arial" w:eastAsia="Arial" w:hAnsi="Arial"/>
          <w:sz w:val="19"/>
          <w:szCs w:val="19"/>
          <w:color w:val="auto"/>
        </w:rPr>
        <w:t>PHVS416 is a softgel capsule formulation containing PHA121, a highly potent, specific, and orally bioavailable competitive antagonist of the bradykinin B2 receptor. Pharvaris is developing this formulation to provide rapid exposure of attack-mitigating medicine in a convenient, small oral dosage form. PHVS416 is currently in Phase 2 clinical development for the on-demand treatment of HAE.</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PHVS719</w:t>
      </w:r>
    </w:p>
    <w:p>
      <w:pPr>
        <w:spacing w:after="0" w:line="22" w:lineRule="exact"/>
        <w:rPr>
          <w:sz w:val="20"/>
          <w:szCs w:val="20"/>
          <w:color w:val="auto"/>
        </w:rPr>
      </w:pPr>
    </w:p>
    <w:p>
      <w:pPr>
        <w:ind w:right="200"/>
        <w:spacing w:after="0" w:line="281" w:lineRule="auto"/>
        <w:rPr>
          <w:sz w:val="20"/>
          <w:szCs w:val="20"/>
          <w:color w:val="auto"/>
        </w:rPr>
      </w:pPr>
      <w:r>
        <w:rPr>
          <w:rFonts w:ascii="Arial" w:cs="Arial" w:eastAsia="Arial" w:hAnsi="Arial"/>
          <w:sz w:val="18"/>
          <w:szCs w:val="18"/>
          <w:color w:val="auto"/>
        </w:rPr>
        <w:t>PHVS719 is an extended-release tablet formulation containing PHA121, a highly potent, specific, and orally bioavailable competitive antagonist of the bradykinin B2 receptor. Pharvaris is developing this formulation to provide sustained exposure of attack-preventing medicine in a convenient, small oral dosage form. PHVS719 is currently in preclinical development for the prophylactic treatment of HAE.</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PHA121</w:t>
      </w:r>
    </w:p>
    <w:p>
      <w:pPr>
        <w:spacing w:after="0" w:line="22"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PHA121 (PHA-022121) is a highly potent, specific, and orally bioavailable competitive antagonist of the bradykinin B2 receptor that has completed Phase 1 clinical development for the treatment of HAE. PHA121 utilizes the same mechanism as icatibant, the leading therapy for on-demand treatment of HAE. Pharvaris is developing this novel small molecule for on-demand and prophylactic treatment of HAE and other bradykinin-mediated diseases through formulations optimized for each setting. Data from single- and multiple-ascending-dose Phase 1 studies in healthy volunteers demonstrate rapid exposure and linear pharmacokinetics at doses up to 50 mg. In a bradykinin-challenge study in healthy volunteers, PHA121 showed significant inhibition of bradykinin-induced hemodynamic changes with an average composite EC</w:t>
      </w:r>
      <w:r>
        <w:rPr>
          <w:rFonts w:ascii="Arial" w:cs="Arial" w:eastAsia="Arial" w:hAnsi="Arial"/>
          <w:sz w:val="14"/>
          <w:szCs w:val="14"/>
          <w:color w:val="auto"/>
        </w:rPr>
        <w:t>50</w:t>
      </w:r>
      <w:r>
        <w:rPr>
          <w:rFonts w:ascii="Arial" w:cs="Arial" w:eastAsia="Arial" w:hAnsi="Arial"/>
          <w:sz w:val="18"/>
          <w:szCs w:val="18"/>
          <w:color w:val="auto"/>
        </w:rPr>
        <w:t xml:space="preserve"> of 2.4 ng/mL and EC</w:t>
      </w:r>
      <w:r>
        <w:rPr>
          <w:rFonts w:ascii="Arial" w:cs="Arial" w:eastAsia="Arial" w:hAnsi="Arial"/>
          <w:sz w:val="14"/>
          <w:szCs w:val="14"/>
          <w:color w:val="auto"/>
        </w:rPr>
        <w:t>85</w:t>
      </w:r>
      <w:r>
        <w:rPr>
          <w:rFonts w:ascii="Arial" w:cs="Arial" w:eastAsia="Arial" w:hAnsi="Arial"/>
          <w:sz w:val="18"/>
          <w:szCs w:val="18"/>
          <w:color w:val="auto"/>
        </w:rPr>
        <w:t xml:space="preserve"> of 13.8 ng/mL, approximately four-fold more potent than historical data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320675</wp:posOffset>
            </wp:positionV>
            <wp:extent cx="71748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7" w:name="page8"/>
    <w:bookmarkEnd w:id="7"/>
    <w:p>
      <w:pPr>
        <w:ind w:right="240"/>
        <w:spacing w:after="0" w:line="316" w:lineRule="auto"/>
        <w:rPr>
          <w:sz w:val="20"/>
          <w:szCs w:val="20"/>
          <w:color w:val="auto"/>
        </w:rPr>
      </w:pPr>
      <w:r>
        <w:rPr>
          <w:rFonts w:ascii="Arial" w:cs="Arial" w:eastAsia="Arial" w:hAnsi="Arial"/>
          <w:sz w:val="18"/>
          <w:szCs w:val="18"/>
          <w:color w:val="auto"/>
        </w:rPr>
        <w:t>icatibant. Quantitative modeling indicates that single oral doses of PHA121 will maintain pharmacological effectiveness for a substantially longer time than 30 mg of subcutaneous icatibant. PHA121 has been observed to be well-tolerated at all doses studied to date.</w:t>
      </w:r>
    </w:p>
    <w:p>
      <w:pPr>
        <w:spacing w:after="0" w:line="15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Pharvaris</w:t>
      </w:r>
    </w:p>
    <w:p>
      <w:pPr>
        <w:spacing w:after="0" w:line="22" w:lineRule="exact"/>
        <w:rPr>
          <w:sz w:val="20"/>
          <w:szCs w:val="20"/>
          <w:color w:val="auto"/>
        </w:rPr>
      </w:pPr>
    </w:p>
    <w:p>
      <w:pPr>
        <w:ind w:right="100"/>
        <w:spacing w:after="0" w:line="276" w:lineRule="auto"/>
        <w:rPr>
          <w:sz w:val="20"/>
          <w:szCs w:val="20"/>
          <w:color w:val="auto"/>
        </w:rPr>
      </w:pPr>
      <w:r>
        <w:rPr>
          <w:rFonts w:ascii="Arial" w:cs="Arial" w:eastAsia="Arial" w:hAnsi="Arial"/>
          <w:sz w:val="18"/>
          <w:szCs w:val="18"/>
          <w:color w:val="auto"/>
        </w:rPr>
        <w:t xml:space="preserve">Pharvaris is a clinical-stage company focused on bringing oral bradykinin-B2-receptor antagonists to patients. By targeting this clinically proven therapeutic target with novel small molecules, the Pharvaris team is advancing new alternatives to injected therapies for all sub-types of HAE and other bradykinin-mediated diseases. The Company brings together executives with a breadth of expertise across pharmaceutical development and rare disorders, including HAE. For more information, visit </w:t>
      </w:r>
      <w:r>
        <w:rPr>
          <w:rFonts w:ascii="Arial" w:cs="Arial" w:eastAsia="Arial" w:hAnsi="Arial"/>
          <w:sz w:val="18"/>
          <w:szCs w:val="18"/>
          <w:u w:val="single" w:color="auto"/>
          <w:color w:val="auto"/>
        </w:rPr>
        <w:t>https://pharvaris.com/</w:t>
      </w:r>
      <w:r>
        <w:rPr>
          <w:rFonts w:ascii="Arial" w:cs="Arial" w:eastAsia="Arial" w:hAnsi="Arial"/>
          <w:sz w:val="18"/>
          <w:szCs w:val="18"/>
          <w:color w:val="auto"/>
        </w:rPr>
        <w:t>.</w:t>
      </w: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2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This press release contains certain forward-looking statements that involve substantial risks and uncertainties. All statements contained in this press release that do not relate to matters of historical fact should be considered forward-looking statements, including, without limitation, statements containing the words “believe,” “anticipate,” “expect,” “estimate,” “may,” “could,” “should,” “would,” “will,” “intend” and similar expressions. These forward-looking statements are based on management’s current expectations, are neither promises nor guarantees, and involve known and unknown risks, uncertainties and other important factors that may cause Pharvaris’ actual results, performance or achievements to be materially different from its expectations expressed or implied by the forward-looking statements. Such risks include but are not limited to the following: the expected timing, progress, or success of our clinical development programs, especially for PHVS416 and PHVS719, which are in early-stage clinical trials; risks associated with the COVID-19 pandemic, which may adversely impact our business, preclinical studies, and clinical trials; the timing of regulatory approvals; the value of our ordinary shares; the timing, costs and other limitations involved in obtaining regulatory approval for our product candidates PHVS416 and PHVS719, or any other product candidate that we may develop in the future; our ability to establish commercial capabilities or enter into agreements with third parties to market, sell, and distribute our product candidates; our ability to compete in the pharmaceutical industry and with competitive generic products; our ability to market, commercialize and achieve market acceptance for our product candidates; our ability to raise capital when needed and on acceptable terms; regulatory developments in the United States, the European Union and other jurisdictions; our ability to protect our intellectual property and know-how and operate our business without infringing the intellectual property rights or regulatory exclusivity of others; our ability to manage negative consequences from changes in applicable laws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322580</wp:posOffset>
            </wp:positionV>
            <wp:extent cx="71748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82" w:right="339" w:bottom="1440" w:gutter="0" w:footer="0" w:header="0"/>
        </w:sectPr>
      </w:pPr>
    </w:p>
    <w:bookmarkStart w:id="8" w:name="page9"/>
    <w:bookmarkEnd w:id="8"/>
    <w:p>
      <w:pPr>
        <w:spacing w:after="0" w:line="269" w:lineRule="auto"/>
        <w:rPr>
          <w:sz w:val="20"/>
          <w:szCs w:val="20"/>
          <w:color w:val="auto"/>
        </w:rPr>
      </w:pPr>
      <w:r>
        <w:rPr>
          <w:rFonts w:ascii="Arial" w:cs="Arial" w:eastAsia="Arial" w:hAnsi="Arial"/>
          <w:sz w:val="19"/>
          <w:szCs w:val="19"/>
          <w:color w:val="auto"/>
        </w:rPr>
        <w:t>regulations, including tax laws, our ability to successfully remediate the material weakness in our internal control over financial reporting and to maintain an effective system of internal control over financial reporting; and the other factors described under the heading “Risk Factors” in our Annual Report on Form 20-F and other periodic filings with the Securities and Exchange Commission.</w:t>
      </w:r>
    </w:p>
    <w:p>
      <w:pPr>
        <w:spacing w:after="0" w:line="197" w:lineRule="exact"/>
        <w:rPr>
          <w:sz w:val="20"/>
          <w:szCs w:val="20"/>
          <w:color w:val="auto"/>
        </w:rPr>
      </w:pPr>
    </w:p>
    <w:p>
      <w:pPr>
        <w:ind w:right="40"/>
        <w:spacing w:after="0" w:line="243" w:lineRule="auto"/>
        <w:rPr>
          <w:sz w:val="20"/>
          <w:szCs w:val="20"/>
          <w:color w:val="auto"/>
        </w:rPr>
      </w:pPr>
      <w:r>
        <w:rPr>
          <w:rFonts w:ascii="Arial" w:cs="Arial" w:eastAsia="Arial" w:hAnsi="Arial"/>
          <w:sz w:val="20"/>
          <w:szCs w:val="20"/>
          <w:color w:val="auto"/>
        </w:rPr>
        <w:t>These and other important factors could cause actual results to differ materially from those indicated by the forward-looking statements made in this press release. Any such forward-looking statements represent management’s estimates as of the date of this press release. New risks and uncertainties may emerge from time to time, and it is not possible to predict all risks and uncertainties. While Pharvaris may elect to update such forward-looking statements at some point in the future, Pharvaris disclaims any obligation to do so, even if subsequent events cause its views to change. These forward-looking statements should not be relied upon as representing Pharvaris’ views as of any date subsequent to the date of this press release.</w:t>
      </w: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Contact</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color w:val="auto"/>
        </w:rPr>
        <w:t>Sarah McCabe</w:t>
      </w:r>
    </w:p>
    <w:p>
      <w:pPr>
        <w:spacing w:after="0"/>
        <w:rPr>
          <w:sz w:val="20"/>
          <w:szCs w:val="20"/>
          <w:color w:val="auto"/>
        </w:rPr>
      </w:pPr>
      <w:r>
        <w:rPr>
          <w:rFonts w:ascii="Arial" w:cs="Arial" w:eastAsia="Arial" w:hAnsi="Arial"/>
          <w:sz w:val="20"/>
          <w:szCs w:val="20"/>
          <w:u w:val="single" w:color="auto"/>
          <w:color w:val="auto"/>
        </w:rPr>
        <w:t>sarah.mccabe@sternir.com</w:t>
      </w:r>
    </w:p>
    <w:p>
      <w:pPr>
        <w:spacing w:after="0"/>
        <w:rPr>
          <w:sz w:val="20"/>
          <w:szCs w:val="20"/>
          <w:color w:val="auto"/>
        </w:rPr>
      </w:pPr>
      <w:r>
        <w:rPr>
          <w:rFonts w:ascii="Arial" w:cs="Arial" w:eastAsia="Arial" w:hAnsi="Arial"/>
          <w:sz w:val="20"/>
          <w:szCs w:val="20"/>
          <w:color w:val="auto"/>
        </w:rPr>
        <w:t>+1-212-362-1200</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Media Contact</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color w:val="auto"/>
        </w:rPr>
        <w:t>Maggie Beller, Russo Partners, LLC</w:t>
      </w:r>
    </w:p>
    <w:p>
      <w:pPr>
        <w:spacing w:after="0"/>
        <w:rPr>
          <w:sz w:val="20"/>
          <w:szCs w:val="20"/>
          <w:color w:val="auto"/>
        </w:rPr>
      </w:pPr>
      <w:r>
        <w:rPr>
          <w:rFonts w:ascii="Arial" w:cs="Arial" w:eastAsia="Arial" w:hAnsi="Arial"/>
          <w:sz w:val="20"/>
          <w:szCs w:val="20"/>
          <w:u w:val="single" w:color="auto"/>
          <w:color w:val="auto"/>
        </w:rPr>
        <w:t>maggie.beller@russopartnersllc.com</w:t>
      </w:r>
    </w:p>
    <w:p>
      <w:pPr>
        <w:spacing w:after="0"/>
        <w:rPr>
          <w:sz w:val="20"/>
          <w:szCs w:val="20"/>
          <w:color w:val="auto"/>
        </w:rPr>
      </w:pPr>
      <w:r>
        <w:rPr>
          <w:rFonts w:ascii="Arial" w:cs="Arial" w:eastAsia="Arial" w:hAnsi="Arial"/>
          <w:sz w:val="20"/>
          <w:szCs w:val="20"/>
          <w:color w:val="auto"/>
        </w:rPr>
        <w:t>+1-646-942-5631</w:t>
      </w:r>
    </w:p>
    <w:p>
      <w:pPr>
        <w:sectPr>
          <w:pgSz w:w="11900" w:h="16838" w:orient="portrait"/>
          <w:cols w:equalWidth="0" w:num="1">
            <w:col w:w="11240"/>
          </w:cols>
          <w:pgMar w:left="320" w:top="582" w:right="33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b w:val="1"/>
          <w:bCs w:val="1"/>
          <w:color w:val="auto"/>
        </w:rPr>
        <w:t>Exhibit 99.2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Management’s Discussion and Analysis of Financial Condition and Results of Operations</w:t>
      </w:r>
    </w:p>
    <w:p>
      <w:pPr>
        <w:spacing w:after="0" w:line="170" w:lineRule="exact"/>
        <w:rPr>
          <w:sz w:val="20"/>
          <w:szCs w:val="20"/>
          <w:color w:val="auto"/>
        </w:rPr>
      </w:pPr>
    </w:p>
    <w:p>
      <w:pPr>
        <w:ind w:right="300" w:firstLine="432"/>
        <w:spacing w:after="0" w:line="254" w:lineRule="auto"/>
        <w:rPr>
          <w:sz w:val="20"/>
          <w:szCs w:val="20"/>
          <w:color w:val="auto"/>
        </w:rPr>
      </w:pPr>
      <w:r>
        <w:rPr>
          <w:rFonts w:ascii="Arial" w:cs="Arial" w:eastAsia="Arial" w:hAnsi="Arial"/>
          <w:sz w:val="18"/>
          <w:szCs w:val="18"/>
          <w:color w:val="auto"/>
        </w:rPr>
        <w:t>This management’s discussion and analysis is designed to provide you with a narrative explanation of our financial condition and results of operations. We recommend that you read this discussion together with our unaudited condensed consolidated interim financial statements, including the notes thereto, as of and for the three- and six-months ended June 30, 2021 and 2020 included as Exhibit 99.3 to the Report on Form 6-K to which this discussion is attached as Exhibit 99.2. We also recommend that you read “Item 4. Information on the Company” and our audited consolidated financial statements for fiscal year 2020, and the notes thereto, which appear in our Annual Report on Form 20-F for the year ended December 31, 2020 (the “Annual Report”) filed with the U.S. Securities and Exchange Commission (the “SEC”). In addition, we recommend that you read any public announcements made from time to time by Pharvaris N.V.</w:t>
      </w:r>
    </w:p>
    <w:p>
      <w:pPr>
        <w:spacing w:after="0" w:line="168"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The following discussion is based on our financial information prepared in accordance with the International Financial Reporting Standards (“IFRS”) as issued by the International Accounting Standards Board (the “IASB”), which may differ in material respects from generally accepted accounting principles in the United States and other jurisdictions. We maintain our books and records in euros. Unless otherwise indicated, all references to currency amounts in this discussion are in euros.</w:t>
      </w:r>
    </w:p>
    <w:p>
      <w:pPr>
        <w:spacing w:after="0" w:line="146" w:lineRule="exact"/>
        <w:rPr>
          <w:sz w:val="20"/>
          <w:szCs w:val="20"/>
          <w:color w:val="auto"/>
        </w:rPr>
      </w:pPr>
    </w:p>
    <w:p>
      <w:pPr>
        <w:ind w:right="160" w:firstLine="432"/>
        <w:spacing w:after="0" w:line="263" w:lineRule="auto"/>
        <w:rPr>
          <w:sz w:val="20"/>
          <w:szCs w:val="20"/>
          <w:color w:val="auto"/>
        </w:rPr>
      </w:pPr>
      <w:r>
        <w:rPr>
          <w:rFonts w:ascii="Arial" w:cs="Arial" w:eastAsia="Arial" w:hAnsi="Arial"/>
          <w:sz w:val="18"/>
          <w:szCs w:val="18"/>
          <w:color w:val="auto"/>
        </w:rPr>
        <w:t>The following discussion includes forward-looking statements that involve risks, uncertainties and assumptions. Our actual results may differ materially from those anticipated in these forward-looking statements as a result of many factors, including but not limited to those described under “Item 3. Key Information—D Risk factors” in the Annual Report.</w:t>
      </w:r>
    </w:p>
    <w:p>
      <w:pPr>
        <w:spacing w:after="0" w:line="143" w:lineRule="exact"/>
        <w:rPr>
          <w:sz w:val="20"/>
          <w:szCs w:val="20"/>
          <w:color w:val="auto"/>
        </w:rPr>
      </w:pPr>
    </w:p>
    <w:p>
      <w:pPr>
        <w:ind w:right="340" w:firstLine="432"/>
        <w:spacing w:after="0" w:line="277" w:lineRule="auto"/>
        <w:rPr>
          <w:sz w:val="20"/>
          <w:szCs w:val="20"/>
          <w:color w:val="auto"/>
        </w:rPr>
      </w:pPr>
      <w:r>
        <w:rPr>
          <w:rFonts w:ascii="Arial" w:cs="Arial" w:eastAsia="Arial" w:hAnsi="Arial"/>
          <w:sz w:val="18"/>
          <w:szCs w:val="18"/>
          <w:color w:val="auto"/>
        </w:rPr>
        <w:t>Unless otherwise indicated or the context otherwise requires, all references to “Pharvaris” or the “Company,” “we,” “our,” “ours,” “us” or similar terms refer to Pharvaris N.V. and its subsidiaries.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89" w:lineRule="exact"/>
        <w:rPr>
          <w:sz w:val="20"/>
          <w:szCs w:val="20"/>
          <w:color w:val="auto"/>
        </w:rPr>
      </w:pPr>
    </w:p>
    <w:p>
      <w:pPr>
        <w:ind w:right="40" w:firstLine="432"/>
        <w:spacing w:after="0" w:line="287" w:lineRule="auto"/>
        <w:rPr>
          <w:sz w:val="20"/>
          <w:szCs w:val="20"/>
          <w:color w:val="auto"/>
        </w:rPr>
      </w:pPr>
      <w:r>
        <w:rPr>
          <w:rFonts w:ascii="Arial" w:cs="Arial" w:eastAsia="Arial" w:hAnsi="Arial"/>
          <w:sz w:val="16"/>
          <w:szCs w:val="16"/>
          <w:color w:val="auto"/>
        </w:rPr>
        <w:t xml:space="preserve">We are a clinical-stage biopharmaceutical company focused on the development and commercialization of innovative therapies for rare diseases with significant unmet need, initially focused on angioedema and other bradykinin-mediated diseases. Our first molecule, PHA121, is a novel, small-molecule bradykinin B2-receptor antagonist for the treatment of hereditary angioedema, or HAE. Bradykinin-B2-receptor inhibition is a clinically validated mechanism for the treatment of HAE, as demonstrated by icatibant, a bradykinin B2-receptor antagonist approved in Europe in 2008 and in the United States in 2011 (as FIRAZYR®). We designed PHA121 to improve upon the therapeutic profile of existing therapies and, through oral delivery, to provide patients with quality of life and convenience that is superior to current standard-of-care HAE treatments, which are injectables. Besides the route of administration, the HAE market can be characterized by two distinct medical interventions, </w:t>
      </w:r>
      <w:r>
        <w:rPr>
          <w:rFonts w:ascii="Arial" w:cs="Arial" w:eastAsia="Arial" w:hAnsi="Arial"/>
          <w:sz w:val="16"/>
          <w:szCs w:val="16"/>
          <w:i w:val="1"/>
          <w:iCs w:val="1"/>
          <w:color w:val="auto"/>
        </w:rPr>
        <w:t>i.e.</w:t>
      </w:r>
      <w:r>
        <w:rPr>
          <w:rFonts w:ascii="Arial" w:cs="Arial" w:eastAsia="Arial" w:hAnsi="Arial"/>
          <w:sz w:val="16"/>
          <w:szCs w:val="16"/>
          <w:color w:val="auto"/>
        </w:rPr>
        <w:t>, acute treatment trying to counter an actual attack the patient is undergoing and prophylactic treatment which aims at preventing attacks. In order to address both distinct patient needs, we are developing two specific products with PHVS416 as our on-demand rapid-exposure product candidate, and PHVS719, a small daily dose extended-release product candidate for prophylaxis of HAE. We believe that our product candidates may address a broader range of angioedema attacks than other available treatments since PHA121 blocks the actual signal that leads to angioedema (the interaction of bradykinin, or BK, with the bradykinin B2 receptor), rather than an upstream signal. By blocking the action of bradykinin, we can prevent its aberrant signaling regardless of the pathway that generates it.</w:t>
      </w:r>
    </w:p>
    <w:p>
      <w:pPr>
        <w:spacing w:after="0" w:line="127" w:lineRule="exact"/>
        <w:rPr>
          <w:sz w:val="20"/>
          <w:szCs w:val="20"/>
          <w:color w:val="auto"/>
        </w:rPr>
      </w:pPr>
    </w:p>
    <w:p>
      <w:pPr>
        <w:ind w:right="40" w:firstLine="432"/>
        <w:spacing w:after="0" w:line="273" w:lineRule="auto"/>
        <w:rPr>
          <w:sz w:val="20"/>
          <w:szCs w:val="20"/>
          <w:color w:val="auto"/>
        </w:rPr>
      </w:pPr>
      <w:r>
        <w:rPr>
          <w:rFonts w:ascii="Arial" w:cs="Arial" w:eastAsia="Arial" w:hAnsi="Arial"/>
          <w:sz w:val="17"/>
          <w:szCs w:val="17"/>
          <w:color w:val="auto"/>
        </w:rPr>
        <w:t>In our completed Phase 1 trials to-date, we have observed that PHA121 was orally bioavailable and well tolerated at all doses studied, with approximately dose-proportional exposure. We also have successfully demonstrated proof-of-mechanism through a clinical pharmacodynamics, or PD, assessment with the bradykinin challenge in healthy volunteers, a surrogate assessment for dose selection previously validated in the icatibant development program. The data also allowed us to project the therapeutic performance of PHA121 in comparison with that of icatibant. We do not yet have data from any Phase 2 efficacy studies in patients. We plan to efficiently progress through clinical development for on-demand and prophylactic use with our on-demand product candidate, PHVS416, and extended-release product candidate, PHVS719, respectively.</w:t>
      </w:r>
    </w:p>
    <w:p>
      <w:pPr>
        <w:spacing w:after="0" w:line="151" w:lineRule="exact"/>
        <w:rPr>
          <w:sz w:val="20"/>
          <w:szCs w:val="20"/>
          <w:color w:val="auto"/>
        </w:rPr>
      </w:pPr>
    </w:p>
    <w:p>
      <w:pPr>
        <w:ind w:right="480" w:firstLine="432"/>
        <w:spacing w:after="0" w:line="277" w:lineRule="auto"/>
        <w:rPr>
          <w:sz w:val="20"/>
          <w:szCs w:val="20"/>
          <w:color w:val="auto"/>
        </w:rPr>
      </w:pPr>
      <w:r>
        <w:rPr>
          <w:rFonts w:ascii="Arial" w:cs="Arial" w:eastAsia="Arial" w:hAnsi="Arial"/>
          <w:sz w:val="18"/>
          <w:szCs w:val="18"/>
          <w:color w:val="auto"/>
        </w:rPr>
        <w:t>We commenced our RAPIDe-1 Phase 2 clinical trial of PHVS416 in February 2021 and expect to have topline results for the acute treatment of patients with HAE attacks in 2022. Our Investigational New Drug, or IND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36195</wp:posOffset>
            </wp:positionV>
            <wp:extent cx="71748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ind w:right="420"/>
        <w:spacing w:after="0" w:line="277" w:lineRule="auto"/>
        <w:rPr>
          <w:sz w:val="20"/>
          <w:szCs w:val="20"/>
          <w:color w:val="auto"/>
        </w:rPr>
      </w:pPr>
      <w:r>
        <w:rPr>
          <w:rFonts w:ascii="Arial" w:cs="Arial" w:eastAsia="Arial" w:hAnsi="Arial"/>
          <w:sz w:val="18"/>
          <w:szCs w:val="18"/>
          <w:color w:val="auto"/>
        </w:rPr>
        <w:t>application has been accepted by the U.S. Food and Drug Administration, or FDA, for the RAPIDe-1 study and additional study centers in the United States will also participate in the RAPIDe-1 clinical trial.</w:t>
      </w:r>
    </w:p>
    <w:p>
      <w:pPr>
        <w:spacing w:after="0" w:line="143"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We are also planning to initiate our prophylactic program for PHVS719 in 2021. To that end, a Phase 1 clinical trial to assess its pharmacokinetic profile is expected to start this year. In parallel, we intend to commence a Phase 2 clinical trial in 2021 using twice-daily dosing of the PHVS416, the softgel capsule product. The objective of this study is to establish the dose-exposure relationship of PHA121 while assessing its safety and efficacy profile when used as prophylaxis in HAE patients. These data are intended to enable us to select the optimal dose for PHVS719, the extended-release product, for prophylactic use. Our IND application for developing PHVS416 in the prophylactic indication has been in effect since April 2021, and we expect to initiate the clinical trial for prophylaxis in 2021.</w:t>
      </w:r>
    </w:p>
    <w:p>
      <w:pPr>
        <w:spacing w:after="0" w:line="15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COVID-19 outbreak has spread globally and severely restricted the level of economic activity around the world. In response to the COVID-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19 outbreak, the governments of many countries, states, cities and other geographic regions have taken preventative or protective actions, such as imposing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restrictions on travel and business operations and advising or requiring individuals to limit or forego their time outside of their homes.</w:t>
      </w:r>
    </w:p>
    <w:p>
      <w:pPr>
        <w:spacing w:after="0" w:line="170" w:lineRule="exact"/>
        <w:rPr>
          <w:sz w:val="20"/>
          <w:szCs w:val="20"/>
          <w:color w:val="auto"/>
        </w:rPr>
      </w:pPr>
    </w:p>
    <w:p>
      <w:pPr>
        <w:ind w:right="60" w:firstLine="432"/>
        <w:spacing w:after="0" w:line="269" w:lineRule="auto"/>
        <w:rPr>
          <w:sz w:val="20"/>
          <w:szCs w:val="20"/>
          <w:color w:val="auto"/>
        </w:rPr>
      </w:pPr>
      <w:r>
        <w:rPr>
          <w:rFonts w:ascii="Arial" w:cs="Arial" w:eastAsia="Arial" w:hAnsi="Arial"/>
          <w:sz w:val="17"/>
          <w:szCs w:val="17"/>
          <w:color w:val="auto"/>
        </w:rPr>
        <w:t>We are monitoring developments surrounding the COVID-19 pandemic and have taken steps to identify and mitigate the adverse effects and risks to the Company as a result of the pandemic. As a result, we have modified our business practices, including implementing work from home arrangements for employees able to perform their duties remotely, restricting nonessential travel, and practicing safe social distancing in our operations. We expect to continue to take actions as may be required or recommended by government authorities or in the best interests of our employees and business partners. While the impact of COVID-19 on the Company’s operations and financial performance is limited, the extent to which COVID-19 may impact our financial condition or results of operations is uncertain. For instance, the ongoing spread of COVID-19 may continue to interrupt, or delay, clinical trial activities, regulatory reviews, manufacturing activities and supply chain. For example, we experienced an approximate two-month delay in starting the enrollment of our Phase 1 multiple ascending dose study of PHA121 in healthy volunteers as a result of COVID-19. In addition, even with our distributed operations and our observation of social distancing measures, there remains the possibility that key personnel may become ill or are otherwise unable to work, which could adversely affect our operations.</w:t>
      </w:r>
    </w:p>
    <w:p>
      <w:pPr>
        <w:spacing w:after="0" w:line="158" w:lineRule="exact"/>
        <w:rPr>
          <w:sz w:val="20"/>
          <w:szCs w:val="20"/>
          <w:color w:val="auto"/>
        </w:rPr>
      </w:pPr>
    </w:p>
    <w:p>
      <w:pPr>
        <w:jc w:val="both"/>
        <w:ind w:right="80" w:firstLine="432"/>
        <w:spacing w:after="0" w:line="279" w:lineRule="auto"/>
        <w:rPr>
          <w:sz w:val="20"/>
          <w:szCs w:val="20"/>
          <w:color w:val="auto"/>
        </w:rPr>
      </w:pPr>
      <w:r>
        <w:rPr>
          <w:rFonts w:ascii="Arial" w:cs="Arial" w:eastAsia="Arial" w:hAnsi="Arial"/>
          <w:sz w:val="17"/>
          <w:szCs w:val="17"/>
          <w:color w:val="auto"/>
        </w:rPr>
        <w:t>Furthermore, the spread of the virus may affect the operations of key governmental agencies, such as the FDA, which may delay the development of our product candidates. The spread of COVID-19 may also result in the inability of our suppliers to deliver components or raw materials, and the inability of our CDMOs to provide supplies of our product candidates for our planned clinical trials, on a timely basis or at all. Further, COVID-19 may impact the ability of our CROs, including non-clinical CROs, to provide services to support our clinical program.</w:t>
      </w:r>
    </w:p>
    <w:p>
      <w:pPr>
        <w:spacing w:after="0" w:line="131" w:lineRule="exact"/>
        <w:rPr>
          <w:sz w:val="20"/>
          <w:szCs w:val="20"/>
          <w:color w:val="auto"/>
        </w:rPr>
      </w:pPr>
    </w:p>
    <w:p>
      <w:pPr>
        <w:ind w:right="140" w:firstLine="432"/>
        <w:spacing w:after="0" w:line="263" w:lineRule="auto"/>
        <w:rPr>
          <w:sz w:val="20"/>
          <w:szCs w:val="20"/>
          <w:color w:val="auto"/>
        </w:rPr>
      </w:pPr>
      <w:r>
        <w:rPr>
          <w:rFonts w:ascii="Arial" w:cs="Arial" w:eastAsia="Arial" w:hAnsi="Arial"/>
          <w:sz w:val="18"/>
          <w:szCs w:val="18"/>
          <w:color w:val="auto"/>
        </w:rPr>
        <w:t>Currently vaccine access and availability are on the rise and eligibility is being expanded. Nevertheless, the COVID-19 pandemic remains a rapidly evolving situation and we do not yet know the full extent of its potential impact on our business operations. However, we are making efforts to limit the financial impact of COVID-19 going forward.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announcements</w:t>
      </w:r>
    </w:p>
    <w:p>
      <w:pPr>
        <w:spacing w:after="0" w:line="189"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On April 21, 2021, the Company announced the acceptance by the FDA of Pharvaris’ IND application for developing PHVS416 in the prophylactic indication</w:t>
      </w:r>
    </w:p>
    <w:p>
      <w:pPr>
        <w:spacing w:after="0" w:line="14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On May 1, 2021, Dr. R. Gaster resigned as member of the Company’s Board of Directors.</w:t>
      </w:r>
    </w:p>
    <w:p>
      <w:pPr>
        <w:spacing w:after="0" w:line="185" w:lineRule="exact"/>
        <w:rPr>
          <w:sz w:val="20"/>
          <w:szCs w:val="20"/>
          <w:color w:val="auto"/>
        </w:rPr>
      </w:pPr>
    </w:p>
    <w:p>
      <w:pPr>
        <w:ind w:right="800" w:firstLine="432"/>
        <w:spacing w:after="0" w:line="277" w:lineRule="auto"/>
        <w:rPr>
          <w:sz w:val="20"/>
          <w:szCs w:val="20"/>
          <w:color w:val="auto"/>
        </w:rPr>
      </w:pPr>
      <w:r>
        <w:rPr>
          <w:rFonts w:ascii="Arial" w:cs="Arial" w:eastAsia="Arial" w:hAnsi="Arial"/>
          <w:sz w:val="18"/>
          <w:szCs w:val="18"/>
          <w:color w:val="auto"/>
        </w:rPr>
        <w:t>On May 12, 2021, the Company announced the expansion of their leadership team through the appointment of Dr. W. Souverijns, as Chief Community Engagement &amp; Commercial Officer. Dr. W. Souverijns onboarded on July 1, 2021.</w:t>
      </w:r>
    </w:p>
    <w:p>
      <w:pPr>
        <w:spacing w:after="0" w:line="130"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On June 29, 2021, the Company's general meeting of shareholders appointed Ms. Viviane Monges as Non-Executive Director and on June 30, 2021 the Board of Directors elected Ms. Monges as chair of the Audit Committee.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301" w:right="37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20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Revenues</w:t>
      </w:r>
    </w:p>
    <w:p>
      <w:pPr>
        <w:spacing w:after="0" w:line="185" w:lineRule="exact"/>
        <w:rPr>
          <w:sz w:val="20"/>
          <w:szCs w:val="20"/>
          <w:color w:val="auto"/>
        </w:rPr>
      </w:pPr>
    </w:p>
    <w:p>
      <w:pPr>
        <w:ind w:right="620" w:firstLine="432"/>
        <w:spacing w:after="0" w:line="277" w:lineRule="auto"/>
        <w:rPr>
          <w:sz w:val="20"/>
          <w:szCs w:val="20"/>
          <w:color w:val="auto"/>
        </w:rPr>
      </w:pPr>
      <w:r>
        <w:rPr>
          <w:rFonts w:ascii="Arial" w:cs="Arial" w:eastAsia="Arial" w:hAnsi="Arial"/>
          <w:sz w:val="18"/>
          <w:szCs w:val="18"/>
          <w:color w:val="auto"/>
        </w:rPr>
        <w:t>We did not record any revenues during the period covered by the historical financial information included in this Report. We do not expect to recognize any revenues before we are able to commercialize our first product.</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98" w:lineRule="exact"/>
        <w:rPr>
          <w:sz w:val="20"/>
          <w:szCs w:val="20"/>
          <w:color w:val="auto"/>
        </w:rPr>
      </w:pPr>
    </w:p>
    <w:p>
      <w:pPr>
        <w:ind w:right="40" w:firstLine="432"/>
        <w:spacing w:after="0" w:line="279" w:lineRule="auto"/>
        <w:rPr>
          <w:sz w:val="20"/>
          <w:szCs w:val="20"/>
          <w:color w:val="auto"/>
        </w:rPr>
      </w:pPr>
      <w:r>
        <w:rPr>
          <w:rFonts w:ascii="Arial" w:cs="Arial" w:eastAsia="Arial" w:hAnsi="Arial"/>
          <w:sz w:val="17"/>
          <w:szCs w:val="17"/>
          <w:color w:val="auto"/>
        </w:rPr>
        <w:t>We are focused on the clinical development of PHA121. Since our inception, we have devoted substantially all our resources to research and development efforts relating to the development of PHA121 and our product candidates PHVS416 and PHVS719. We expect that we will continue to incur significant research and development expenses as we seek to complete the clinical development of, and achieve regulatory approval for, our product candidates PHVS416 and PHVS719, and in connection with discovery and development of any additional product candidates.</w:t>
      </w:r>
    </w:p>
    <w:p>
      <w:pPr>
        <w:spacing w:after="0" w:line="1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Research and development expenses consist of the following:</w:t>
      </w:r>
    </w:p>
    <w:p>
      <w:pPr>
        <w:spacing w:after="0" w:line="185" w:lineRule="exact"/>
        <w:rPr>
          <w:sz w:val="20"/>
          <w:szCs w:val="20"/>
          <w:color w:val="auto"/>
        </w:rPr>
      </w:pPr>
    </w:p>
    <w:p>
      <w:pPr>
        <w:ind w:left="880" w:right="320" w:hanging="440"/>
        <w:spacing w:after="0" w:line="277" w:lineRule="auto"/>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employee benefits expenses, which includes salaries, pensions, share-based compensation expenses, bonus plans and other related costs for research and development staff;</w:t>
      </w:r>
    </w:p>
    <w:p>
      <w:pPr>
        <w:spacing w:after="0" w:line="129" w:lineRule="exact"/>
        <w:rPr>
          <w:rFonts w:ascii="Arial" w:cs="Arial" w:eastAsia="Arial" w:hAnsi="Arial"/>
          <w:sz w:val="18"/>
          <w:szCs w:val="18"/>
          <w:color w:val="auto"/>
        </w:rPr>
      </w:pPr>
    </w:p>
    <w:p>
      <w:pPr>
        <w:ind w:left="880" w:hanging="440"/>
        <w:spacing w:after="0"/>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non-clinical expenses, which include costs of our outsourced discovery and non-clinical development studies;</w:t>
      </w:r>
    </w:p>
    <w:p>
      <w:pPr>
        <w:spacing w:after="0" w:line="184" w:lineRule="exact"/>
        <w:rPr>
          <w:rFonts w:ascii="Arial" w:cs="Arial" w:eastAsia="Arial" w:hAnsi="Arial"/>
          <w:sz w:val="18"/>
          <w:szCs w:val="18"/>
          <w:color w:val="auto"/>
        </w:rPr>
      </w:pPr>
    </w:p>
    <w:p>
      <w:pPr>
        <w:ind w:left="880" w:right="180" w:hanging="440"/>
        <w:spacing w:after="0" w:line="277" w:lineRule="auto"/>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clinical expenses, which includes costs of conducting and managing our sponsored clinical trials, including clinical investigator cost, costs of clinical sites, and costs for CRO’s assisting with our clinical development programs;</w:t>
      </w:r>
    </w:p>
    <w:p>
      <w:pPr>
        <w:spacing w:after="0" w:line="129" w:lineRule="exact"/>
        <w:rPr>
          <w:rFonts w:ascii="Arial" w:cs="Arial" w:eastAsia="Arial" w:hAnsi="Arial"/>
          <w:sz w:val="18"/>
          <w:szCs w:val="18"/>
          <w:color w:val="auto"/>
        </w:rPr>
      </w:pPr>
    </w:p>
    <w:p>
      <w:pPr>
        <w:ind w:left="880" w:right="100" w:hanging="440"/>
        <w:spacing w:after="0" w:line="277" w:lineRule="auto"/>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manufacturing expenses, which include costs related to manufacturing of active pharmaceutical ingredients and manufacturing of the products used in our clinical trials and research and development activities;</w:t>
      </w:r>
    </w:p>
    <w:p>
      <w:pPr>
        <w:spacing w:after="0" w:line="129" w:lineRule="exact"/>
        <w:rPr>
          <w:rFonts w:ascii="Arial" w:cs="Arial" w:eastAsia="Arial" w:hAnsi="Arial"/>
          <w:sz w:val="18"/>
          <w:szCs w:val="18"/>
          <w:color w:val="auto"/>
        </w:rPr>
      </w:pPr>
    </w:p>
    <w:p>
      <w:pPr>
        <w:ind w:left="880" w:right="40" w:hanging="440"/>
        <w:spacing w:after="0" w:line="277" w:lineRule="auto"/>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costs related to regulatory activities, including collecting data, preparing and submitting filings, communicating with regulatory authorities and reviewing the design and conduct of clinical trials for compliance with applicable requirements;</w:t>
      </w:r>
    </w:p>
    <w:p>
      <w:pPr>
        <w:spacing w:after="0" w:line="129" w:lineRule="exact"/>
        <w:rPr>
          <w:rFonts w:ascii="Arial" w:cs="Arial" w:eastAsia="Arial" w:hAnsi="Arial"/>
          <w:sz w:val="18"/>
          <w:szCs w:val="18"/>
          <w:color w:val="auto"/>
        </w:rPr>
      </w:pPr>
    </w:p>
    <w:p>
      <w:pPr>
        <w:ind w:left="880" w:hanging="440"/>
        <w:spacing w:after="0"/>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costs in connection with investigator-sponsored clinical trials and evaluations;</w:t>
      </w:r>
    </w:p>
    <w:p>
      <w:pPr>
        <w:spacing w:after="0" w:line="184" w:lineRule="exact"/>
        <w:rPr>
          <w:rFonts w:ascii="Arial" w:cs="Arial" w:eastAsia="Arial" w:hAnsi="Arial"/>
          <w:sz w:val="18"/>
          <w:szCs w:val="18"/>
          <w:color w:val="auto"/>
        </w:rPr>
      </w:pPr>
    </w:p>
    <w:p>
      <w:pPr>
        <w:ind w:left="880" w:hanging="440"/>
        <w:spacing w:after="0"/>
        <w:tabs>
          <w:tab w:leader="none" w:pos="880" w:val="left"/>
        </w:tabs>
        <w:numPr>
          <w:ilvl w:val="0"/>
          <w:numId w:val="8"/>
        </w:numPr>
        <w:rPr>
          <w:rFonts w:ascii="Arial" w:cs="Arial" w:eastAsia="Arial" w:hAnsi="Arial"/>
          <w:sz w:val="17"/>
          <w:szCs w:val="17"/>
          <w:color w:val="auto"/>
        </w:rPr>
      </w:pPr>
      <w:r>
        <w:rPr>
          <w:rFonts w:ascii="Arial" w:cs="Arial" w:eastAsia="Arial" w:hAnsi="Arial"/>
          <w:sz w:val="17"/>
          <w:szCs w:val="17"/>
          <w:color w:val="auto"/>
        </w:rPr>
        <w:t>advisers’ fees, including discovery, non-clinical, clinical, chemistry, manufacturing, and controls- related and other consulting services;</w:t>
      </w:r>
    </w:p>
    <w:p>
      <w:pPr>
        <w:spacing w:after="0" w:line="196" w:lineRule="exact"/>
        <w:rPr>
          <w:rFonts w:ascii="Arial" w:cs="Arial" w:eastAsia="Arial" w:hAnsi="Arial"/>
          <w:sz w:val="17"/>
          <w:szCs w:val="17"/>
          <w:color w:val="auto"/>
        </w:rPr>
      </w:pPr>
    </w:p>
    <w:p>
      <w:pPr>
        <w:ind w:left="880" w:hanging="440"/>
        <w:spacing w:after="0"/>
        <w:tabs>
          <w:tab w:leader="none" w:pos="880" w:val="left"/>
        </w:tabs>
        <w:numPr>
          <w:ilvl w:val="0"/>
          <w:numId w:val="8"/>
        </w:numPr>
        <w:rPr>
          <w:rFonts w:ascii="Arial" w:cs="Arial" w:eastAsia="Arial" w:hAnsi="Arial"/>
          <w:sz w:val="17"/>
          <w:szCs w:val="17"/>
          <w:color w:val="auto"/>
        </w:rPr>
      </w:pPr>
      <w:r>
        <w:rPr>
          <w:rFonts w:ascii="Arial" w:cs="Arial" w:eastAsia="Arial" w:hAnsi="Arial"/>
          <w:sz w:val="17"/>
          <w:szCs w:val="17"/>
          <w:color w:val="auto"/>
        </w:rPr>
        <w:t>intellectual property costs, which includes costs associated with obtaining and maintaining patents and other intellectual property; and</w:t>
      </w:r>
    </w:p>
    <w:p>
      <w:pPr>
        <w:spacing w:after="0" w:line="196" w:lineRule="exact"/>
        <w:rPr>
          <w:rFonts w:ascii="Arial" w:cs="Arial" w:eastAsia="Arial" w:hAnsi="Arial"/>
          <w:sz w:val="17"/>
          <w:szCs w:val="17"/>
          <w:color w:val="auto"/>
        </w:rPr>
      </w:pPr>
    </w:p>
    <w:p>
      <w:pPr>
        <w:ind w:left="880" w:hanging="440"/>
        <w:spacing w:after="0"/>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license costs.</w:t>
      </w:r>
    </w:p>
    <w:p>
      <w:pPr>
        <w:spacing w:after="0" w:line="185"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We anticipate that research and development expenses will continue to increase as we continue to progress PHVS416 and PHVS719 through clinical development.</w:t>
      </w:r>
    </w:p>
    <w:p>
      <w:pPr>
        <w:spacing w:after="0" w:line="143"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There is a risk that any clinical development or product discovery program may not result in commercial approval. To the extent that we fail to obtain approval to commercialize our product candidate in a timely manner, we would need to continue to conduct clinical trials over a longer period of time, and we anticipate that our research and development expenses may further increase.</w:t>
      </w:r>
    </w:p>
    <w:p>
      <w:pPr>
        <w:spacing w:after="0" w:line="143" w:lineRule="exact"/>
        <w:rPr>
          <w:sz w:val="20"/>
          <w:szCs w:val="20"/>
          <w:color w:val="auto"/>
        </w:rPr>
      </w:pPr>
    </w:p>
    <w:p>
      <w:pPr>
        <w:ind w:right="100" w:firstLine="432"/>
        <w:spacing w:after="0" w:line="263" w:lineRule="auto"/>
        <w:rPr>
          <w:sz w:val="20"/>
          <w:szCs w:val="20"/>
          <w:color w:val="auto"/>
        </w:rPr>
      </w:pPr>
      <w:r>
        <w:rPr>
          <w:rFonts w:ascii="Arial" w:cs="Arial" w:eastAsia="Arial" w:hAnsi="Arial"/>
          <w:sz w:val="18"/>
          <w:szCs w:val="18"/>
          <w:color w:val="auto"/>
        </w:rPr>
        <w:t>Clinical development timelines and associated costs may vary significantly and the successful development of our product candidate is highly uncertain. At this time, we cannot reasonably estimate the nature, timing and estimated costs of the efforts, including patient recruitment and selection that will be necessary to complete the</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297" w:right="35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development of, or the period, if any, in which material net cash inflows may commence from, our product candidates.</w:t>
      </w:r>
    </w:p>
    <w:p>
      <w:pPr>
        <w:spacing w:after="0" w:line="198" w:lineRule="exact"/>
        <w:rPr>
          <w:sz w:val="20"/>
          <w:szCs w:val="20"/>
          <w:color w:val="auto"/>
        </w:rPr>
      </w:pPr>
    </w:p>
    <w:p>
      <w:pPr>
        <w:ind w:right="60" w:firstLine="432"/>
        <w:spacing w:after="0" w:line="263" w:lineRule="auto"/>
        <w:rPr>
          <w:sz w:val="20"/>
          <w:szCs w:val="20"/>
          <w:color w:val="auto"/>
        </w:rPr>
      </w:pPr>
      <w:r>
        <w:rPr>
          <w:rFonts w:ascii="Arial" w:cs="Arial" w:eastAsia="Arial" w:hAnsi="Arial"/>
          <w:sz w:val="18"/>
          <w:szCs w:val="18"/>
          <w:color w:val="auto"/>
        </w:rPr>
        <w:t>Moreover, we cannot assure that we will be able to successfully develop or commercialize our product candidates, if approved for marketing. This is due to numerous risks and uncertainties associated with developing drugs. See “Item 3. Key Information—D. Risk factors” in our Annual Report for a discussion of these risks and uncertainties.</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Selling and distribution expenses</w:t>
      </w:r>
    </w:p>
    <w:p>
      <w:pPr>
        <w:spacing w:after="0" w:line="185" w:lineRule="exact"/>
        <w:rPr>
          <w:sz w:val="20"/>
          <w:szCs w:val="20"/>
          <w:color w:val="auto"/>
        </w:rPr>
      </w:pPr>
    </w:p>
    <w:p>
      <w:pPr>
        <w:ind w:right="240" w:firstLine="432"/>
        <w:spacing w:after="0" w:line="286" w:lineRule="auto"/>
        <w:rPr>
          <w:sz w:val="20"/>
          <w:szCs w:val="20"/>
          <w:color w:val="auto"/>
        </w:rPr>
      </w:pPr>
      <w:r>
        <w:rPr>
          <w:rFonts w:ascii="Arial" w:cs="Arial" w:eastAsia="Arial" w:hAnsi="Arial"/>
          <w:sz w:val="17"/>
          <w:szCs w:val="17"/>
          <w:color w:val="auto"/>
        </w:rPr>
        <w:t>Historically, we have not incurred any selling and distribution expenses. If our product candidates are approved for registration and marketing, we anticipate incurring substantial selling and distribution expenses in future periods in order to establish an infrastructure for marketing and distribution, obtain supplies of active pharmaceutical ingredients, and manufacture commercial quantities of our product candidate.</w:t>
      </w:r>
    </w:p>
    <w:p>
      <w:pPr>
        <w:spacing w:after="0" w:line="13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We anticipate that we will continue to incur significant general and administrative expenses as we advance our research and development portfolio.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General and administrative expenses consist of the following:</w:t>
      </w:r>
    </w:p>
    <w:p>
      <w:pPr>
        <w:spacing w:after="0" w:line="170" w:lineRule="exact"/>
        <w:rPr>
          <w:sz w:val="20"/>
          <w:szCs w:val="20"/>
          <w:color w:val="auto"/>
        </w:rPr>
      </w:pPr>
    </w:p>
    <w:p>
      <w:pPr>
        <w:ind w:left="880" w:right="740" w:hanging="440"/>
        <w:spacing w:after="0" w:line="277" w:lineRule="auto"/>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employee benefits, including salaries, pensions, share-based compensation expenses, bonus plans and other related costs for staff and independent contractors in executive and operational functions;</w:t>
      </w:r>
    </w:p>
    <w:p>
      <w:pPr>
        <w:spacing w:after="0" w:line="129" w:lineRule="exact"/>
        <w:rPr>
          <w:rFonts w:ascii="Arial" w:cs="Arial" w:eastAsia="Arial" w:hAnsi="Arial"/>
          <w:sz w:val="18"/>
          <w:szCs w:val="18"/>
          <w:color w:val="auto"/>
        </w:rPr>
      </w:pPr>
    </w:p>
    <w:p>
      <w:pPr>
        <w:ind w:left="880" w:hanging="440"/>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auditors’ and advisers’ fees, including accounting, tax, legal and other consulting services; and</w:t>
      </w:r>
    </w:p>
    <w:p>
      <w:pPr>
        <w:spacing w:after="0" w:line="184" w:lineRule="exact"/>
        <w:rPr>
          <w:rFonts w:ascii="Arial" w:cs="Arial" w:eastAsia="Arial" w:hAnsi="Arial"/>
          <w:sz w:val="18"/>
          <w:szCs w:val="18"/>
          <w:color w:val="auto"/>
        </w:rPr>
      </w:pPr>
    </w:p>
    <w:p>
      <w:pPr>
        <w:ind w:left="880" w:hanging="440"/>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rental expenses, facilities and IT expenses and other general expenses relating to our operations.</w:t>
      </w:r>
    </w:p>
    <w:p>
      <w:pPr>
        <w:spacing w:after="0" w:line="185" w:lineRule="exact"/>
        <w:rPr>
          <w:sz w:val="20"/>
          <w:szCs w:val="20"/>
          <w:color w:val="auto"/>
        </w:rPr>
      </w:pPr>
    </w:p>
    <w:p>
      <w:pPr>
        <w:ind w:right="120" w:firstLine="432"/>
        <w:spacing w:after="0" w:line="263" w:lineRule="auto"/>
        <w:rPr>
          <w:sz w:val="20"/>
          <w:szCs w:val="20"/>
          <w:color w:val="auto"/>
        </w:rPr>
      </w:pPr>
      <w:r>
        <w:rPr>
          <w:rFonts w:ascii="Arial" w:cs="Arial" w:eastAsia="Arial" w:hAnsi="Arial"/>
          <w:sz w:val="18"/>
          <w:szCs w:val="18"/>
          <w:color w:val="auto"/>
        </w:rPr>
        <w:t>We anticipate that the continuing development of our business and the expense of maintaining directors’ and officers’ liability insurance, will contribute to future increase in general and administrative expenses. We also expect that general and administrative expenses will increase in the future as we incur additional costs associated with being a public company in the United States.</w:t>
      </w:r>
    </w:p>
    <w:p>
      <w:pPr>
        <w:spacing w:after="0" w:line="15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Share-based compensation expenses</w:t>
      </w:r>
    </w:p>
    <w:p>
      <w:pPr>
        <w:spacing w:after="0" w:line="185" w:lineRule="exact"/>
        <w:rPr>
          <w:sz w:val="20"/>
          <w:szCs w:val="20"/>
          <w:color w:val="auto"/>
        </w:rPr>
      </w:pPr>
    </w:p>
    <w:p>
      <w:pPr>
        <w:ind w:firstLine="432"/>
        <w:spacing w:after="0" w:line="275" w:lineRule="auto"/>
        <w:rPr>
          <w:sz w:val="20"/>
          <w:szCs w:val="20"/>
          <w:color w:val="auto"/>
        </w:rPr>
      </w:pPr>
      <w:r>
        <w:rPr>
          <w:rFonts w:ascii="Arial" w:cs="Arial" w:eastAsia="Arial" w:hAnsi="Arial"/>
          <w:sz w:val="17"/>
          <w:szCs w:val="17"/>
          <w:color w:val="auto"/>
        </w:rPr>
        <w:t>In 2016, we implemented an Equity Incentive Plan, or the Plan, in order to advance the interests of our shareholders by enhancing our ability to attract, retain and motivate persons who are expected to make important contributions to us and by providing such persons with performance-based incentives that are intended to better align the interests of such persons with those of our shareholders. The fair values of these instruments are recognized as personnel expenses in either research and development expenses or general and administrative expense. The Plan has been superseded by the 2021 Long Term Incentive plan after completion of the initial public offering, or IPO in February 2021.</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 of operations</w:t>
      </w:r>
    </w:p>
    <w:p>
      <w:pPr>
        <w:spacing w:after="0" w:line="202"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The financial information shown below was derived from our unaudited condensed consolidated interim financial statements for the three- and six-months ended June 30, 2021 and 2020 included as Exhibit 99.3 to this</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301" w:right="379" w:bottom="1440" w:gutter="0" w:footer="0" w:header="0"/>
        </w:sectPr>
      </w:pPr>
    </w:p>
    <w:bookmarkStart w:id="13" w:name="page14"/>
    <w:bookmarkEnd w:id="13"/>
    <w:p>
      <w:pPr>
        <w:ind w:right="240"/>
        <w:spacing w:after="0" w:line="277" w:lineRule="auto"/>
        <w:rPr>
          <w:sz w:val="20"/>
          <w:szCs w:val="20"/>
          <w:color w:val="auto"/>
        </w:rPr>
      </w:pPr>
      <w:r>
        <w:rPr>
          <w:rFonts w:ascii="Arial" w:cs="Arial" w:eastAsia="Arial" w:hAnsi="Arial"/>
          <w:sz w:val="18"/>
          <w:szCs w:val="18"/>
          <w:color w:val="auto"/>
        </w:rPr>
        <w:t>Report on Form 6-K. The discussion below should be read along with these condensed consolidated interim financial statements, and it is qualified in its entirety by reference to them.</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80" w:type="dxa"/>
            <w:vAlign w:val="bottom"/>
          </w:tcPr>
          <w:p>
            <w:pPr>
              <w:ind w:left="440"/>
              <w:spacing w:after="0"/>
              <w:rPr>
                <w:sz w:val="20"/>
                <w:szCs w:val="20"/>
                <w:color w:val="auto"/>
              </w:rPr>
            </w:pPr>
            <w:r>
              <w:rPr>
                <w:rFonts w:ascii="Arial" w:cs="Arial" w:eastAsia="Arial" w:hAnsi="Arial"/>
                <w:sz w:val="18"/>
                <w:szCs w:val="18"/>
                <w:i w:val="1"/>
                <w:iCs w:val="1"/>
                <w:color w:val="auto"/>
              </w:rPr>
              <w:t>Comparison of the three months ended June 30, 2021 and 2020</w:t>
            </w:r>
          </w:p>
        </w:tc>
        <w:tc>
          <w:tcPr>
            <w:tcW w:w="13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454"/>
        </w:trPr>
        <w:tc>
          <w:tcPr>
            <w:tcW w:w="57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880" w:type="dxa"/>
            <w:vAlign w:val="bottom"/>
            <w:gridSpan w:val="2"/>
          </w:tcPr>
          <w:p>
            <w:pPr>
              <w:jc w:val="center"/>
              <w:ind w:right="310"/>
              <w:spacing w:after="0"/>
              <w:rPr>
                <w:sz w:val="20"/>
                <w:szCs w:val="20"/>
                <w:color w:val="auto"/>
              </w:rPr>
            </w:pPr>
            <w:r>
              <w:rPr>
                <w:rFonts w:ascii="Arial" w:cs="Arial" w:eastAsia="Arial" w:hAnsi="Arial"/>
                <w:sz w:val="18"/>
                <w:szCs w:val="18"/>
                <w:b w:val="1"/>
                <w:bCs w:val="1"/>
                <w:color w:val="auto"/>
                <w:w w:val="89"/>
              </w:rPr>
              <w:t>For the three months ended</w:t>
            </w:r>
          </w:p>
        </w:tc>
        <w:tc>
          <w:tcPr>
            <w:tcW w:w="1200" w:type="dxa"/>
            <w:vAlign w:val="bottom"/>
          </w:tcPr>
          <w:p>
            <w:pPr>
              <w:spacing w:after="0"/>
              <w:rPr>
                <w:sz w:val="24"/>
                <w:szCs w:val="24"/>
                <w:color w:val="auto"/>
              </w:rPr>
            </w:pPr>
          </w:p>
        </w:tc>
      </w:tr>
      <w:tr>
        <w:trPr>
          <w:trHeight w:val="234"/>
        </w:trPr>
        <w:tc>
          <w:tcPr>
            <w:tcW w:w="5780" w:type="dxa"/>
            <w:vAlign w:val="bottom"/>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center"/>
              <w:ind w:left="810"/>
              <w:spacing w:after="0"/>
              <w:rPr>
                <w:sz w:val="20"/>
                <w:szCs w:val="20"/>
                <w:color w:val="auto"/>
              </w:rPr>
            </w:pPr>
            <w:r>
              <w:rPr>
                <w:rFonts w:ascii="Arial" w:cs="Arial" w:eastAsia="Arial" w:hAnsi="Arial"/>
                <w:sz w:val="18"/>
                <w:szCs w:val="18"/>
                <w:b w:val="1"/>
                <w:bCs w:val="1"/>
                <w:color w:val="auto"/>
                <w:w w:val="89"/>
              </w:rPr>
              <w:t>June 30</w:t>
            </w:r>
          </w:p>
        </w:tc>
        <w:tc>
          <w:tcPr>
            <w:tcW w:w="13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r>
      <w:tr>
        <w:trPr>
          <w:trHeight w:val="223"/>
        </w:trPr>
        <w:tc>
          <w:tcPr>
            <w:tcW w:w="5780" w:type="dxa"/>
            <w:vAlign w:val="bottom"/>
          </w:tcPr>
          <w:p>
            <w:pPr>
              <w:spacing w:after="0"/>
              <w:rPr>
                <w:sz w:val="19"/>
                <w:szCs w:val="19"/>
                <w:color w:val="auto"/>
              </w:rPr>
            </w:pPr>
          </w:p>
        </w:tc>
        <w:tc>
          <w:tcPr>
            <w:tcW w:w="13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2021</w:t>
            </w:r>
          </w:p>
        </w:tc>
        <w:tc>
          <w:tcPr>
            <w:tcW w:w="158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b w:val="1"/>
                <w:bCs w:val="1"/>
                <w:color w:val="auto"/>
              </w:rPr>
              <w:t>2020</w:t>
            </w:r>
          </w:p>
        </w:tc>
        <w:tc>
          <w:tcPr>
            <w:tcW w:w="13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w w:val="93"/>
              </w:rPr>
              <w:t>Change</w:t>
            </w:r>
          </w:p>
        </w:tc>
        <w:tc>
          <w:tcPr>
            <w:tcW w:w="120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w:t>
            </w:r>
          </w:p>
        </w:tc>
      </w:tr>
      <w:tr>
        <w:trPr>
          <w:trHeight w:val="223"/>
        </w:trPr>
        <w:tc>
          <w:tcPr>
            <w:tcW w:w="57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580" w:type="dxa"/>
            <w:vAlign w:val="bottom"/>
          </w:tcPr>
          <w:p>
            <w:pPr>
              <w:jc w:val="center"/>
              <w:ind w:left="810"/>
              <w:spacing w:after="0"/>
              <w:rPr>
                <w:sz w:val="20"/>
                <w:szCs w:val="20"/>
                <w:color w:val="auto"/>
              </w:rPr>
            </w:pPr>
            <w:r>
              <w:rPr>
                <w:rFonts w:ascii="Arial" w:cs="Arial" w:eastAsia="Arial" w:hAnsi="Arial"/>
                <w:sz w:val="18"/>
                <w:szCs w:val="18"/>
                <w:b w:val="1"/>
                <w:bCs w:val="1"/>
                <w:color w:val="auto"/>
                <w:w w:val="92"/>
              </w:rPr>
              <w:t>(in €)</w:t>
            </w:r>
          </w:p>
        </w:tc>
        <w:tc>
          <w:tcPr>
            <w:tcW w:w="130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578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 expenses</w:t>
            </w:r>
          </w:p>
        </w:tc>
        <w:tc>
          <w:tcPr>
            <w:tcW w:w="13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(8,060,599)</w:t>
            </w:r>
          </w:p>
        </w:tc>
        <w:tc>
          <w:tcPr>
            <w:tcW w:w="158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rPr>
              <w:t>(4,331,843)</w:t>
            </w:r>
          </w:p>
        </w:tc>
        <w:tc>
          <w:tcPr>
            <w:tcW w:w="130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rPr>
              <w:t>(3,728,756)</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w:t>
            </w:r>
          </w:p>
        </w:tc>
      </w:tr>
      <w:tr>
        <w:trPr>
          <w:trHeight w:val="229"/>
        </w:trPr>
        <w:tc>
          <w:tcPr>
            <w:tcW w:w="578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380" w:type="dxa"/>
            <w:vAlign w:val="bottom"/>
          </w:tcPr>
          <w:p>
            <w:pPr>
              <w:jc w:val="right"/>
              <w:ind w:right="110"/>
              <w:spacing w:after="0"/>
              <w:rPr>
                <w:sz w:val="20"/>
                <w:szCs w:val="20"/>
                <w:color w:val="auto"/>
              </w:rPr>
            </w:pPr>
            <w:r>
              <w:rPr>
                <w:rFonts w:ascii="Arial" w:cs="Arial" w:eastAsia="Arial" w:hAnsi="Arial"/>
                <w:sz w:val="18"/>
                <w:szCs w:val="18"/>
                <w:color w:val="auto"/>
              </w:rPr>
              <w:t>(4,664,726)</w:t>
            </w:r>
          </w:p>
        </w:tc>
        <w:tc>
          <w:tcPr>
            <w:tcW w:w="1580" w:type="dxa"/>
            <w:vAlign w:val="bottom"/>
          </w:tcPr>
          <w:p>
            <w:pPr>
              <w:jc w:val="right"/>
              <w:ind w:right="310"/>
              <w:spacing w:after="0"/>
              <w:rPr>
                <w:sz w:val="20"/>
                <w:szCs w:val="20"/>
                <w:color w:val="auto"/>
              </w:rPr>
            </w:pPr>
            <w:r>
              <w:rPr>
                <w:rFonts w:ascii="Arial" w:cs="Arial" w:eastAsia="Arial" w:hAnsi="Arial"/>
                <w:sz w:val="18"/>
                <w:szCs w:val="18"/>
                <w:color w:val="auto"/>
              </w:rPr>
              <w:t>(1,393,890)</w:t>
            </w:r>
          </w:p>
        </w:tc>
        <w:tc>
          <w:tcPr>
            <w:tcW w:w="1300" w:type="dxa"/>
            <w:vAlign w:val="bottom"/>
          </w:tcPr>
          <w:p>
            <w:pPr>
              <w:jc w:val="right"/>
              <w:ind w:right="230"/>
              <w:spacing w:after="0"/>
              <w:rPr>
                <w:sz w:val="20"/>
                <w:szCs w:val="20"/>
                <w:color w:val="auto"/>
              </w:rPr>
            </w:pPr>
            <w:r>
              <w:rPr>
                <w:rFonts w:ascii="Arial" w:cs="Arial" w:eastAsia="Arial" w:hAnsi="Arial"/>
                <w:sz w:val="18"/>
                <w:szCs w:val="18"/>
                <w:color w:val="auto"/>
              </w:rPr>
              <w:t>(3,270,836)</w:t>
            </w:r>
          </w:p>
        </w:tc>
        <w:tc>
          <w:tcPr>
            <w:tcW w:w="1200" w:type="dxa"/>
            <w:vAlign w:val="bottom"/>
          </w:tcPr>
          <w:p>
            <w:pPr>
              <w:jc w:val="right"/>
              <w:spacing w:after="0"/>
              <w:rPr>
                <w:sz w:val="20"/>
                <w:szCs w:val="20"/>
                <w:color w:val="auto"/>
              </w:rPr>
            </w:pPr>
            <w:r>
              <w:rPr>
                <w:rFonts w:ascii="Arial" w:cs="Arial" w:eastAsia="Arial" w:hAnsi="Arial"/>
                <w:sz w:val="18"/>
                <w:szCs w:val="18"/>
                <w:color w:val="auto"/>
              </w:rPr>
              <w:t>235%</w:t>
            </w:r>
          </w:p>
        </w:tc>
      </w:tr>
      <w:tr>
        <w:trPr>
          <w:trHeight w:val="230"/>
        </w:trPr>
        <w:tc>
          <w:tcPr>
            <w:tcW w:w="57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Total operating expenses</w:t>
            </w:r>
          </w:p>
        </w:tc>
        <w:tc>
          <w:tcPr>
            <w:tcW w:w="1380" w:type="dxa"/>
            <w:vAlign w:val="bottom"/>
            <w:shd w:val="clear" w:color="auto" w:fill="CFF0FC"/>
          </w:tcPr>
          <w:p>
            <w:pPr>
              <w:jc w:val="right"/>
              <w:ind w:right="110"/>
              <w:spacing w:after="0"/>
              <w:rPr>
                <w:sz w:val="20"/>
                <w:szCs w:val="20"/>
                <w:color w:val="auto"/>
              </w:rPr>
            </w:pPr>
            <w:r>
              <w:rPr>
                <w:rFonts w:ascii="Arial" w:cs="Arial" w:eastAsia="Arial" w:hAnsi="Arial"/>
                <w:sz w:val="18"/>
                <w:szCs w:val="18"/>
                <w:b w:val="1"/>
                <w:bCs w:val="1"/>
                <w:color w:val="auto"/>
              </w:rPr>
              <w:t>(12,725,325)</w:t>
            </w:r>
          </w:p>
        </w:tc>
        <w:tc>
          <w:tcPr>
            <w:tcW w:w="1580" w:type="dxa"/>
            <w:vAlign w:val="bottom"/>
            <w:shd w:val="clear" w:color="auto" w:fill="CFF0FC"/>
          </w:tcPr>
          <w:p>
            <w:pPr>
              <w:jc w:val="right"/>
              <w:ind w:right="310"/>
              <w:spacing w:after="0"/>
              <w:rPr>
                <w:sz w:val="20"/>
                <w:szCs w:val="20"/>
                <w:color w:val="auto"/>
              </w:rPr>
            </w:pPr>
            <w:r>
              <w:rPr>
                <w:rFonts w:ascii="Arial" w:cs="Arial" w:eastAsia="Arial" w:hAnsi="Arial"/>
                <w:sz w:val="18"/>
                <w:szCs w:val="18"/>
                <w:b w:val="1"/>
                <w:bCs w:val="1"/>
                <w:color w:val="auto"/>
              </w:rPr>
              <w:t>(5,725,733)</w:t>
            </w:r>
          </w:p>
        </w:tc>
        <w:tc>
          <w:tcPr>
            <w:tcW w:w="1300" w:type="dxa"/>
            <w:vAlign w:val="bottom"/>
            <w:shd w:val="clear" w:color="auto" w:fill="CFF0FC"/>
          </w:tcPr>
          <w:p>
            <w:pPr>
              <w:jc w:val="right"/>
              <w:ind w:right="230"/>
              <w:spacing w:after="0"/>
              <w:rPr>
                <w:sz w:val="20"/>
                <w:szCs w:val="20"/>
                <w:color w:val="auto"/>
              </w:rPr>
            </w:pPr>
            <w:r>
              <w:rPr>
                <w:rFonts w:ascii="Arial" w:cs="Arial" w:eastAsia="Arial" w:hAnsi="Arial"/>
                <w:sz w:val="18"/>
                <w:szCs w:val="18"/>
                <w:b w:val="1"/>
                <w:bCs w:val="1"/>
                <w:color w:val="auto"/>
              </w:rPr>
              <w:t>(6,999,592)</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122%</w:t>
            </w:r>
          </w:p>
        </w:tc>
      </w:tr>
      <w:tr>
        <w:trPr>
          <w:trHeight w:val="229"/>
        </w:trPr>
        <w:tc>
          <w:tcPr>
            <w:tcW w:w="5780" w:type="dxa"/>
            <w:vAlign w:val="bottom"/>
          </w:tcPr>
          <w:p>
            <w:pPr>
              <w:spacing w:after="0"/>
              <w:rPr>
                <w:sz w:val="20"/>
                <w:szCs w:val="20"/>
                <w:color w:val="auto"/>
              </w:rPr>
            </w:pPr>
            <w:r>
              <w:rPr>
                <w:rFonts w:ascii="Arial" w:cs="Arial" w:eastAsia="Arial" w:hAnsi="Arial"/>
                <w:sz w:val="18"/>
                <w:szCs w:val="18"/>
                <w:b w:val="1"/>
                <w:bCs w:val="1"/>
                <w:color w:val="auto"/>
              </w:rPr>
              <w:t>Operating loss</w:t>
            </w:r>
          </w:p>
        </w:tc>
        <w:tc>
          <w:tcPr>
            <w:tcW w:w="1380" w:type="dxa"/>
            <w:vAlign w:val="bottom"/>
          </w:tcPr>
          <w:p>
            <w:pPr>
              <w:jc w:val="right"/>
              <w:ind w:right="110"/>
              <w:spacing w:after="0"/>
              <w:rPr>
                <w:sz w:val="20"/>
                <w:szCs w:val="20"/>
                <w:color w:val="auto"/>
              </w:rPr>
            </w:pPr>
            <w:r>
              <w:rPr>
                <w:rFonts w:ascii="Arial" w:cs="Arial" w:eastAsia="Arial" w:hAnsi="Arial"/>
                <w:sz w:val="18"/>
                <w:szCs w:val="18"/>
                <w:b w:val="1"/>
                <w:bCs w:val="1"/>
                <w:color w:val="auto"/>
              </w:rPr>
              <w:t>(12,725,325)</w:t>
            </w:r>
          </w:p>
        </w:tc>
        <w:tc>
          <w:tcPr>
            <w:tcW w:w="1580" w:type="dxa"/>
            <w:vAlign w:val="bottom"/>
          </w:tcPr>
          <w:p>
            <w:pPr>
              <w:jc w:val="right"/>
              <w:ind w:right="310"/>
              <w:spacing w:after="0"/>
              <w:rPr>
                <w:sz w:val="20"/>
                <w:szCs w:val="20"/>
                <w:color w:val="auto"/>
              </w:rPr>
            </w:pPr>
            <w:r>
              <w:rPr>
                <w:rFonts w:ascii="Arial" w:cs="Arial" w:eastAsia="Arial" w:hAnsi="Arial"/>
                <w:sz w:val="18"/>
                <w:szCs w:val="18"/>
                <w:b w:val="1"/>
                <w:bCs w:val="1"/>
                <w:color w:val="auto"/>
              </w:rPr>
              <w:t>(5,725,733)</w:t>
            </w:r>
          </w:p>
        </w:tc>
        <w:tc>
          <w:tcPr>
            <w:tcW w:w="1300" w:type="dxa"/>
            <w:vAlign w:val="bottom"/>
          </w:tcPr>
          <w:p>
            <w:pPr>
              <w:jc w:val="right"/>
              <w:ind w:right="230"/>
              <w:spacing w:after="0"/>
              <w:rPr>
                <w:sz w:val="20"/>
                <w:szCs w:val="20"/>
                <w:color w:val="auto"/>
              </w:rPr>
            </w:pPr>
            <w:r>
              <w:rPr>
                <w:rFonts w:ascii="Arial" w:cs="Arial" w:eastAsia="Arial" w:hAnsi="Arial"/>
                <w:sz w:val="18"/>
                <w:szCs w:val="18"/>
                <w:b w:val="1"/>
                <w:bCs w:val="1"/>
                <w:color w:val="auto"/>
              </w:rPr>
              <w:t>(6,999,592)</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122%</w:t>
            </w:r>
          </w:p>
        </w:tc>
      </w:tr>
      <w:tr>
        <w:trPr>
          <w:trHeight w:val="230"/>
        </w:trPr>
        <w:tc>
          <w:tcPr>
            <w:tcW w:w="5780" w:type="dxa"/>
            <w:vAlign w:val="bottom"/>
            <w:shd w:val="clear" w:color="auto" w:fill="CFF0FC"/>
          </w:tcPr>
          <w:p>
            <w:pPr>
              <w:spacing w:after="0"/>
              <w:rPr>
                <w:sz w:val="20"/>
                <w:szCs w:val="20"/>
                <w:color w:val="auto"/>
              </w:rPr>
            </w:pPr>
            <w:r>
              <w:rPr>
                <w:rFonts w:ascii="Arial" w:cs="Arial" w:eastAsia="Arial" w:hAnsi="Arial"/>
                <w:sz w:val="18"/>
                <w:szCs w:val="18"/>
                <w:color w:val="auto"/>
              </w:rPr>
              <w:t>Net foreign exchange income/(loss)</w:t>
            </w:r>
          </w:p>
        </w:tc>
        <w:tc>
          <w:tcPr>
            <w:tcW w:w="13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(2,474,483)</w:t>
            </w:r>
          </w:p>
        </w:tc>
        <w:tc>
          <w:tcPr>
            <w:tcW w:w="158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rPr>
              <w:t>(19,691)</w:t>
            </w:r>
          </w:p>
        </w:tc>
        <w:tc>
          <w:tcPr>
            <w:tcW w:w="130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rPr>
              <w:t>(2,454,792)</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12467%</w:t>
            </w:r>
          </w:p>
        </w:tc>
      </w:tr>
      <w:tr>
        <w:trPr>
          <w:trHeight w:val="229"/>
        </w:trPr>
        <w:tc>
          <w:tcPr>
            <w:tcW w:w="5780" w:type="dxa"/>
            <w:vAlign w:val="bottom"/>
          </w:tcPr>
          <w:p>
            <w:pPr>
              <w:spacing w:after="0"/>
              <w:rPr>
                <w:sz w:val="20"/>
                <w:szCs w:val="20"/>
                <w:color w:val="auto"/>
              </w:rPr>
            </w:pPr>
            <w:r>
              <w:rPr>
                <w:rFonts w:ascii="Arial" w:cs="Arial" w:eastAsia="Arial" w:hAnsi="Arial"/>
                <w:sz w:val="18"/>
                <w:szCs w:val="18"/>
                <w:b w:val="1"/>
                <w:bCs w:val="1"/>
                <w:color w:val="auto"/>
              </w:rPr>
              <w:t>Loss before tax</w:t>
            </w:r>
          </w:p>
        </w:tc>
        <w:tc>
          <w:tcPr>
            <w:tcW w:w="1380" w:type="dxa"/>
            <w:vAlign w:val="bottom"/>
          </w:tcPr>
          <w:p>
            <w:pPr>
              <w:jc w:val="right"/>
              <w:ind w:right="110"/>
              <w:spacing w:after="0"/>
              <w:rPr>
                <w:sz w:val="20"/>
                <w:szCs w:val="20"/>
                <w:color w:val="auto"/>
              </w:rPr>
            </w:pPr>
            <w:r>
              <w:rPr>
                <w:rFonts w:ascii="Arial" w:cs="Arial" w:eastAsia="Arial" w:hAnsi="Arial"/>
                <w:sz w:val="18"/>
                <w:szCs w:val="18"/>
                <w:b w:val="1"/>
                <w:bCs w:val="1"/>
                <w:color w:val="auto"/>
              </w:rPr>
              <w:t>(15,199,808)</w:t>
            </w:r>
          </w:p>
        </w:tc>
        <w:tc>
          <w:tcPr>
            <w:tcW w:w="1580" w:type="dxa"/>
            <w:vAlign w:val="bottom"/>
          </w:tcPr>
          <w:p>
            <w:pPr>
              <w:jc w:val="right"/>
              <w:ind w:right="310"/>
              <w:spacing w:after="0"/>
              <w:rPr>
                <w:sz w:val="20"/>
                <w:szCs w:val="20"/>
                <w:color w:val="auto"/>
              </w:rPr>
            </w:pPr>
            <w:r>
              <w:rPr>
                <w:rFonts w:ascii="Arial" w:cs="Arial" w:eastAsia="Arial" w:hAnsi="Arial"/>
                <w:sz w:val="18"/>
                <w:szCs w:val="18"/>
                <w:b w:val="1"/>
                <w:bCs w:val="1"/>
                <w:color w:val="auto"/>
              </w:rPr>
              <w:t>(5,745,424)</w:t>
            </w:r>
          </w:p>
        </w:tc>
        <w:tc>
          <w:tcPr>
            <w:tcW w:w="1300" w:type="dxa"/>
            <w:vAlign w:val="bottom"/>
          </w:tcPr>
          <w:p>
            <w:pPr>
              <w:jc w:val="right"/>
              <w:ind w:right="230"/>
              <w:spacing w:after="0"/>
              <w:rPr>
                <w:sz w:val="20"/>
                <w:szCs w:val="20"/>
                <w:color w:val="auto"/>
              </w:rPr>
            </w:pPr>
            <w:r>
              <w:rPr>
                <w:rFonts w:ascii="Arial" w:cs="Arial" w:eastAsia="Arial" w:hAnsi="Arial"/>
                <w:sz w:val="18"/>
                <w:szCs w:val="18"/>
                <w:b w:val="1"/>
                <w:bCs w:val="1"/>
                <w:color w:val="auto"/>
              </w:rPr>
              <w:t>(9,454,384)</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165%</w:t>
            </w:r>
          </w:p>
        </w:tc>
      </w:tr>
      <w:tr>
        <w:trPr>
          <w:trHeight w:val="229"/>
        </w:trPr>
        <w:tc>
          <w:tcPr>
            <w:tcW w:w="5780" w:type="dxa"/>
            <w:vAlign w:val="bottom"/>
            <w:shd w:val="clear" w:color="auto" w:fill="CFF0FC"/>
          </w:tcPr>
          <w:p>
            <w:pPr>
              <w:spacing w:after="0"/>
              <w:rPr>
                <w:sz w:val="20"/>
                <w:szCs w:val="20"/>
                <w:color w:val="auto"/>
              </w:rPr>
            </w:pPr>
            <w:r>
              <w:rPr>
                <w:rFonts w:ascii="Arial" w:cs="Arial" w:eastAsia="Arial" w:hAnsi="Arial"/>
                <w:sz w:val="18"/>
                <w:szCs w:val="18"/>
                <w:color w:val="auto"/>
              </w:rPr>
              <w:t>Income taxes</w:t>
            </w:r>
          </w:p>
        </w:tc>
        <w:tc>
          <w:tcPr>
            <w:tcW w:w="13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(2,965)</w:t>
            </w:r>
          </w:p>
        </w:tc>
        <w:tc>
          <w:tcPr>
            <w:tcW w:w="1580" w:type="dxa"/>
            <w:vAlign w:val="bottom"/>
            <w:shd w:val="clear" w:color="auto" w:fill="CFF0FC"/>
          </w:tcPr>
          <w:p>
            <w:pPr>
              <w:jc w:val="right"/>
              <w:ind w:right="37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rPr>
              <w:t>(2,965)</w:t>
            </w:r>
          </w:p>
        </w:tc>
        <w:tc>
          <w:tcPr>
            <w:tcW w:w="120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r>
      <w:tr>
        <w:trPr>
          <w:trHeight w:val="234"/>
        </w:trPr>
        <w:tc>
          <w:tcPr>
            <w:tcW w:w="5780" w:type="dxa"/>
            <w:vAlign w:val="bottom"/>
          </w:tcPr>
          <w:p>
            <w:pPr>
              <w:spacing w:after="0"/>
              <w:rPr>
                <w:sz w:val="20"/>
                <w:szCs w:val="20"/>
                <w:color w:val="auto"/>
              </w:rPr>
            </w:pPr>
            <w:r>
              <w:rPr>
                <w:rFonts w:ascii="Arial" w:cs="Arial" w:eastAsia="Arial" w:hAnsi="Arial"/>
                <w:sz w:val="18"/>
                <w:szCs w:val="18"/>
                <w:b w:val="1"/>
                <w:bCs w:val="1"/>
                <w:color w:val="auto"/>
              </w:rPr>
              <w:t>Loss for the period</w:t>
            </w:r>
          </w:p>
        </w:tc>
        <w:tc>
          <w:tcPr>
            <w:tcW w:w="1380" w:type="dxa"/>
            <w:vAlign w:val="bottom"/>
          </w:tcPr>
          <w:p>
            <w:pPr>
              <w:jc w:val="right"/>
              <w:ind w:right="110"/>
              <w:spacing w:after="0"/>
              <w:rPr>
                <w:sz w:val="20"/>
                <w:szCs w:val="20"/>
                <w:color w:val="auto"/>
              </w:rPr>
            </w:pPr>
            <w:r>
              <w:rPr>
                <w:rFonts w:ascii="Arial" w:cs="Arial" w:eastAsia="Arial" w:hAnsi="Arial"/>
                <w:sz w:val="18"/>
                <w:szCs w:val="18"/>
                <w:b w:val="1"/>
                <w:bCs w:val="1"/>
                <w:color w:val="auto"/>
              </w:rPr>
              <w:t>(15,202,773)</w:t>
            </w:r>
          </w:p>
        </w:tc>
        <w:tc>
          <w:tcPr>
            <w:tcW w:w="1580" w:type="dxa"/>
            <w:vAlign w:val="bottom"/>
          </w:tcPr>
          <w:p>
            <w:pPr>
              <w:jc w:val="right"/>
              <w:ind w:right="310"/>
              <w:spacing w:after="0"/>
              <w:rPr>
                <w:sz w:val="20"/>
                <w:szCs w:val="20"/>
                <w:color w:val="auto"/>
              </w:rPr>
            </w:pPr>
            <w:r>
              <w:rPr>
                <w:rFonts w:ascii="Arial" w:cs="Arial" w:eastAsia="Arial" w:hAnsi="Arial"/>
                <w:sz w:val="18"/>
                <w:szCs w:val="18"/>
                <w:b w:val="1"/>
                <w:bCs w:val="1"/>
                <w:color w:val="auto"/>
              </w:rPr>
              <w:t>(5,745,424)</w:t>
            </w:r>
          </w:p>
        </w:tc>
        <w:tc>
          <w:tcPr>
            <w:tcW w:w="1300" w:type="dxa"/>
            <w:vAlign w:val="bottom"/>
          </w:tcPr>
          <w:p>
            <w:pPr>
              <w:jc w:val="right"/>
              <w:ind w:right="230"/>
              <w:spacing w:after="0"/>
              <w:rPr>
                <w:sz w:val="20"/>
                <w:szCs w:val="20"/>
                <w:color w:val="auto"/>
              </w:rPr>
            </w:pPr>
            <w:r>
              <w:rPr>
                <w:rFonts w:ascii="Arial" w:cs="Arial" w:eastAsia="Arial" w:hAnsi="Arial"/>
                <w:sz w:val="18"/>
                <w:szCs w:val="18"/>
                <w:b w:val="1"/>
                <w:bCs w:val="1"/>
                <w:color w:val="auto"/>
              </w:rPr>
              <w:t>(9,457,349)</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165%</w:t>
            </w:r>
          </w:p>
        </w:tc>
      </w:tr>
    </w:tbl>
    <w:p>
      <w:pPr>
        <w:spacing w:after="0" w:line="22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Revenues</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did not generate any revenues for the three months ended June 30, 2021 and June 30, 2020.</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Research and development expenses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760" w:type="dxa"/>
            <w:vAlign w:val="bottom"/>
            <w:gridSpan w:val="5"/>
          </w:tcPr>
          <w:p>
            <w:pPr>
              <w:jc w:val="center"/>
              <w:ind w:right="260"/>
              <w:spacing w:after="0"/>
              <w:rPr>
                <w:sz w:val="20"/>
                <w:szCs w:val="20"/>
                <w:color w:val="auto"/>
              </w:rPr>
            </w:pPr>
            <w:r>
              <w:rPr>
                <w:rFonts w:ascii="Arial" w:cs="Arial" w:eastAsia="Arial" w:hAnsi="Arial"/>
                <w:sz w:val="18"/>
                <w:szCs w:val="18"/>
                <w:b w:val="1"/>
                <w:bCs w:val="1"/>
                <w:color w:val="auto"/>
                <w:w w:val="89"/>
              </w:rPr>
              <w:t>For the three months ended</w:t>
            </w:r>
          </w:p>
        </w:tc>
        <w:tc>
          <w:tcPr>
            <w:tcW w:w="1360" w:type="dxa"/>
            <w:vAlign w:val="bottom"/>
          </w:tcPr>
          <w:p>
            <w:pPr>
              <w:spacing w:after="0"/>
              <w:rPr>
                <w:sz w:val="18"/>
                <w:szCs w:val="18"/>
                <w:color w:val="auto"/>
              </w:rPr>
            </w:pPr>
          </w:p>
        </w:tc>
      </w:tr>
      <w:tr>
        <w:trPr>
          <w:trHeight w:val="234"/>
        </w:trPr>
        <w:tc>
          <w:tcPr>
            <w:tcW w:w="5740" w:type="dxa"/>
            <w:vAlign w:val="bottom"/>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3"/>
          </w:tcPr>
          <w:p>
            <w:pPr>
              <w:jc w:val="center"/>
              <w:ind w:left="810"/>
              <w:spacing w:after="0"/>
              <w:rPr>
                <w:sz w:val="20"/>
                <w:szCs w:val="20"/>
                <w:color w:val="auto"/>
              </w:rPr>
            </w:pPr>
            <w:r>
              <w:rPr>
                <w:rFonts w:ascii="Arial" w:cs="Arial" w:eastAsia="Arial" w:hAnsi="Arial"/>
                <w:sz w:val="18"/>
                <w:szCs w:val="18"/>
                <w:b w:val="1"/>
                <w:bCs w:val="1"/>
                <w:color w:val="auto"/>
                <w:w w:val="86"/>
              </w:rPr>
              <w:t>June 30</w:t>
            </w:r>
          </w:p>
        </w:tc>
        <w:tc>
          <w:tcPr>
            <w:tcW w:w="10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r>
      <w:tr>
        <w:trPr>
          <w:trHeight w:val="223"/>
        </w:trPr>
        <w:tc>
          <w:tcPr>
            <w:tcW w:w="5740" w:type="dxa"/>
            <w:vAlign w:val="bottom"/>
          </w:tcPr>
          <w:p>
            <w:pPr>
              <w:spacing w:after="0"/>
              <w:rPr>
                <w:sz w:val="19"/>
                <w:szCs w:val="19"/>
                <w:color w:val="auto"/>
              </w:rPr>
            </w:pPr>
          </w:p>
        </w:tc>
        <w:tc>
          <w:tcPr>
            <w:tcW w:w="12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Change</w:t>
            </w:r>
          </w:p>
        </w:tc>
        <w:tc>
          <w:tcPr>
            <w:tcW w:w="136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w:t>
            </w:r>
          </w:p>
        </w:tc>
      </w:tr>
      <w:tr>
        <w:trPr>
          <w:trHeight w:val="223"/>
        </w:trPr>
        <w:tc>
          <w:tcPr>
            <w:tcW w:w="57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gridSpan w:val="3"/>
          </w:tcPr>
          <w:p>
            <w:pPr>
              <w:jc w:val="center"/>
              <w:ind w:left="810"/>
              <w:spacing w:after="0"/>
              <w:rPr>
                <w:sz w:val="20"/>
                <w:szCs w:val="20"/>
                <w:color w:val="auto"/>
              </w:rPr>
            </w:pPr>
            <w:r>
              <w:rPr>
                <w:rFonts w:ascii="Arial" w:cs="Arial" w:eastAsia="Arial" w:hAnsi="Arial"/>
                <w:sz w:val="18"/>
                <w:szCs w:val="18"/>
                <w:b w:val="1"/>
                <w:bCs w:val="1"/>
                <w:color w:val="auto"/>
                <w:w w:val="97"/>
              </w:rPr>
              <w:t>(in €)</w:t>
            </w: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5740" w:type="dxa"/>
            <w:vAlign w:val="bottom"/>
            <w:shd w:val="clear" w:color="auto" w:fill="CFF0FC"/>
          </w:tcPr>
          <w:p>
            <w:pPr>
              <w:spacing w:after="0"/>
              <w:rPr>
                <w:sz w:val="20"/>
                <w:szCs w:val="20"/>
                <w:color w:val="auto"/>
              </w:rPr>
            </w:pPr>
            <w:r>
              <w:rPr>
                <w:rFonts w:ascii="Arial" w:cs="Arial" w:eastAsia="Arial" w:hAnsi="Arial"/>
                <w:sz w:val="18"/>
                <w:szCs w:val="18"/>
                <w:color w:val="auto"/>
              </w:rPr>
              <w:t>Personnel expenses</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(1,759,669)</w:t>
            </w:r>
          </w:p>
        </w:tc>
        <w:tc>
          <w:tcPr>
            <w:tcW w:w="1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(449,846)</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(1,309,823)</w:t>
            </w:r>
          </w:p>
        </w:tc>
        <w:tc>
          <w:tcPr>
            <w:tcW w:w="14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291%</w:t>
            </w:r>
          </w:p>
        </w:tc>
      </w:tr>
      <w:tr>
        <w:trPr>
          <w:trHeight w:val="230"/>
        </w:trPr>
        <w:tc>
          <w:tcPr>
            <w:tcW w:w="5740" w:type="dxa"/>
            <w:vAlign w:val="bottom"/>
          </w:tcPr>
          <w:p>
            <w:pPr>
              <w:spacing w:after="0"/>
              <w:rPr>
                <w:sz w:val="20"/>
                <w:szCs w:val="20"/>
                <w:color w:val="auto"/>
              </w:rPr>
            </w:pPr>
            <w:r>
              <w:rPr>
                <w:rFonts w:ascii="Arial" w:cs="Arial" w:eastAsia="Arial" w:hAnsi="Arial"/>
                <w:sz w:val="18"/>
                <w:szCs w:val="18"/>
                <w:color w:val="auto"/>
              </w:rPr>
              <w:t>Clinical expenses</w:t>
            </w:r>
          </w:p>
        </w:tc>
        <w:tc>
          <w:tcPr>
            <w:tcW w:w="1240" w:type="dxa"/>
            <w:vAlign w:val="bottom"/>
          </w:tcPr>
          <w:p>
            <w:pPr>
              <w:jc w:val="right"/>
              <w:spacing w:after="0"/>
              <w:rPr>
                <w:sz w:val="20"/>
                <w:szCs w:val="20"/>
                <w:color w:val="auto"/>
              </w:rPr>
            </w:pPr>
            <w:r>
              <w:rPr>
                <w:rFonts w:ascii="Arial" w:cs="Arial" w:eastAsia="Arial" w:hAnsi="Arial"/>
                <w:sz w:val="18"/>
                <w:szCs w:val="18"/>
                <w:color w:val="auto"/>
              </w:rPr>
              <w:t>(3,496,223)</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(1,517,962)</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(1,978,261)</w:t>
            </w: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130%</w:t>
            </w:r>
          </w:p>
        </w:tc>
      </w:tr>
      <w:tr>
        <w:trPr>
          <w:trHeight w:val="230"/>
        </w:trPr>
        <w:tc>
          <w:tcPr>
            <w:tcW w:w="5740" w:type="dxa"/>
            <w:vAlign w:val="bottom"/>
            <w:shd w:val="clear" w:color="auto" w:fill="CFF0FC"/>
          </w:tcPr>
          <w:p>
            <w:pPr>
              <w:spacing w:after="0"/>
              <w:rPr>
                <w:sz w:val="20"/>
                <w:szCs w:val="20"/>
                <w:color w:val="auto"/>
              </w:rPr>
            </w:pPr>
            <w:r>
              <w:rPr>
                <w:rFonts w:ascii="Arial" w:cs="Arial" w:eastAsia="Arial" w:hAnsi="Arial"/>
                <w:sz w:val="18"/>
                <w:szCs w:val="18"/>
                <w:color w:val="auto"/>
              </w:rPr>
              <w:t>Non-clinical expenses</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(1,181,660)</w:t>
            </w:r>
          </w:p>
        </w:tc>
        <w:tc>
          <w:tcPr>
            <w:tcW w:w="1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(789,610)</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(392,050)</w:t>
            </w:r>
          </w:p>
        </w:tc>
        <w:tc>
          <w:tcPr>
            <w:tcW w:w="14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w:t>
            </w:r>
          </w:p>
        </w:tc>
      </w:tr>
      <w:tr>
        <w:trPr>
          <w:trHeight w:val="230"/>
        </w:trPr>
        <w:tc>
          <w:tcPr>
            <w:tcW w:w="5740" w:type="dxa"/>
            <w:vAlign w:val="bottom"/>
          </w:tcPr>
          <w:p>
            <w:pPr>
              <w:spacing w:after="0"/>
              <w:rPr>
                <w:sz w:val="20"/>
                <w:szCs w:val="20"/>
                <w:color w:val="auto"/>
              </w:rPr>
            </w:pPr>
            <w:r>
              <w:rPr>
                <w:rFonts w:ascii="Arial" w:cs="Arial" w:eastAsia="Arial" w:hAnsi="Arial"/>
                <w:sz w:val="18"/>
                <w:szCs w:val="18"/>
                <w:color w:val="auto"/>
              </w:rPr>
              <w:t>Manufacturing costs</w:t>
            </w:r>
          </w:p>
        </w:tc>
        <w:tc>
          <w:tcPr>
            <w:tcW w:w="1240" w:type="dxa"/>
            <w:vAlign w:val="bottom"/>
          </w:tcPr>
          <w:p>
            <w:pPr>
              <w:jc w:val="right"/>
              <w:spacing w:after="0"/>
              <w:rPr>
                <w:sz w:val="20"/>
                <w:szCs w:val="20"/>
                <w:color w:val="auto"/>
              </w:rPr>
            </w:pPr>
            <w:r>
              <w:rPr>
                <w:rFonts w:ascii="Arial" w:cs="Arial" w:eastAsia="Arial" w:hAnsi="Arial"/>
                <w:sz w:val="18"/>
                <w:szCs w:val="18"/>
                <w:color w:val="auto"/>
              </w:rPr>
              <w:t>(1,601,980)</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(1,495,580)</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(106,400)</w:t>
            </w: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29"/>
        </w:trPr>
        <w:tc>
          <w:tcPr>
            <w:tcW w:w="5740" w:type="dxa"/>
            <w:vAlign w:val="bottom"/>
            <w:shd w:val="clear" w:color="auto" w:fill="CFF0FC"/>
          </w:tcPr>
          <w:p>
            <w:pPr>
              <w:spacing w:after="0"/>
              <w:rPr>
                <w:sz w:val="20"/>
                <w:szCs w:val="20"/>
                <w:color w:val="auto"/>
              </w:rPr>
            </w:pPr>
            <w:r>
              <w:rPr>
                <w:rFonts w:ascii="Arial" w:cs="Arial" w:eastAsia="Arial" w:hAnsi="Arial"/>
                <w:sz w:val="18"/>
                <w:szCs w:val="18"/>
                <w:color w:val="auto"/>
              </w:rPr>
              <w:t>Intellectual Property costs</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(21,067)</w:t>
            </w:r>
          </w:p>
        </w:tc>
        <w:tc>
          <w:tcPr>
            <w:tcW w:w="140" w:type="dxa"/>
            <w:vAlign w:val="bottom"/>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(78,845)</w:t>
            </w:r>
          </w:p>
        </w:tc>
        <w:tc>
          <w:tcPr>
            <w:tcW w:w="1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57,778</w:t>
            </w:r>
          </w:p>
        </w:tc>
        <w:tc>
          <w:tcPr>
            <w:tcW w:w="140" w:type="dxa"/>
            <w:vAlign w:val="bottom"/>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w:t>
            </w:r>
          </w:p>
        </w:tc>
      </w:tr>
      <w:tr>
        <w:trPr>
          <w:trHeight w:val="223"/>
        </w:trPr>
        <w:tc>
          <w:tcPr>
            <w:tcW w:w="5740" w:type="dxa"/>
            <w:vAlign w:val="bottom"/>
          </w:tcPr>
          <w:p>
            <w:pPr>
              <w:spacing w:after="0"/>
              <w:rPr>
                <w:sz w:val="20"/>
                <w:szCs w:val="20"/>
                <w:color w:val="auto"/>
              </w:rPr>
            </w:pPr>
            <w:r>
              <w:rPr>
                <w:rFonts w:ascii="Arial" w:cs="Arial" w:eastAsia="Arial" w:hAnsi="Arial"/>
                <w:sz w:val="18"/>
                <w:szCs w:val="18"/>
                <w:b w:val="1"/>
                <w:bCs w:val="1"/>
                <w:color w:val="auto"/>
              </w:rPr>
              <w:t>Total research and development expenses</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(8,060,599)</w:t>
            </w:r>
          </w:p>
        </w:tc>
        <w:tc>
          <w:tcPr>
            <w:tcW w:w="140" w:type="dxa"/>
            <w:vAlign w:val="bottom"/>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(4,331,843)</w:t>
            </w:r>
          </w:p>
        </w:tc>
        <w:tc>
          <w:tcPr>
            <w:tcW w:w="1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(3,728,756)</w:t>
            </w:r>
          </w:p>
        </w:tc>
        <w:tc>
          <w:tcPr>
            <w:tcW w:w="140" w:type="dxa"/>
            <w:vAlign w:val="bottom"/>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86%</w:t>
            </w:r>
          </w:p>
        </w:tc>
      </w:tr>
      <w:tr>
        <w:trPr>
          <w:trHeight w:val="20"/>
        </w:trPr>
        <w:tc>
          <w:tcPr>
            <w:tcW w:w="57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80" w:firstLine="432"/>
        <w:spacing w:after="0" w:line="255" w:lineRule="auto"/>
        <w:rPr>
          <w:sz w:val="20"/>
          <w:szCs w:val="20"/>
          <w:color w:val="auto"/>
        </w:rPr>
      </w:pPr>
      <w:r>
        <w:rPr>
          <w:rFonts w:ascii="Arial" w:cs="Arial" w:eastAsia="Arial" w:hAnsi="Arial"/>
          <w:sz w:val="18"/>
          <w:szCs w:val="18"/>
          <w:color w:val="auto"/>
        </w:rPr>
        <w:t>Research and development expenses increased from €4,331,843 for the three months ended June 30, 2020 to €8,060,599 for the three months ended June 30, 2021. The increase in the research and development expenses is mainly driven by the progress made in the PHVS416 and PHVS719 development programs in the three months ended June 30, 2021. Clinical expenses increased by €1,978,261 for the three months ended June 30, 2021 compared to the three months ended June 30, 2020 due to the expansion of the Phase 1 clinical program, the initiation of the RAPIDe-1 Phase 2 on demand study and preparations for the prophylactic program. Non-clinical expenses increased by €392,050 for the three months ended June 30, 2021 compared to the three months ended June 30, 2020 due to</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14" w:name="page15"/>
    <w:bookmarkEnd w:id="14"/>
    <w:p>
      <w:pPr>
        <w:ind w:right="120"/>
        <w:spacing w:after="0" w:line="254" w:lineRule="auto"/>
        <w:rPr>
          <w:sz w:val="20"/>
          <w:szCs w:val="20"/>
          <w:color w:val="auto"/>
        </w:rPr>
      </w:pPr>
      <w:r>
        <w:rPr>
          <w:rFonts w:ascii="Arial" w:cs="Arial" w:eastAsia="Arial" w:hAnsi="Arial"/>
          <w:sz w:val="18"/>
          <w:szCs w:val="18"/>
          <w:color w:val="auto"/>
        </w:rPr>
        <w:t>advancement of the preparations for the Phase 2 and Phase 3 clinical PHVS416 and PHVS719 programs. Manufacturing costs relating to the API and pharmaceutical development of PHVS416 and PHVS719 increased by €106,400 for the three months ended June 30, 2021 compared to the three months ended June 30, 2020 to supply both clinical programs and the Phase 3 non-clinical study package. In the personnel expenses for the three months ended June 30, 2021 and 2020 an amount of €694,085 and €288,767, respectively, was included which related to share-based payments arrangements. The increase in the share-based payment expenses is due to the new grants awarded in the three months ended June 30, 2021 and the cumulative charges of the awards already granted in the three months ended March 31, 2021. The remaining increase in personnel expenses is driven by the growth of our organization and yearly merit adjustments.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40" w:type="dxa"/>
            <w:vAlign w:val="bottom"/>
          </w:tcPr>
          <w:p>
            <w:pPr>
              <w:ind w:left="440"/>
              <w:spacing w:after="0"/>
              <w:rPr>
                <w:sz w:val="20"/>
                <w:szCs w:val="20"/>
                <w:color w:val="auto"/>
              </w:rPr>
            </w:pPr>
            <w:r>
              <w:rPr>
                <w:rFonts w:ascii="Arial" w:cs="Arial" w:eastAsia="Arial" w:hAnsi="Arial"/>
                <w:sz w:val="18"/>
                <w:szCs w:val="18"/>
                <w:i w:val="1"/>
                <w:iCs w:val="1"/>
                <w:color w:val="auto"/>
              </w:rPr>
              <w:t>General and administrative expenses</w:t>
            </w:r>
          </w:p>
        </w:tc>
        <w:tc>
          <w:tcPr>
            <w:tcW w:w="1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454"/>
        </w:trPr>
        <w:tc>
          <w:tcPr>
            <w:tcW w:w="57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760" w:type="dxa"/>
            <w:vAlign w:val="bottom"/>
            <w:gridSpan w:val="5"/>
          </w:tcPr>
          <w:p>
            <w:pPr>
              <w:jc w:val="center"/>
              <w:ind w:right="260"/>
              <w:spacing w:after="0"/>
              <w:rPr>
                <w:sz w:val="20"/>
                <w:szCs w:val="20"/>
                <w:color w:val="auto"/>
              </w:rPr>
            </w:pPr>
            <w:r>
              <w:rPr>
                <w:rFonts w:ascii="Arial" w:cs="Arial" w:eastAsia="Arial" w:hAnsi="Arial"/>
                <w:sz w:val="18"/>
                <w:szCs w:val="18"/>
                <w:b w:val="1"/>
                <w:bCs w:val="1"/>
                <w:color w:val="auto"/>
                <w:w w:val="89"/>
              </w:rPr>
              <w:t>For the three months ended</w:t>
            </w:r>
          </w:p>
        </w:tc>
        <w:tc>
          <w:tcPr>
            <w:tcW w:w="1360" w:type="dxa"/>
            <w:vAlign w:val="bottom"/>
          </w:tcPr>
          <w:p>
            <w:pPr>
              <w:spacing w:after="0"/>
              <w:rPr>
                <w:sz w:val="24"/>
                <w:szCs w:val="24"/>
                <w:color w:val="auto"/>
              </w:rPr>
            </w:pPr>
          </w:p>
        </w:tc>
      </w:tr>
      <w:tr>
        <w:trPr>
          <w:trHeight w:val="234"/>
        </w:trPr>
        <w:tc>
          <w:tcPr>
            <w:tcW w:w="5740" w:type="dxa"/>
            <w:vAlign w:val="bottom"/>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3"/>
          </w:tcPr>
          <w:p>
            <w:pPr>
              <w:jc w:val="center"/>
              <w:ind w:left="810"/>
              <w:spacing w:after="0"/>
              <w:rPr>
                <w:sz w:val="20"/>
                <w:szCs w:val="20"/>
                <w:color w:val="auto"/>
              </w:rPr>
            </w:pPr>
            <w:r>
              <w:rPr>
                <w:rFonts w:ascii="Arial" w:cs="Arial" w:eastAsia="Arial" w:hAnsi="Arial"/>
                <w:sz w:val="18"/>
                <w:szCs w:val="18"/>
                <w:b w:val="1"/>
                <w:bCs w:val="1"/>
                <w:color w:val="auto"/>
                <w:w w:val="86"/>
              </w:rPr>
              <w:t>June 30</w:t>
            </w:r>
          </w:p>
        </w:tc>
        <w:tc>
          <w:tcPr>
            <w:tcW w:w="10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r>
      <w:tr>
        <w:trPr>
          <w:trHeight w:val="223"/>
        </w:trPr>
        <w:tc>
          <w:tcPr>
            <w:tcW w:w="5740" w:type="dxa"/>
            <w:vAlign w:val="bottom"/>
          </w:tcPr>
          <w:p>
            <w:pPr>
              <w:spacing w:after="0"/>
              <w:rPr>
                <w:sz w:val="19"/>
                <w:szCs w:val="19"/>
                <w:color w:val="auto"/>
              </w:rPr>
            </w:pPr>
          </w:p>
        </w:tc>
        <w:tc>
          <w:tcPr>
            <w:tcW w:w="12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Change</w:t>
            </w:r>
          </w:p>
        </w:tc>
        <w:tc>
          <w:tcPr>
            <w:tcW w:w="136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w:t>
            </w:r>
          </w:p>
        </w:tc>
      </w:tr>
      <w:tr>
        <w:trPr>
          <w:trHeight w:val="223"/>
        </w:trPr>
        <w:tc>
          <w:tcPr>
            <w:tcW w:w="57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gridSpan w:val="3"/>
          </w:tcPr>
          <w:p>
            <w:pPr>
              <w:jc w:val="center"/>
              <w:ind w:left="810"/>
              <w:spacing w:after="0"/>
              <w:rPr>
                <w:sz w:val="20"/>
                <w:szCs w:val="20"/>
                <w:color w:val="auto"/>
              </w:rPr>
            </w:pPr>
            <w:r>
              <w:rPr>
                <w:rFonts w:ascii="Arial" w:cs="Arial" w:eastAsia="Arial" w:hAnsi="Arial"/>
                <w:sz w:val="18"/>
                <w:szCs w:val="18"/>
                <w:b w:val="1"/>
                <w:bCs w:val="1"/>
                <w:color w:val="auto"/>
                <w:w w:val="97"/>
              </w:rPr>
              <w:t>(in €)</w:t>
            </w: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29"/>
        </w:trPr>
        <w:tc>
          <w:tcPr>
            <w:tcW w:w="5740" w:type="dxa"/>
            <w:vAlign w:val="bottom"/>
            <w:shd w:val="clear" w:color="auto" w:fill="CFF0FC"/>
          </w:tcPr>
          <w:p>
            <w:pPr>
              <w:spacing w:after="0"/>
              <w:rPr>
                <w:sz w:val="20"/>
                <w:szCs w:val="20"/>
                <w:color w:val="auto"/>
              </w:rPr>
            </w:pPr>
            <w:r>
              <w:rPr>
                <w:rFonts w:ascii="Arial" w:cs="Arial" w:eastAsia="Arial" w:hAnsi="Arial"/>
                <w:sz w:val="18"/>
                <w:szCs w:val="18"/>
                <w:color w:val="auto"/>
              </w:rPr>
              <w:t>Personnel expenses</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(1,795,721)</w:t>
            </w:r>
          </w:p>
        </w:tc>
        <w:tc>
          <w:tcPr>
            <w:tcW w:w="1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(453,479)</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(1,342,242)</w:t>
            </w:r>
          </w:p>
        </w:tc>
        <w:tc>
          <w:tcPr>
            <w:tcW w:w="14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w:t>
            </w:r>
          </w:p>
        </w:tc>
      </w:tr>
      <w:tr>
        <w:trPr>
          <w:trHeight w:val="229"/>
        </w:trPr>
        <w:tc>
          <w:tcPr>
            <w:tcW w:w="5740" w:type="dxa"/>
            <w:vAlign w:val="bottom"/>
          </w:tcPr>
          <w:p>
            <w:pPr>
              <w:spacing w:after="0"/>
              <w:rPr>
                <w:sz w:val="20"/>
                <w:szCs w:val="20"/>
                <w:color w:val="auto"/>
              </w:rPr>
            </w:pPr>
            <w:r>
              <w:rPr>
                <w:rFonts w:ascii="Arial" w:cs="Arial" w:eastAsia="Arial" w:hAnsi="Arial"/>
                <w:sz w:val="18"/>
                <w:szCs w:val="18"/>
                <w:color w:val="auto"/>
              </w:rPr>
              <w:t>Consulting fees</w:t>
            </w:r>
          </w:p>
        </w:tc>
        <w:tc>
          <w:tcPr>
            <w:tcW w:w="1240" w:type="dxa"/>
            <w:vAlign w:val="bottom"/>
          </w:tcPr>
          <w:p>
            <w:pPr>
              <w:jc w:val="right"/>
              <w:spacing w:after="0"/>
              <w:rPr>
                <w:sz w:val="20"/>
                <w:szCs w:val="20"/>
                <w:color w:val="auto"/>
              </w:rPr>
            </w:pPr>
            <w:r>
              <w:rPr>
                <w:rFonts w:ascii="Arial" w:cs="Arial" w:eastAsia="Arial" w:hAnsi="Arial"/>
                <w:sz w:val="18"/>
                <w:szCs w:val="18"/>
                <w:color w:val="auto"/>
              </w:rPr>
              <w:t>(161,559)</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(221,307)</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59,748</w:t>
            </w: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30"/>
        </w:trPr>
        <w:tc>
          <w:tcPr>
            <w:tcW w:w="5740" w:type="dxa"/>
            <w:vAlign w:val="bottom"/>
            <w:shd w:val="clear" w:color="auto" w:fill="CFF0FC"/>
          </w:tcPr>
          <w:p>
            <w:pPr>
              <w:spacing w:after="0"/>
              <w:rPr>
                <w:sz w:val="20"/>
                <w:szCs w:val="20"/>
                <w:color w:val="auto"/>
              </w:rPr>
            </w:pPr>
            <w:r>
              <w:rPr>
                <w:rFonts w:ascii="Arial" w:cs="Arial" w:eastAsia="Arial" w:hAnsi="Arial"/>
                <w:sz w:val="18"/>
                <w:szCs w:val="18"/>
                <w:color w:val="auto"/>
              </w:rPr>
              <w:t>Professional fees</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(324,793)</w:t>
            </w:r>
          </w:p>
        </w:tc>
        <w:tc>
          <w:tcPr>
            <w:tcW w:w="1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(249,065)</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(75,728)</w:t>
            </w:r>
          </w:p>
        </w:tc>
        <w:tc>
          <w:tcPr>
            <w:tcW w:w="14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w:t>
            </w:r>
          </w:p>
        </w:tc>
      </w:tr>
      <w:tr>
        <w:trPr>
          <w:trHeight w:val="229"/>
        </w:trPr>
        <w:tc>
          <w:tcPr>
            <w:tcW w:w="5740" w:type="dxa"/>
            <w:vAlign w:val="bottom"/>
          </w:tcPr>
          <w:p>
            <w:pPr>
              <w:spacing w:after="0"/>
              <w:rPr>
                <w:sz w:val="20"/>
                <w:szCs w:val="20"/>
                <w:color w:val="auto"/>
              </w:rPr>
            </w:pPr>
            <w:r>
              <w:rPr>
                <w:rFonts w:ascii="Arial" w:cs="Arial" w:eastAsia="Arial" w:hAnsi="Arial"/>
                <w:sz w:val="18"/>
                <w:szCs w:val="18"/>
                <w:color w:val="auto"/>
              </w:rPr>
              <w:t>Accounting, tax and auditing fees</w:t>
            </w:r>
          </w:p>
        </w:tc>
        <w:tc>
          <w:tcPr>
            <w:tcW w:w="1240" w:type="dxa"/>
            <w:vAlign w:val="bottom"/>
          </w:tcPr>
          <w:p>
            <w:pPr>
              <w:jc w:val="right"/>
              <w:spacing w:after="0"/>
              <w:rPr>
                <w:sz w:val="20"/>
                <w:szCs w:val="20"/>
                <w:color w:val="auto"/>
              </w:rPr>
            </w:pPr>
            <w:r>
              <w:rPr>
                <w:rFonts w:ascii="Arial" w:cs="Arial" w:eastAsia="Arial" w:hAnsi="Arial"/>
                <w:sz w:val="18"/>
                <w:szCs w:val="18"/>
                <w:color w:val="auto"/>
              </w:rPr>
              <w:t>(648,626)</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(320,271)</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(328,355)</w:t>
            </w: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29"/>
        </w:trPr>
        <w:tc>
          <w:tcPr>
            <w:tcW w:w="5740" w:type="dxa"/>
            <w:vAlign w:val="bottom"/>
            <w:shd w:val="clear" w:color="auto" w:fill="CFF0FC"/>
          </w:tcPr>
          <w:p>
            <w:pPr>
              <w:spacing w:after="0"/>
              <w:rPr>
                <w:sz w:val="20"/>
                <w:szCs w:val="20"/>
                <w:color w:val="auto"/>
              </w:rPr>
            </w:pPr>
            <w:r>
              <w:rPr>
                <w:rFonts w:ascii="Arial" w:cs="Arial" w:eastAsia="Arial" w:hAnsi="Arial"/>
                <w:sz w:val="18"/>
                <w:szCs w:val="18"/>
                <w:color w:val="auto"/>
              </w:rPr>
              <w:t>Facilities, communication and office expenses</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(1,510,566)</w:t>
            </w:r>
          </w:p>
        </w:tc>
        <w:tc>
          <w:tcPr>
            <w:tcW w:w="1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(131,709)</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(1,378,857)</w:t>
            </w:r>
          </w:p>
        </w:tc>
        <w:tc>
          <w:tcPr>
            <w:tcW w:w="14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1047%</w:t>
            </w:r>
          </w:p>
        </w:tc>
      </w:tr>
      <w:tr>
        <w:trPr>
          <w:trHeight w:val="230"/>
        </w:trPr>
        <w:tc>
          <w:tcPr>
            <w:tcW w:w="5740" w:type="dxa"/>
            <w:vAlign w:val="bottom"/>
          </w:tcPr>
          <w:p>
            <w:pPr>
              <w:spacing w:after="0"/>
              <w:rPr>
                <w:sz w:val="20"/>
                <w:szCs w:val="20"/>
                <w:color w:val="auto"/>
              </w:rPr>
            </w:pPr>
            <w:r>
              <w:rPr>
                <w:rFonts w:ascii="Arial" w:cs="Arial" w:eastAsia="Arial" w:hAnsi="Arial"/>
                <w:sz w:val="18"/>
                <w:szCs w:val="18"/>
                <w:color w:val="auto"/>
              </w:rPr>
              <w:t>Travel expenses</w:t>
            </w:r>
          </w:p>
        </w:tc>
        <w:tc>
          <w:tcPr>
            <w:tcW w:w="1240" w:type="dxa"/>
            <w:vAlign w:val="bottom"/>
          </w:tcPr>
          <w:p>
            <w:pPr>
              <w:jc w:val="right"/>
              <w:spacing w:after="0"/>
              <w:rPr>
                <w:sz w:val="20"/>
                <w:szCs w:val="20"/>
                <w:color w:val="auto"/>
              </w:rPr>
            </w:pPr>
            <w:r>
              <w:rPr>
                <w:rFonts w:ascii="Arial" w:cs="Arial" w:eastAsia="Arial" w:hAnsi="Arial"/>
                <w:sz w:val="18"/>
                <w:szCs w:val="18"/>
                <w:color w:val="auto"/>
              </w:rPr>
              <w:t>(2,563)</w:t>
            </w:r>
          </w:p>
        </w:tc>
        <w:tc>
          <w:tcPr>
            <w:tcW w:w="140" w:type="dxa"/>
            <w:vAlign w:val="bottom"/>
          </w:tcPr>
          <w:p>
            <w:pPr>
              <w:spacing w:after="0"/>
              <w:rPr>
                <w:sz w:val="19"/>
                <w:szCs w:val="19"/>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742</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(3,305)</w:t>
            </w: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(445)%</w:t>
            </w:r>
          </w:p>
        </w:tc>
      </w:tr>
      <w:tr>
        <w:trPr>
          <w:trHeight w:val="229"/>
        </w:trPr>
        <w:tc>
          <w:tcPr>
            <w:tcW w:w="5740" w:type="dxa"/>
            <w:vAlign w:val="bottom"/>
            <w:shd w:val="clear" w:color="auto" w:fill="CFF0FC"/>
          </w:tcPr>
          <w:p>
            <w:pPr>
              <w:spacing w:after="0"/>
              <w:rPr>
                <w:sz w:val="20"/>
                <w:szCs w:val="20"/>
                <w:color w:val="auto"/>
              </w:rPr>
            </w:pPr>
            <w:r>
              <w:rPr>
                <w:rFonts w:ascii="Arial" w:cs="Arial" w:eastAsia="Arial" w:hAnsi="Arial"/>
                <w:sz w:val="18"/>
                <w:szCs w:val="18"/>
                <w:color w:val="auto"/>
              </w:rPr>
              <w:t>Other expenses</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(220,898)</w:t>
            </w:r>
          </w:p>
        </w:tc>
        <w:tc>
          <w:tcPr>
            <w:tcW w:w="140" w:type="dxa"/>
            <w:vAlign w:val="bottom"/>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(18,801)</w:t>
            </w:r>
          </w:p>
        </w:tc>
        <w:tc>
          <w:tcPr>
            <w:tcW w:w="1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(202,097)</w:t>
            </w:r>
          </w:p>
        </w:tc>
        <w:tc>
          <w:tcPr>
            <w:tcW w:w="140" w:type="dxa"/>
            <w:vAlign w:val="bottom"/>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1075%</w:t>
            </w:r>
          </w:p>
        </w:tc>
      </w:tr>
      <w:tr>
        <w:trPr>
          <w:trHeight w:val="223"/>
        </w:trPr>
        <w:tc>
          <w:tcPr>
            <w:tcW w:w="5740" w:type="dxa"/>
            <w:vAlign w:val="bottom"/>
          </w:tcPr>
          <w:p>
            <w:pPr>
              <w:spacing w:after="0"/>
              <w:rPr>
                <w:sz w:val="20"/>
                <w:szCs w:val="20"/>
                <w:color w:val="auto"/>
              </w:rPr>
            </w:pPr>
            <w:r>
              <w:rPr>
                <w:rFonts w:ascii="Arial" w:cs="Arial" w:eastAsia="Arial" w:hAnsi="Arial"/>
                <w:sz w:val="18"/>
                <w:szCs w:val="18"/>
                <w:b w:val="1"/>
                <w:bCs w:val="1"/>
                <w:color w:val="auto"/>
              </w:rPr>
              <w:t>Total general and administrative expenses</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(4,664,726)</w:t>
            </w:r>
          </w:p>
        </w:tc>
        <w:tc>
          <w:tcPr>
            <w:tcW w:w="140" w:type="dxa"/>
            <w:vAlign w:val="bottom"/>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(1,393,890)</w:t>
            </w:r>
          </w:p>
        </w:tc>
        <w:tc>
          <w:tcPr>
            <w:tcW w:w="1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(3,270,836)</w:t>
            </w:r>
          </w:p>
        </w:tc>
        <w:tc>
          <w:tcPr>
            <w:tcW w:w="140" w:type="dxa"/>
            <w:vAlign w:val="bottom"/>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235%</w:t>
            </w:r>
          </w:p>
        </w:tc>
      </w:tr>
      <w:tr>
        <w:trPr>
          <w:trHeight w:val="20"/>
        </w:trPr>
        <w:tc>
          <w:tcPr>
            <w:tcW w:w="57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80" w:firstLine="432"/>
        <w:spacing w:after="0" w:line="254" w:lineRule="auto"/>
        <w:rPr>
          <w:sz w:val="20"/>
          <w:szCs w:val="20"/>
          <w:color w:val="auto"/>
        </w:rPr>
      </w:pPr>
      <w:r>
        <w:rPr>
          <w:rFonts w:ascii="Arial" w:cs="Arial" w:eastAsia="Arial" w:hAnsi="Arial"/>
          <w:sz w:val="18"/>
          <w:szCs w:val="18"/>
          <w:color w:val="auto"/>
        </w:rPr>
        <w:t>General and administrative expenses increased from €1,393,890 for the three months ended June 30, 2020 to €4,664,726 for the three months ended June 30, 2021. The increase in general and administrative expenses was mainly driven by the growth of the group in connection with the completion of the IPO, which also led to additional expenses inherent to being a public company. In the personnel expenses for the three months ended June 30, 2021 and 2020 an amount of €1,078,654 and €77,648 respectively, was included which related to share-based payments arrangements. The increase in the share-based payment expenses is due to the new grants made in three months ended June 30, 2021 and the cumulative charges of the awards already granted in the three months ended March 31, 2021. The remaining increase in personnel expenses is driven by the growth of our organization and yearly merit adjustments.</w:t>
      </w:r>
    </w:p>
    <w:p>
      <w:pPr>
        <w:spacing w:after="0" w:line="222"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Net foreign exchange income/(loss)</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Net foreign exchange (loss) for the three months ended June 30, 2021 and 2020 were (€2,474,483) and (€19,691) respectively, a change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(€2,454,792). The amount mainly relates to unrealized foreign exchange income, which is the result of translating the group’s bank balances held in USD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EUR. The foreign exchange rates developed unfavorably for the Company in the second quarter 2021.</w:t>
      </w:r>
    </w:p>
    <w:p>
      <w:pPr>
        <w:spacing w:after="0" w:line="238"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Income taxes</w:t>
      </w:r>
    </w:p>
    <w:p>
      <w:pPr>
        <w:spacing w:after="0" w:line="198"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We have a history of losses. The tax charge over the three months ended June 30, 2021 relates to the Company’s US subsidiary as the result of a cost-plus agreement between the US entity and the group’s principal entity resulting in a taxable profit in the United States of America, with no taxable income over the three months ended June 30, 2020. We have tax loss carry-forwards of approximately €74.7 million (June 30, 2020: €12.6 million), that are available for offsetting against future taxable profits of the companies in which the losses arose. Under Dutch tax law, for prior periods, the expiration period denoted 6/9 years for The Netherlands, but as of the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ind w:right="280"/>
        <w:spacing w:after="0" w:line="277" w:lineRule="auto"/>
        <w:rPr>
          <w:sz w:val="20"/>
          <w:szCs w:val="20"/>
          <w:color w:val="auto"/>
        </w:rPr>
      </w:pPr>
      <w:r>
        <w:rPr>
          <w:rFonts w:ascii="Arial" w:cs="Arial" w:eastAsia="Arial" w:hAnsi="Arial"/>
          <w:sz w:val="18"/>
          <w:szCs w:val="18"/>
          <w:color w:val="auto"/>
        </w:rPr>
        <w:t>second half of 2021 it has been substantively enacted that there is no longer an expiration period applicable to the Dutch losses. Under Swiss law, losses can be offset against future income or capital gains for seven years.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40" w:type="dxa"/>
            <w:vAlign w:val="bottom"/>
          </w:tcPr>
          <w:p>
            <w:pPr>
              <w:ind w:left="440"/>
              <w:spacing w:after="0"/>
              <w:rPr>
                <w:sz w:val="20"/>
                <w:szCs w:val="20"/>
                <w:color w:val="auto"/>
              </w:rPr>
            </w:pPr>
            <w:r>
              <w:rPr>
                <w:rFonts w:ascii="Arial" w:cs="Arial" w:eastAsia="Arial" w:hAnsi="Arial"/>
                <w:sz w:val="18"/>
                <w:szCs w:val="18"/>
                <w:i w:val="1"/>
                <w:iCs w:val="1"/>
                <w:color w:val="auto"/>
              </w:rPr>
              <w:t>Comparison of the six months ended June 30, 2021 and 2020</w:t>
            </w:r>
          </w:p>
        </w:tc>
        <w:tc>
          <w:tcPr>
            <w:tcW w:w="14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454"/>
        </w:trPr>
        <w:tc>
          <w:tcPr>
            <w:tcW w:w="57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840" w:type="dxa"/>
            <w:vAlign w:val="bottom"/>
            <w:gridSpan w:val="2"/>
          </w:tcPr>
          <w:p>
            <w:pPr>
              <w:jc w:val="center"/>
              <w:ind w:right="370"/>
              <w:spacing w:after="0"/>
              <w:rPr>
                <w:sz w:val="20"/>
                <w:szCs w:val="20"/>
                <w:color w:val="auto"/>
              </w:rPr>
            </w:pPr>
            <w:r>
              <w:rPr>
                <w:rFonts w:ascii="Arial" w:cs="Arial" w:eastAsia="Arial" w:hAnsi="Arial"/>
                <w:sz w:val="18"/>
                <w:szCs w:val="18"/>
                <w:b w:val="1"/>
                <w:bCs w:val="1"/>
                <w:color w:val="auto"/>
                <w:w w:val="88"/>
              </w:rPr>
              <w:t>For the six months ended</w:t>
            </w:r>
          </w:p>
        </w:tc>
        <w:tc>
          <w:tcPr>
            <w:tcW w:w="1220" w:type="dxa"/>
            <w:vAlign w:val="bottom"/>
          </w:tcPr>
          <w:p>
            <w:pPr>
              <w:spacing w:after="0"/>
              <w:rPr>
                <w:sz w:val="24"/>
                <w:szCs w:val="24"/>
                <w:color w:val="auto"/>
              </w:rPr>
            </w:pPr>
          </w:p>
        </w:tc>
      </w:tr>
      <w:tr>
        <w:trPr>
          <w:trHeight w:val="234"/>
        </w:trPr>
        <w:tc>
          <w:tcPr>
            <w:tcW w:w="5740" w:type="dxa"/>
            <w:vAlign w:val="bottom"/>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center"/>
              <w:ind w:left="770"/>
              <w:spacing w:after="0"/>
              <w:rPr>
                <w:sz w:val="20"/>
                <w:szCs w:val="20"/>
                <w:color w:val="auto"/>
              </w:rPr>
            </w:pPr>
            <w:r>
              <w:rPr>
                <w:rFonts w:ascii="Arial" w:cs="Arial" w:eastAsia="Arial" w:hAnsi="Arial"/>
                <w:sz w:val="18"/>
                <w:szCs w:val="18"/>
                <w:b w:val="1"/>
                <w:bCs w:val="1"/>
                <w:color w:val="auto"/>
                <w:w w:val="86"/>
              </w:rPr>
              <w:t>June 30</w:t>
            </w:r>
          </w:p>
        </w:tc>
        <w:tc>
          <w:tcPr>
            <w:tcW w:w="13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r>
      <w:tr>
        <w:trPr>
          <w:trHeight w:val="223"/>
        </w:trPr>
        <w:tc>
          <w:tcPr>
            <w:tcW w:w="5740" w:type="dxa"/>
            <w:vAlign w:val="bottom"/>
          </w:tcPr>
          <w:p>
            <w:pPr>
              <w:spacing w:after="0"/>
              <w:rPr>
                <w:sz w:val="19"/>
                <w:szCs w:val="19"/>
                <w:color w:val="auto"/>
              </w:rPr>
            </w:pPr>
          </w:p>
        </w:tc>
        <w:tc>
          <w:tcPr>
            <w:tcW w:w="144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2021</w:t>
            </w:r>
          </w:p>
        </w:tc>
        <w:tc>
          <w:tcPr>
            <w:tcW w:w="152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2020</w:t>
            </w:r>
          </w:p>
        </w:tc>
        <w:tc>
          <w:tcPr>
            <w:tcW w:w="132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w w:val="96"/>
              </w:rPr>
              <w:t>Change</w:t>
            </w:r>
          </w:p>
        </w:tc>
        <w:tc>
          <w:tcPr>
            <w:tcW w:w="122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w:t>
            </w:r>
          </w:p>
        </w:tc>
      </w:tr>
      <w:tr>
        <w:trPr>
          <w:trHeight w:val="223"/>
        </w:trPr>
        <w:tc>
          <w:tcPr>
            <w:tcW w:w="57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520" w:type="dxa"/>
            <w:vAlign w:val="bottom"/>
          </w:tcPr>
          <w:p>
            <w:pPr>
              <w:jc w:val="center"/>
              <w:ind w:left="770"/>
              <w:spacing w:after="0"/>
              <w:rPr>
                <w:sz w:val="20"/>
                <w:szCs w:val="20"/>
                <w:color w:val="auto"/>
              </w:rPr>
            </w:pPr>
            <w:r>
              <w:rPr>
                <w:rFonts w:ascii="Arial" w:cs="Arial" w:eastAsia="Arial" w:hAnsi="Arial"/>
                <w:sz w:val="18"/>
                <w:szCs w:val="18"/>
                <w:b w:val="1"/>
                <w:bCs w:val="1"/>
                <w:color w:val="auto"/>
                <w:w w:val="97"/>
              </w:rPr>
              <w:t>(in €)</w:t>
            </w:r>
          </w:p>
        </w:tc>
        <w:tc>
          <w:tcPr>
            <w:tcW w:w="132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9"/>
        </w:trPr>
        <w:tc>
          <w:tcPr>
            <w:tcW w:w="574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 expenses</w:t>
            </w:r>
          </w:p>
        </w:tc>
        <w:tc>
          <w:tcPr>
            <w:tcW w:w="14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(16,132,053)</w:t>
            </w:r>
          </w:p>
        </w:tc>
        <w:tc>
          <w:tcPr>
            <w:tcW w:w="152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rPr>
              <w:t>(6,735,245)</w:t>
            </w:r>
          </w:p>
        </w:tc>
        <w:tc>
          <w:tcPr>
            <w:tcW w:w="132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rPr>
              <w:t>(9,396,808)</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w:t>
            </w:r>
          </w:p>
        </w:tc>
      </w:tr>
      <w:tr>
        <w:trPr>
          <w:trHeight w:val="229"/>
        </w:trPr>
        <w:tc>
          <w:tcPr>
            <w:tcW w:w="574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440" w:type="dxa"/>
            <w:vAlign w:val="bottom"/>
          </w:tcPr>
          <w:p>
            <w:pPr>
              <w:jc w:val="right"/>
              <w:ind w:right="150"/>
              <w:spacing w:after="0"/>
              <w:rPr>
                <w:sz w:val="20"/>
                <w:szCs w:val="20"/>
                <w:color w:val="auto"/>
              </w:rPr>
            </w:pPr>
            <w:r>
              <w:rPr>
                <w:rFonts w:ascii="Arial" w:cs="Arial" w:eastAsia="Arial" w:hAnsi="Arial"/>
                <w:sz w:val="18"/>
                <w:szCs w:val="18"/>
                <w:color w:val="auto"/>
              </w:rPr>
              <w:t>(8,436,415)</w:t>
            </w:r>
          </w:p>
        </w:tc>
        <w:tc>
          <w:tcPr>
            <w:tcW w:w="1520" w:type="dxa"/>
            <w:vAlign w:val="bottom"/>
          </w:tcPr>
          <w:p>
            <w:pPr>
              <w:jc w:val="right"/>
              <w:ind w:right="290"/>
              <w:spacing w:after="0"/>
              <w:rPr>
                <w:sz w:val="20"/>
                <w:szCs w:val="20"/>
                <w:color w:val="auto"/>
              </w:rPr>
            </w:pPr>
            <w:r>
              <w:rPr>
                <w:rFonts w:ascii="Arial" w:cs="Arial" w:eastAsia="Arial" w:hAnsi="Arial"/>
                <w:sz w:val="18"/>
                <w:szCs w:val="18"/>
                <w:color w:val="auto"/>
              </w:rPr>
              <w:t>(2,236,450)</w:t>
            </w:r>
          </w:p>
        </w:tc>
        <w:tc>
          <w:tcPr>
            <w:tcW w:w="1320" w:type="dxa"/>
            <w:vAlign w:val="bottom"/>
          </w:tcPr>
          <w:p>
            <w:pPr>
              <w:jc w:val="right"/>
              <w:ind w:right="230"/>
              <w:spacing w:after="0"/>
              <w:rPr>
                <w:sz w:val="20"/>
                <w:szCs w:val="20"/>
                <w:color w:val="auto"/>
              </w:rPr>
            </w:pPr>
            <w:r>
              <w:rPr>
                <w:rFonts w:ascii="Arial" w:cs="Arial" w:eastAsia="Arial" w:hAnsi="Arial"/>
                <w:sz w:val="18"/>
                <w:szCs w:val="18"/>
                <w:color w:val="auto"/>
              </w:rPr>
              <w:t>(6,199,965)</w:t>
            </w:r>
          </w:p>
        </w:tc>
        <w:tc>
          <w:tcPr>
            <w:tcW w:w="1220" w:type="dxa"/>
            <w:vAlign w:val="bottom"/>
          </w:tcPr>
          <w:p>
            <w:pPr>
              <w:jc w:val="right"/>
              <w:spacing w:after="0"/>
              <w:rPr>
                <w:sz w:val="20"/>
                <w:szCs w:val="20"/>
                <w:color w:val="auto"/>
              </w:rPr>
            </w:pPr>
            <w:r>
              <w:rPr>
                <w:rFonts w:ascii="Arial" w:cs="Arial" w:eastAsia="Arial" w:hAnsi="Arial"/>
                <w:sz w:val="18"/>
                <w:szCs w:val="18"/>
                <w:color w:val="auto"/>
              </w:rPr>
              <w:t>277%</w:t>
            </w:r>
          </w:p>
        </w:tc>
      </w:tr>
      <w:tr>
        <w:trPr>
          <w:trHeight w:val="230"/>
        </w:trPr>
        <w:tc>
          <w:tcPr>
            <w:tcW w:w="57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Total operating expenses</w:t>
            </w:r>
          </w:p>
        </w:tc>
        <w:tc>
          <w:tcPr>
            <w:tcW w:w="1440" w:type="dxa"/>
            <w:vAlign w:val="bottom"/>
            <w:shd w:val="clear" w:color="auto" w:fill="CFF0FC"/>
          </w:tcPr>
          <w:p>
            <w:pPr>
              <w:jc w:val="right"/>
              <w:ind w:right="150"/>
              <w:spacing w:after="0"/>
              <w:rPr>
                <w:sz w:val="20"/>
                <w:szCs w:val="20"/>
                <w:color w:val="auto"/>
              </w:rPr>
            </w:pPr>
            <w:r>
              <w:rPr>
                <w:rFonts w:ascii="Arial" w:cs="Arial" w:eastAsia="Arial" w:hAnsi="Arial"/>
                <w:sz w:val="18"/>
                <w:szCs w:val="18"/>
                <w:b w:val="1"/>
                <w:bCs w:val="1"/>
                <w:color w:val="auto"/>
              </w:rPr>
              <w:t>(24,568,468)</w:t>
            </w:r>
          </w:p>
        </w:tc>
        <w:tc>
          <w:tcPr>
            <w:tcW w:w="1520" w:type="dxa"/>
            <w:vAlign w:val="bottom"/>
            <w:shd w:val="clear" w:color="auto" w:fill="CFF0FC"/>
          </w:tcPr>
          <w:p>
            <w:pPr>
              <w:jc w:val="right"/>
              <w:ind w:right="290"/>
              <w:spacing w:after="0"/>
              <w:rPr>
                <w:sz w:val="20"/>
                <w:szCs w:val="20"/>
                <w:color w:val="auto"/>
              </w:rPr>
            </w:pPr>
            <w:r>
              <w:rPr>
                <w:rFonts w:ascii="Arial" w:cs="Arial" w:eastAsia="Arial" w:hAnsi="Arial"/>
                <w:sz w:val="18"/>
                <w:szCs w:val="18"/>
                <w:b w:val="1"/>
                <w:bCs w:val="1"/>
                <w:color w:val="auto"/>
              </w:rPr>
              <w:t>(8,971,695)</w:t>
            </w:r>
          </w:p>
        </w:tc>
        <w:tc>
          <w:tcPr>
            <w:tcW w:w="1320" w:type="dxa"/>
            <w:vAlign w:val="bottom"/>
            <w:shd w:val="clear" w:color="auto" w:fill="CFF0FC"/>
          </w:tcPr>
          <w:p>
            <w:pPr>
              <w:jc w:val="right"/>
              <w:ind w:right="230"/>
              <w:spacing w:after="0"/>
              <w:rPr>
                <w:sz w:val="20"/>
                <w:szCs w:val="20"/>
                <w:color w:val="auto"/>
              </w:rPr>
            </w:pPr>
            <w:r>
              <w:rPr>
                <w:rFonts w:ascii="Arial" w:cs="Arial" w:eastAsia="Arial" w:hAnsi="Arial"/>
                <w:sz w:val="18"/>
                <w:szCs w:val="18"/>
                <w:b w:val="1"/>
                <w:bCs w:val="1"/>
                <w:color w:val="auto"/>
                <w:w w:val="95"/>
              </w:rPr>
              <w:t>(15,596,773)</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174%</w:t>
            </w:r>
          </w:p>
        </w:tc>
      </w:tr>
      <w:tr>
        <w:trPr>
          <w:trHeight w:val="229"/>
        </w:trPr>
        <w:tc>
          <w:tcPr>
            <w:tcW w:w="5740" w:type="dxa"/>
            <w:vAlign w:val="bottom"/>
          </w:tcPr>
          <w:p>
            <w:pPr>
              <w:spacing w:after="0"/>
              <w:rPr>
                <w:sz w:val="20"/>
                <w:szCs w:val="20"/>
                <w:color w:val="auto"/>
              </w:rPr>
            </w:pPr>
            <w:r>
              <w:rPr>
                <w:rFonts w:ascii="Arial" w:cs="Arial" w:eastAsia="Arial" w:hAnsi="Arial"/>
                <w:sz w:val="18"/>
                <w:szCs w:val="18"/>
                <w:b w:val="1"/>
                <w:bCs w:val="1"/>
                <w:color w:val="auto"/>
              </w:rPr>
              <w:t>Operating loss</w:t>
            </w:r>
          </w:p>
        </w:tc>
        <w:tc>
          <w:tcPr>
            <w:tcW w:w="1440" w:type="dxa"/>
            <w:vAlign w:val="bottom"/>
          </w:tcPr>
          <w:p>
            <w:pPr>
              <w:jc w:val="right"/>
              <w:ind w:right="150"/>
              <w:spacing w:after="0"/>
              <w:rPr>
                <w:sz w:val="20"/>
                <w:szCs w:val="20"/>
                <w:color w:val="auto"/>
              </w:rPr>
            </w:pPr>
            <w:r>
              <w:rPr>
                <w:rFonts w:ascii="Arial" w:cs="Arial" w:eastAsia="Arial" w:hAnsi="Arial"/>
                <w:sz w:val="18"/>
                <w:szCs w:val="18"/>
                <w:b w:val="1"/>
                <w:bCs w:val="1"/>
                <w:color w:val="auto"/>
              </w:rPr>
              <w:t>(24,568,468)</w:t>
            </w:r>
          </w:p>
        </w:tc>
        <w:tc>
          <w:tcPr>
            <w:tcW w:w="1520" w:type="dxa"/>
            <w:vAlign w:val="bottom"/>
          </w:tcPr>
          <w:p>
            <w:pPr>
              <w:jc w:val="right"/>
              <w:ind w:right="290"/>
              <w:spacing w:after="0"/>
              <w:rPr>
                <w:sz w:val="20"/>
                <w:szCs w:val="20"/>
                <w:color w:val="auto"/>
              </w:rPr>
            </w:pPr>
            <w:r>
              <w:rPr>
                <w:rFonts w:ascii="Arial" w:cs="Arial" w:eastAsia="Arial" w:hAnsi="Arial"/>
                <w:sz w:val="18"/>
                <w:szCs w:val="18"/>
                <w:b w:val="1"/>
                <w:bCs w:val="1"/>
                <w:color w:val="auto"/>
              </w:rPr>
              <w:t>(8,971,695)</w:t>
            </w:r>
          </w:p>
        </w:tc>
        <w:tc>
          <w:tcPr>
            <w:tcW w:w="1320" w:type="dxa"/>
            <w:vAlign w:val="bottom"/>
          </w:tcPr>
          <w:p>
            <w:pPr>
              <w:jc w:val="right"/>
              <w:ind w:right="230"/>
              <w:spacing w:after="0"/>
              <w:rPr>
                <w:sz w:val="20"/>
                <w:szCs w:val="20"/>
                <w:color w:val="auto"/>
              </w:rPr>
            </w:pPr>
            <w:r>
              <w:rPr>
                <w:rFonts w:ascii="Arial" w:cs="Arial" w:eastAsia="Arial" w:hAnsi="Arial"/>
                <w:sz w:val="18"/>
                <w:szCs w:val="18"/>
                <w:b w:val="1"/>
                <w:bCs w:val="1"/>
                <w:color w:val="auto"/>
                <w:w w:val="95"/>
              </w:rPr>
              <w:t>(15,596,773)</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174%</w:t>
            </w:r>
          </w:p>
        </w:tc>
      </w:tr>
      <w:tr>
        <w:trPr>
          <w:trHeight w:val="230"/>
        </w:trPr>
        <w:tc>
          <w:tcPr>
            <w:tcW w:w="5740" w:type="dxa"/>
            <w:vAlign w:val="bottom"/>
            <w:shd w:val="clear" w:color="auto" w:fill="CFF0FC"/>
          </w:tcPr>
          <w:p>
            <w:pPr>
              <w:spacing w:after="0"/>
              <w:rPr>
                <w:sz w:val="20"/>
                <w:szCs w:val="20"/>
                <w:color w:val="auto"/>
              </w:rPr>
            </w:pPr>
            <w:r>
              <w:rPr>
                <w:rFonts w:ascii="Arial" w:cs="Arial" w:eastAsia="Arial" w:hAnsi="Arial"/>
                <w:sz w:val="18"/>
                <w:szCs w:val="18"/>
                <w:color w:val="auto"/>
              </w:rPr>
              <w:t>Net foreign exchange income/(loss)</w:t>
            </w:r>
          </w:p>
        </w:tc>
        <w:tc>
          <w:tcPr>
            <w:tcW w:w="144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rPr>
              <w:t>3,344,373</w:t>
            </w:r>
          </w:p>
        </w:tc>
        <w:tc>
          <w:tcPr>
            <w:tcW w:w="152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rPr>
              <w:t>(50,264)</w:t>
            </w:r>
          </w:p>
        </w:tc>
        <w:tc>
          <w:tcPr>
            <w:tcW w:w="132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rPr>
              <w:t>3,394,637</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(6754)%</w:t>
            </w:r>
          </w:p>
        </w:tc>
      </w:tr>
      <w:tr>
        <w:trPr>
          <w:trHeight w:val="229"/>
        </w:trPr>
        <w:tc>
          <w:tcPr>
            <w:tcW w:w="5740" w:type="dxa"/>
            <w:vAlign w:val="bottom"/>
          </w:tcPr>
          <w:p>
            <w:pPr>
              <w:spacing w:after="0"/>
              <w:rPr>
                <w:sz w:val="20"/>
                <w:szCs w:val="20"/>
                <w:color w:val="auto"/>
              </w:rPr>
            </w:pPr>
            <w:r>
              <w:rPr>
                <w:rFonts w:ascii="Arial" w:cs="Arial" w:eastAsia="Arial" w:hAnsi="Arial"/>
                <w:sz w:val="18"/>
                <w:szCs w:val="18"/>
                <w:b w:val="1"/>
                <w:bCs w:val="1"/>
                <w:color w:val="auto"/>
              </w:rPr>
              <w:t>Loss before tax</w:t>
            </w:r>
          </w:p>
        </w:tc>
        <w:tc>
          <w:tcPr>
            <w:tcW w:w="1440" w:type="dxa"/>
            <w:vAlign w:val="bottom"/>
          </w:tcPr>
          <w:p>
            <w:pPr>
              <w:jc w:val="right"/>
              <w:ind w:right="150"/>
              <w:spacing w:after="0"/>
              <w:rPr>
                <w:sz w:val="20"/>
                <w:szCs w:val="20"/>
                <w:color w:val="auto"/>
              </w:rPr>
            </w:pPr>
            <w:r>
              <w:rPr>
                <w:rFonts w:ascii="Arial" w:cs="Arial" w:eastAsia="Arial" w:hAnsi="Arial"/>
                <w:sz w:val="18"/>
                <w:szCs w:val="18"/>
                <w:b w:val="1"/>
                <w:bCs w:val="1"/>
                <w:color w:val="auto"/>
              </w:rPr>
              <w:t>(21,224,095)</w:t>
            </w:r>
          </w:p>
        </w:tc>
        <w:tc>
          <w:tcPr>
            <w:tcW w:w="1520" w:type="dxa"/>
            <w:vAlign w:val="bottom"/>
          </w:tcPr>
          <w:p>
            <w:pPr>
              <w:jc w:val="right"/>
              <w:ind w:right="290"/>
              <w:spacing w:after="0"/>
              <w:rPr>
                <w:sz w:val="20"/>
                <w:szCs w:val="20"/>
                <w:color w:val="auto"/>
              </w:rPr>
            </w:pPr>
            <w:r>
              <w:rPr>
                <w:rFonts w:ascii="Arial" w:cs="Arial" w:eastAsia="Arial" w:hAnsi="Arial"/>
                <w:sz w:val="18"/>
                <w:szCs w:val="18"/>
                <w:b w:val="1"/>
                <w:bCs w:val="1"/>
                <w:color w:val="auto"/>
              </w:rPr>
              <w:t>(9,021,959)</w:t>
            </w:r>
          </w:p>
        </w:tc>
        <w:tc>
          <w:tcPr>
            <w:tcW w:w="1320" w:type="dxa"/>
            <w:vAlign w:val="bottom"/>
          </w:tcPr>
          <w:p>
            <w:pPr>
              <w:jc w:val="right"/>
              <w:ind w:right="230"/>
              <w:spacing w:after="0"/>
              <w:rPr>
                <w:sz w:val="20"/>
                <w:szCs w:val="20"/>
                <w:color w:val="auto"/>
              </w:rPr>
            </w:pPr>
            <w:r>
              <w:rPr>
                <w:rFonts w:ascii="Arial" w:cs="Arial" w:eastAsia="Arial" w:hAnsi="Arial"/>
                <w:sz w:val="18"/>
                <w:szCs w:val="18"/>
                <w:b w:val="1"/>
                <w:bCs w:val="1"/>
                <w:color w:val="auto"/>
                <w:w w:val="95"/>
              </w:rPr>
              <w:t>(12,202,136)</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135%</w:t>
            </w:r>
          </w:p>
        </w:tc>
      </w:tr>
      <w:tr>
        <w:trPr>
          <w:trHeight w:val="229"/>
        </w:trPr>
        <w:tc>
          <w:tcPr>
            <w:tcW w:w="5740" w:type="dxa"/>
            <w:vAlign w:val="bottom"/>
            <w:shd w:val="clear" w:color="auto" w:fill="CFF0FC"/>
          </w:tcPr>
          <w:p>
            <w:pPr>
              <w:spacing w:after="0"/>
              <w:rPr>
                <w:sz w:val="20"/>
                <w:szCs w:val="20"/>
                <w:color w:val="auto"/>
              </w:rPr>
            </w:pPr>
            <w:r>
              <w:rPr>
                <w:rFonts w:ascii="Arial" w:cs="Arial" w:eastAsia="Arial" w:hAnsi="Arial"/>
                <w:sz w:val="18"/>
                <w:szCs w:val="18"/>
                <w:color w:val="auto"/>
              </w:rPr>
              <w:t>Income taxes</w:t>
            </w:r>
          </w:p>
        </w:tc>
        <w:tc>
          <w:tcPr>
            <w:tcW w:w="14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(21,554)</w:t>
            </w:r>
          </w:p>
        </w:tc>
        <w:tc>
          <w:tcPr>
            <w:tcW w:w="1520" w:type="dxa"/>
            <w:vAlign w:val="bottom"/>
            <w:shd w:val="clear" w:color="auto" w:fill="CFF0FC"/>
          </w:tcPr>
          <w:p>
            <w:pPr>
              <w:jc w:val="right"/>
              <w:ind w:right="37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rPr>
              <w:t>(21,554)</w:t>
            </w:r>
          </w:p>
        </w:tc>
        <w:tc>
          <w:tcPr>
            <w:tcW w:w="122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r>
      <w:tr>
        <w:trPr>
          <w:trHeight w:val="234"/>
        </w:trPr>
        <w:tc>
          <w:tcPr>
            <w:tcW w:w="5740" w:type="dxa"/>
            <w:vAlign w:val="bottom"/>
          </w:tcPr>
          <w:p>
            <w:pPr>
              <w:spacing w:after="0"/>
              <w:rPr>
                <w:sz w:val="20"/>
                <w:szCs w:val="20"/>
                <w:color w:val="auto"/>
              </w:rPr>
            </w:pPr>
            <w:r>
              <w:rPr>
                <w:rFonts w:ascii="Arial" w:cs="Arial" w:eastAsia="Arial" w:hAnsi="Arial"/>
                <w:sz w:val="18"/>
                <w:szCs w:val="18"/>
                <w:b w:val="1"/>
                <w:bCs w:val="1"/>
                <w:color w:val="auto"/>
              </w:rPr>
              <w:t>Loss for the period</w:t>
            </w:r>
          </w:p>
        </w:tc>
        <w:tc>
          <w:tcPr>
            <w:tcW w:w="1440" w:type="dxa"/>
            <w:vAlign w:val="bottom"/>
          </w:tcPr>
          <w:p>
            <w:pPr>
              <w:jc w:val="right"/>
              <w:ind w:right="150"/>
              <w:spacing w:after="0"/>
              <w:rPr>
                <w:sz w:val="20"/>
                <w:szCs w:val="20"/>
                <w:color w:val="auto"/>
              </w:rPr>
            </w:pPr>
            <w:r>
              <w:rPr>
                <w:rFonts w:ascii="Arial" w:cs="Arial" w:eastAsia="Arial" w:hAnsi="Arial"/>
                <w:sz w:val="18"/>
                <w:szCs w:val="18"/>
                <w:b w:val="1"/>
                <w:bCs w:val="1"/>
                <w:color w:val="auto"/>
              </w:rPr>
              <w:t>(21,245,649)</w:t>
            </w:r>
          </w:p>
        </w:tc>
        <w:tc>
          <w:tcPr>
            <w:tcW w:w="1520" w:type="dxa"/>
            <w:vAlign w:val="bottom"/>
          </w:tcPr>
          <w:p>
            <w:pPr>
              <w:jc w:val="right"/>
              <w:ind w:right="290"/>
              <w:spacing w:after="0"/>
              <w:rPr>
                <w:sz w:val="20"/>
                <w:szCs w:val="20"/>
                <w:color w:val="auto"/>
              </w:rPr>
            </w:pPr>
            <w:r>
              <w:rPr>
                <w:rFonts w:ascii="Arial" w:cs="Arial" w:eastAsia="Arial" w:hAnsi="Arial"/>
                <w:sz w:val="18"/>
                <w:szCs w:val="18"/>
                <w:b w:val="1"/>
                <w:bCs w:val="1"/>
                <w:color w:val="auto"/>
              </w:rPr>
              <w:t>(9,021,959)</w:t>
            </w:r>
          </w:p>
        </w:tc>
        <w:tc>
          <w:tcPr>
            <w:tcW w:w="1320" w:type="dxa"/>
            <w:vAlign w:val="bottom"/>
          </w:tcPr>
          <w:p>
            <w:pPr>
              <w:jc w:val="right"/>
              <w:ind w:right="230"/>
              <w:spacing w:after="0"/>
              <w:rPr>
                <w:sz w:val="20"/>
                <w:szCs w:val="20"/>
                <w:color w:val="auto"/>
              </w:rPr>
            </w:pPr>
            <w:r>
              <w:rPr>
                <w:rFonts w:ascii="Arial" w:cs="Arial" w:eastAsia="Arial" w:hAnsi="Arial"/>
                <w:sz w:val="18"/>
                <w:szCs w:val="18"/>
                <w:b w:val="1"/>
                <w:bCs w:val="1"/>
                <w:color w:val="auto"/>
                <w:w w:val="95"/>
              </w:rPr>
              <w:t>(12,223,690)</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135%</w:t>
            </w:r>
          </w:p>
        </w:tc>
      </w:tr>
    </w:tbl>
    <w:p>
      <w:pPr>
        <w:spacing w:after="0" w:line="22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Revenues</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did not generate any revenues for the six months ended June 30, 2021 and June 30, 2020.</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Research and development expenses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760" w:type="dxa"/>
            <w:vAlign w:val="bottom"/>
            <w:gridSpan w:val="5"/>
          </w:tcPr>
          <w:p>
            <w:pPr>
              <w:jc w:val="center"/>
              <w:ind w:right="260"/>
              <w:spacing w:after="0"/>
              <w:rPr>
                <w:sz w:val="20"/>
                <w:szCs w:val="20"/>
                <w:color w:val="auto"/>
              </w:rPr>
            </w:pPr>
            <w:r>
              <w:rPr>
                <w:rFonts w:ascii="Arial" w:cs="Arial" w:eastAsia="Arial" w:hAnsi="Arial"/>
                <w:sz w:val="18"/>
                <w:szCs w:val="18"/>
                <w:b w:val="1"/>
                <w:bCs w:val="1"/>
                <w:color w:val="auto"/>
                <w:w w:val="88"/>
              </w:rPr>
              <w:t>For the six months ended</w:t>
            </w:r>
          </w:p>
        </w:tc>
        <w:tc>
          <w:tcPr>
            <w:tcW w:w="1360" w:type="dxa"/>
            <w:vAlign w:val="bottom"/>
          </w:tcPr>
          <w:p>
            <w:pPr>
              <w:spacing w:after="0"/>
              <w:rPr>
                <w:sz w:val="18"/>
                <w:szCs w:val="18"/>
                <w:color w:val="auto"/>
              </w:rPr>
            </w:pPr>
          </w:p>
        </w:tc>
      </w:tr>
      <w:tr>
        <w:trPr>
          <w:trHeight w:val="229"/>
        </w:trPr>
        <w:tc>
          <w:tcPr>
            <w:tcW w:w="57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gridSpan w:val="3"/>
          </w:tcPr>
          <w:p>
            <w:pPr>
              <w:jc w:val="center"/>
              <w:ind w:left="810"/>
              <w:spacing w:after="0"/>
              <w:rPr>
                <w:sz w:val="20"/>
                <w:szCs w:val="20"/>
                <w:color w:val="auto"/>
              </w:rPr>
            </w:pPr>
            <w:r>
              <w:rPr>
                <w:rFonts w:ascii="Arial" w:cs="Arial" w:eastAsia="Arial" w:hAnsi="Arial"/>
                <w:sz w:val="18"/>
                <w:szCs w:val="18"/>
                <w:b w:val="1"/>
                <w:bCs w:val="1"/>
                <w:color w:val="auto"/>
                <w:w w:val="86"/>
              </w:rPr>
              <w:t>June 30</w:t>
            </w: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4"/>
        </w:trPr>
        <w:tc>
          <w:tcPr>
            <w:tcW w:w="5740" w:type="dxa"/>
            <w:vAlign w:val="bottom"/>
          </w:tcPr>
          <w:p>
            <w:pPr>
              <w:spacing w:after="0"/>
              <w:rPr>
                <w:sz w:val="20"/>
                <w:szCs w:val="20"/>
                <w:color w:val="auto"/>
              </w:rPr>
            </w:pPr>
          </w:p>
        </w:tc>
        <w:tc>
          <w:tcPr>
            <w:tcW w:w="12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Change</w:t>
            </w:r>
          </w:p>
        </w:tc>
        <w:tc>
          <w:tcPr>
            <w:tcW w:w="136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w:t>
            </w:r>
          </w:p>
        </w:tc>
      </w:tr>
      <w:tr>
        <w:trPr>
          <w:trHeight w:val="223"/>
        </w:trPr>
        <w:tc>
          <w:tcPr>
            <w:tcW w:w="57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gridSpan w:val="3"/>
          </w:tcPr>
          <w:p>
            <w:pPr>
              <w:jc w:val="center"/>
              <w:ind w:left="810"/>
              <w:spacing w:after="0"/>
              <w:rPr>
                <w:sz w:val="20"/>
                <w:szCs w:val="20"/>
                <w:color w:val="auto"/>
              </w:rPr>
            </w:pPr>
            <w:r>
              <w:rPr>
                <w:rFonts w:ascii="Arial" w:cs="Arial" w:eastAsia="Arial" w:hAnsi="Arial"/>
                <w:sz w:val="18"/>
                <w:szCs w:val="18"/>
                <w:b w:val="1"/>
                <w:bCs w:val="1"/>
                <w:color w:val="auto"/>
                <w:w w:val="97"/>
              </w:rPr>
              <w:t>(in €)</w:t>
            </w: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5740" w:type="dxa"/>
            <w:vAlign w:val="bottom"/>
            <w:shd w:val="clear" w:color="auto" w:fill="CFF0FC"/>
          </w:tcPr>
          <w:p>
            <w:pPr>
              <w:spacing w:after="0"/>
              <w:rPr>
                <w:sz w:val="20"/>
                <w:szCs w:val="20"/>
                <w:color w:val="auto"/>
              </w:rPr>
            </w:pPr>
            <w:r>
              <w:rPr>
                <w:rFonts w:ascii="Arial" w:cs="Arial" w:eastAsia="Arial" w:hAnsi="Arial"/>
                <w:sz w:val="18"/>
                <w:szCs w:val="18"/>
                <w:color w:val="auto"/>
              </w:rPr>
              <w:t>Personnel expenses</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(3,768,165)</w:t>
            </w:r>
          </w:p>
        </w:tc>
        <w:tc>
          <w:tcPr>
            <w:tcW w:w="1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(906,234)</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(2,861,931)</w:t>
            </w:r>
          </w:p>
        </w:tc>
        <w:tc>
          <w:tcPr>
            <w:tcW w:w="14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316%</w:t>
            </w:r>
          </w:p>
        </w:tc>
      </w:tr>
      <w:tr>
        <w:trPr>
          <w:trHeight w:val="230"/>
        </w:trPr>
        <w:tc>
          <w:tcPr>
            <w:tcW w:w="5740" w:type="dxa"/>
            <w:vAlign w:val="bottom"/>
          </w:tcPr>
          <w:p>
            <w:pPr>
              <w:spacing w:after="0"/>
              <w:rPr>
                <w:sz w:val="20"/>
                <w:szCs w:val="20"/>
                <w:color w:val="auto"/>
              </w:rPr>
            </w:pPr>
            <w:r>
              <w:rPr>
                <w:rFonts w:ascii="Arial" w:cs="Arial" w:eastAsia="Arial" w:hAnsi="Arial"/>
                <w:sz w:val="18"/>
                <w:szCs w:val="18"/>
                <w:color w:val="auto"/>
              </w:rPr>
              <w:t>Clinical expenses</w:t>
            </w:r>
          </w:p>
        </w:tc>
        <w:tc>
          <w:tcPr>
            <w:tcW w:w="1240" w:type="dxa"/>
            <w:vAlign w:val="bottom"/>
          </w:tcPr>
          <w:p>
            <w:pPr>
              <w:jc w:val="right"/>
              <w:spacing w:after="0"/>
              <w:rPr>
                <w:sz w:val="20"/>
                <w:szCs w:val="20"/>
                <w:color w:val="auto"/>
              </w:rPr>
            </w:pPr>
            <w:r>
              <w:rPr>
                <w:rFonts w:ascii="Arial" w:cs="Arial" w:eastAsia="Arial" w:hAnsi="Arial"/>
                <w:sz w:val="18"/>
                <w:szCs w:val="18"/>
                <w:color w:val="auto"/>
              </w:rPr>
              <w:t>(6,761,928)</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(2,697,525)</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(4,064,403)</w:t>
            </w: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151%</w:t>
            </w:r>
          </w:p>
        </w:tc>
      </w:tr>
      <w:tr>
        <w:trPr>
          <w:trHeight w:val="230"/>
        </w:trPr>
        <w:tc>
          <w:tcPr>
            <w:tcW w:w="5740" w:type="dxa"/>
            <w:vAlign w:val="bottom"/>
            <w:shd w:val="clear" w:color="auto" w:fill="CFF0FC"/>
          </w:tcPr>
          <w:p>
            <w:pPr>
              <w:spacing w:after="0"/>
              <w:rPr>
                <w:sz w:val="20"/>
                <w:szCs w:val="20"/>
                <w:color w:val="auto"/>
              </w:rPr>
            </w:pPr>
            <w:r>
              <w:rPr>
                <w:rFonts w:ascii="Arial" w:cs="Arial" w:eastAsia="Arial" w:hAnsi="Arial"/>
                <w:sz w:val="18"/>
                <w:szCs w:val="18"/>
                <w:color w:val="auto"/>
              </w:rPr>
              <w:t>Non-clinical expenses</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(2,143,713)</w:t>
            </w:r>
          </w:p>
        </w:tc>
        <w:tc>
          <w:tcPr>
            <w:tcW w:w="1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(1,144,499)</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(999,214)</w:t>
            </w:r>
          </w:p>
        </w:tc>
        <w:tc>
          <w:tcPr>
            <w:tcW w:w="14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w:t>
            </w:r>
          </w:p>
        </w:tc>
      </w:tr>
      <w:tr>
        <w:trPr>
          <w:trHeight w:val="229"/>
        </w:trPr>
        <w:tc>
          <w:tcPr>
            <w:tcW w:w="5740" w:type="dxa"/>
            <w:vAlign w:val="bottom"/>
          </w:tcPr>
          <w:p>
            <w:pPr>
              <w:spacing w:after="0"/>
              <w:rPr>
                <w:sz w:val="20"/>
                <w:szCs w:val="20"/>
                <w:color w:val="auto"/>
              </w:rPr>
            </w:pPr>
            <w:r>
              <w:rPr>
                <w:rFonts w:ascii="Arial" w:cs="Arial" w:eastAsia="Arial" w:hAnsi="Arial"/>
                <w:sz w:val="18"/>
                <w:szCs w:val="18"/>
                <w:color w:val="auto"/>
              </w:rPr>
              <w:t>Manufacturing costs</w:t>
            </w:r>
          </w:p>
        </w:tc>
        <w:tc>
          <w:tcPr>
            <w:tcW w:w="1240" w:type="dxa"/>
            <w:vAlign w:val="bottom"/>
          </w:tcPr>
          <w:p>
            <w:pPr>
              <w:jc w:val="right"/>
              <w:spacing w:after="0"/>
              <w:rPr>
                <w:sz w:val="20"/>
                <w:szCs w:val="20"/>
                <w:color w:val="auto"/>
              </w:rPr>
            </w:pPr>
            <w:r>
              <w:rPr>
                <w:rFonts w:ascii="Arial" w:cs="Arial" w:eastAsia="Arial" w:hAnsi="Arial"/>
                <w:sz w:val="18"/>
                <w:szCs w:val="18"/>
                <w:color w:val="auto"/>
              </w:rPr>
              <w:t>(2,920,172)</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(1,907,267)</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(1,012,905)</w:t>
            </w: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30"/>
        </w:trPr>
        <w:tc>
          <w:tcPr>
            <w:tcW w:w="5740" w:type="dxa"/>
            <w:vAlign w:val="bottom"/>
            <w:shd w:val="clear" w:color="auto" w:fill="CFF0FC"/>
          </w:tcPr>
          <w:p>
            <w:pPr>
              <w:spacing w:after="0"/>
              <w:rPr>
                <w:sz w:val="20"/>
                <w:szCs w:val="20"/>
                <w:color w:val="auto"/>
              </w:rPr>
            </w:pPr>
            <w:r>
              <w:rPr>
                <w:rFonts w:ascii="Arial" w:cs="Arial" w:eastAsia="Arial" w:hAnsi="Arial"/>
                <w:sz w:val="18"/>
                <w:szCs w:val="18"/>
                <w:color w:val="auto"/>
              </w:rPr>
              <w:t>License costs</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(500,000)</w:t>
            </w:r>
          </w:p>
        </w:tc>
        <w:tc>
          <w:tcPr>
            <w:tcW w:w="140" w:type="dxa"/>
            <w:vAlign w:val="bottom"/>
            <w:shd w:val="clear" w:color="auto" w:fill="CFF0FC"/>
          </w:tcPr>
          <w:p>
            <w:pPr>
              <w:spacing w:after="0"/>
              <w:rPr>
                <w:sz w:val="19"/>
                <w:szCs w:val="19"/>
                <w:color w:val="auto"/>
              </w:rPr>
            </w:pPr>
          </w:p>
        </w:tc>
        <w:tc>
          <w:tcPr>
            <w:tcW w:w="1600" w:type="dxa"/>
            <w:vAlign w:val="bottom"/>
            <w:gridSpan w:val="3"/>
            <w:shd w:val="clear" w:color="auto" w:fill="CFF0FC"/>
          </w:tcPr>
          <w:p>
            <w:pPr>
              <w:jc w:val="right"/>
              <w:ind w:right="4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(500,000)</w:t>
            </w:r>
          </w:p>
        </w:tc>
        <w:tc>
          <w:tcPr>
            <w:tcW w:w="140" w:type="dxa"/>
            <w:vAlign w:val="bottom"/>
            <w:shd w:val="clear" w:color="auto" w:fill="CFF0FC"/>
          </w:tcPr>
          <w:p>
            <w:pPr>
              <w:spacing w:after="0"/>
              <w:rPr>
                <w:sz w:val="19"/>
                <w:szCs w:val="19"/>
                <w:color w:val="auto"/>
              </w:rPr>
            </w:pPr>
          </w:p>
        </w:tc>
        <w:tc>
          <w:tcPr>
            <w:tcW w:w="136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r>
      <w:tr>
        <w:trPr>
          <w:trHeight w:val="230"/>
        </w:trPr>
        <w:tc>
          <w:tcPr>
            <w:tcW w:w="57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Intellectual Property costs</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(38,075)</w:t>
            </w:r>
          </w:p>
        </w:tc>
        <w:tc>
          <w:tcPr>
            <w:tcW w:w="140" w:type="dxa"/>
            <w:vAlign w:val="bottom"/>
            <w:tcBorders>
              <w:bottom w:val="single" w:sz="8" w:color="CFF0FC"/>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(79,720)</w:t>
            </w:r>
          </w:p>
        </w:tc>
        <w:tc>
          <w:tcPr>
            <w:tcW w:w="1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41,645</w:t>
            </w:r>
          </w:p>
        </w:tc>
        <w:tc>
          <w:tcPr>
            <w:tcW w:w="140" w:type="dxa"/>
            <w:vAlign w:val="bottom"/>
            <w:tcBorders>
              <w:bottom w:val="single" w:sz="8" w:color="CFF0FC"/>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r>
      <w:tr>
        <w:trPr>
          <w:trHeight w:val="223"/>
        </w:trPr>
        <w:tc>
          <w:tcPr>
            <w:tcW w:w="57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research and development expenses</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(16,132,053)</w:t>
            </w:r>
          </w:p>
        </w:tc>
        <w:tc>
          <w:tcPr>
            <w:tcW w:w="140" w:type="dxa"/>
            <w:vAlign w:val="bottom"/>
            <w:tcBorders>
              <w:bottom w:val="single" w:sz="8" w:color="CFF0FC"/>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(6,735,245)</w:t>
            </w:r>
          </w:p>
        </w:tc>
        <w:tc>
          <w:tcPr>
            <w:tcW w:w="1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(9,396,808)</w:t>
            </w:r>
          </w:p>
        </w:tc>
        <w:tc>
          <w:tcPr>
            <w:tcW w:w="140" w:type="dxa"/>
            <w:vAlign w:val="bottom"/>
            <w:tcBorders>
              <w:bottom w:val="single" w:sz="8" w:color="CFF0FC"/>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140%</w:t>
            </w:r>
          </w:p>
        </w:tc>
      </w:tr>
      <w:tr>
        <w:trPr>
          <w:trHeight w:val="20"/>
        </w:trPr>
        <w:tc>
          <w:tcPr>
            <w:tcW w:w="57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Research and development expenses increased from €6,735,245 for the six months ended June 30, 2020 to €16,132,053 for the six months ended June 30, 2021. The increase in the research and development expenses is mainly driven by the progress made in the PHVS416 and PHVS719 development programs in the first six months of 2021. Clinical expenses increased by €4,064,403 for the six months ended June 30, 2021 compared to the six months ended June 30, 2020 due to the expansion of the Phase 1 clinical program, the initiation of the RAPIDe-1 Phase 2 on demand study and preparations for the prophylactic program. Non-clinical expenses increased by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16" w:name="page17"/>
    <w:bookmarkEnd w:id="16"/>
    <w:p>
      <w:pPr>
        <w:spacing w:after="0"/>
        <w:rPr>
          <w:sz w:val="20"/>
          <w:szCs w:val="20"/>
          <w:color w:val="auto"/>
        </w:rPr>
      </w:pPr>
      <w:r>
        <w:rPr>
          <w:rFonts w:ascii="Arial" w:cs="Arial" w:eastAsia="Arial" w:hAnsi="Arial"/>
          <w:sz w:val="16"/>
          <w:szCs w:val="16"/>
          <w:color w:val="auto"/>
        </w:rPr>
        <w:t>€999,214 for the six months ended June 30, 2021 compared to the six months ended June 30, 2020 due to advancement of the preparations for the Phase 2</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and Phase 3 clinical PHVS416 and PHVS719 programs. Manufacturing costs relating to the API and pharmaceutical development of PHVS416 and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PHVS719 increased by €1,012,905 for the six months ended June 30, 2021 compared to the six months ended June 30, 2020 to supply both clinical</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programs and the Phase 3 non-clinical study package. For the six months ended June 30, 2021 license costs reflected a milestone payment of €500,000 that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was paid to Analyticon upon start of the clinical Phase 2. In the personnel expenses for the six months ended June 30, 2021 and 2020 an amount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€2,052,785 and €505,646, respectively, was included related to the share-based payments arrangements. The increase in the share-based payment expenses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is due to the grants awarded in the first six months of 2021 and the remeasurement of the fair values of the stock options related to the performance periods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2021 and 2022. Remaining increase in personnel expenses is driven by the growth of our organization and yearly merit adjustments.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General and administrative expenses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760" w:type="dxa"/>
            <w:vAlign w:val="bottom"/>
            <w:gridSpan w:val="5"/>
          </w:tcPr>
          <w:p>
            <w:pPr>
              <w:jc w:val="center"/>
              <w:ind w:right="260"/>
              <w:spacing w:after="0"/>
              <w:rPr>
                <w:sz w:val="20"/>
                <w:szCs w:val="20"/>
                <w:color w:val="auto"/>
              </w:rPr>
            </w:pPr>
            <w:r>
              <w:rPr>
                <w:rFonts w:ascii="Arial" w:cs="Arial" w:eastAsia="Arial" w:hAnsi="Arial"/>
                <w:sz w:val="18"/>
                <w:szCs w:val="18"/>
                <w:b w:val="1"/>
                <w:bCs w:val="1"/>
                <w:color w:val="auto"/>
                <w:w w:val="88"/>
              </w:rPr>
              <w:t>For the six months ended</w:t>
            </w:r>
          </w:p>
        </w:tc>
        <w:tc>
          <w:tcPr>
            <w:tcW w:w="1360" w:type="dxa"/>
            <w:vAlign w:val="bottom"/>
          </w:tcPr>
          <w:p>
            <w:pPr>
              <w:spacing w:after="0"/>
              <w:rPr>
                <w:sz w:val="18"/>
                <w:szCs w:val="18"/>
                <w:color w:val="auto"/>
              </w:rPr>
            </w:pPr>
          </w:p>
        </w:tc>
      </w:tr>
      <w:tr>
        <w:trPr>
          <w:trHeight w:val="234"/>
        </w:trPr>
        <w:tc>
          <w:tcPr>
            <w:tcW w:w="5740" w:type="dxa"/>
            <w:vAlign w:val="bottom"/>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3"/>
          </w:tcPr>
          <w:p>
            <w:pPr>
              <w:jc w:val="center"/>
              <w:ind w:left="810"/>
              <w:spacing w:after="0"/>
              <w:rPr>
                <w:sz w:val="20"/>
                <w:szCs w:val="20"/>
                <w:color w:val="auto"/>
              </w:rPr>
            </w:pPr>
            <w:r>
              <w:rPr>
                <w:rFonts w:ascii="Arial" w:cs="Arial" w:eastAsia="Arial" w:hAnsi="Arial"/>
                <w:sz w:val="18"/>
                <w:szCs w:val="18"/>
                <w:b w:val="1"/>
                <w:bCs w:val="1"/>
                <w:color w:val="auto"/>
                <w:w w:val="86"/>
              </w:rPr>
              <w:t>June 30</w:t>
            </w:r>
          </w:p>
        </w:tc>
        <w:tc>
          <w:tcPr>
            <w:tcW w:w="10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r>
      <w:tr>
        <w:trPr>
          <w:trHeight w:val="223"/>
        </w:trPr>
        <w:tc>
          <w:tcPr>
            <w:tcW w:w="5740" w:type="dxa"/>
            <w:vAlign w:val="bottom"/>
          </w:tcPr>
          <w:p>
            <w:pPr>
              <w:spacing w:after="0"/>
              <w:rPr>
                <w:sz w:val="19"/>
                <w:szCs w:val="19"/>
                <w:color w:val="auto"/>
              </w:rPr>
            </w:pPr>
          </w:p>
        </w:tc>
        <w:tc>
          <w:tcPr>
            <w:tcW w:w="12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Change</w:t>
            </w:r>
          </w:p>
        </w:tc>
        <w:tc>
          <w:tcPr>
            <w:tcW w:w="136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w:t>
            </w:r>
          </w:p>
        </w:tc>
      </w:tr>
      <w:tr>
        <w:trPr>
          <w:trHeight w:val="223"/>
        </w:trPr>
        <w:tc>
          <w:tcPr>
            <w:tcW w:w="57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gridSpan w:val="3"/>
          </w:tcPr>
          <w:p>
            <w:pPr>
              <w:jc w:val="center"/>
              <w:ind w:left="810"/>
              <w:spacing w:after="0"/>
              <w:rPr>
                <w:sz w:val="20"/>
                <w:szCs w:val="20"/>
                <w:color w:val="auto"/>
              </w:rPr>
            </w:pPr>
            <w:r>
              <w:rPr>
                <w:rFonts w:ascii="Arial" w:cs="Arial" w:eastAsia="Arial" w:hAnsi="Arial"/>
                <w:sz w:val="18"/>
                <w:szCs w:val="18"/>
                <w:b w:val="1"/>
                <w:bCs w:val="1"/>
                <w:color w:val="auto"/>
                <w:w w:val="97"/>
              </w:rPr>
              <w:t>(in €)</w:t>
            </w: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29"/>
        </w:trPr>
        <w:tc>
          <w:tcPr>
            <w:tcW w:w="5740" w:type="dxa"/>
            <w:vAlign w:val="bottom"/>
            <w:shd w:val="clear" w:color="auto" w:fill="CFF0FC"/>
          </w:tcPr>
          <w:p>
            <w:pPr>
              <w:spacing w:after="0"/>
              <w:rPr>
                <w:sz w:val="20"/>
                <w:szCs w:val="20"/>
                <w:color w:val="auto"/>
              </w:rPr>
            </w:pPr>
            <w:r>
              <w:rPr>
                <w:rFonts w:ascii="Arial" w:cs="Arial" w:eastAsia="Arial" w:hAnsi="Arial"/>
                <w:sz w:val="18"/>
                <w:szCs w:val="18"/>
                <w:color w:val="auto"/>
              </w:rPr>
              <w:t>Personnel expenses</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(3,036,786)</w:t>
            </w:r>
          </w:p>
        </w:tc>
        <w:tc>
          <w:tcPr>
            <w:tcW w:w="1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(611,927)</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(2,424,859)</w:t>
            </w:r>
          </w:p>
        </w:tc>
        <w:tc>
          <w:tcPr>
            <w:tcW w:w="14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396%</w:t>
            </w:r>
          </w:p>
        </w:tc>
      </w:tr>
      <w:tr>
        <w:trPr>
          <w:trHeight w:val="230"/>
        </w:trPr>
        <w:tc>
          <w:tcPr>
            <w:tcW w:w="5740" w:type="dxa"/>
            <w:vAlign w:val="bottom"/>
          </w:tcPr>
          <w:p>
            <w:pPr>
              <w:spacing w:after="0"/>
              <w:rPr>
                <w:sz w:val="20"/>
                <w:szCs w:val="20"/>
                <w:color w:val="auto"/>
              </w:rPr>
            </w:pPr>
            <w:r>
              <w:rPr>
                <w:rFonts w:ascii="Arial" w:cs="Arial" w:eastAsia="Arial" w:hAnsi="Arial"/>
                <w:sz w:val="18"/>
                <w:szCs w:val="18"/>
                <w:color w:val="auto"/>
              </w:rPr>
              <w:t>Consulting fees</w:t>
            </w:r>
          </w:p>
        </w:tc>
        <w:tc>
          <w:tcPr>
            <w:tcW w:w="1240" w:type="dxa"/>
            <w:vAlign w:val="bottom"/>
          </w:tcPr>
          <w:p>
            <w:pPr>
              <w:jc w:val="right"/>
              <w:spacing w:after="0"/>
              <w:rPr>
                <w:sz w:val="20"/>
                <w:szCs w:val="20"/>
                <w:color w:val="auto"/>
              </w:rPr>
            </w:pPr>
            <w:r>
              <w:rPr>
                <w:rFonts w:ascii="Arial" w:cs="Arial" w:eastAsia="Arial" w:hAnsi="Arial"/>
                <w:sz w:val="18"/>
                <w:szCs w:val="18"/>
                <w:color w:val="auto"/>
              </w:rPr>
              <w:t>(390,872)</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(478,700)</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87,828</w:t>
            </w: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29"/>
        </w:trPr>
        <w:tc>
          <w:tcPr>
            <w:tcW w:w="5740" w:type="dxa"/>
            <w:vAlign w:val="bottom"/>
            <w:shd w:val="clear" w:color="auto" w:fill="CFF0FC"/>
          </w:tcPr>
          <w:p>
            <w:pPr>
              <w:spacing w:after="0"/>
              <w:rPr>
                <w:sz w:val="20"/>
                <w:szCs w:val="20"/>
                <w:color w:val="auto"/>
              </w:rPr>
            </w:pPr>
            <w:r>
              <w:rPr>
                <w:rFonts w:ascii="Arial" w:cs="Arial" w:eastAsia="Arial" w:hAnsi="Arial"/>
                <w:sz w:val="18"/>
                <w:szCs w:val="18"/>
                <w:color w:val="auto"/>
              </w:rPr>
              <w:t>Professional fees</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(1,132,706)</w:t>
            </w:r>
          </w:p>
        </w:tc>
        <w:tc>
          <w:tcPr>
            <w:tcW w:w="1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(379,183)</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(753,523)</w:t>
            </w:r>
          </w:p>
        </w:tc>
        <w:tc>
          <w:tcPr>
            <w:tcW w:w="14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w:t>
            </w:r>
          </w:p>
        </w:tc>
      </w:tr>
      <w:tr>
        <w:trPr>
          <w:trHeight w:val="230"/>
        </w:trPr>
        <w:tc>
          <w:tcPr>
            <w:tcW w:w="5740" w:type="dxa"/>
            <w:vAlign w:val="bottom"/>
          </w:tcPr>
          <w:p>
            <w:pPr>
              <w:spacing w:after="0"/>
              <w:rPr>
                <w:sz w:val="20"/>
                <w:szCs w:val="20"/>
                <w:color w:val="auto"/>
              </w:rPr>
            </w:pPr>
            <w:r>
              <w:rPr>
                <w:rFonts w:ascii="Arial" w:cs="Arial" w:eastAsia="Arial" w:hAnsi="Arial"/>
                <w:sz w:val="18"/>
                <w:szCs w:val="18"/>
                <w:color w:val="auto"/>
              </w:rPr>
              <w:t>Accounting, tax and auditing fees</w:t>
            </w:r>
          </w:p>
        </w:tc>
        <w:tc>
          <w:tcPr>
            <w:tcW w:w="1240" w:type="dxa"/>
            <w:vAlign w:val="bottom"/>
          </w:tcPr>
          <w:p>
            <w:pPr>
              <w:jc w:val="right"/>
              <w:spacing w:after="0"/>
              <w:rPr>
                <w:sz w:val="20"/>
                <w:szCs w:val="20"/>
                <w:color w:val="auto"/>
              </w:rPr>
            </w:pPr>
            <w:r>
              <w:rPr>
                <w:rFonts w:ascii="Arial" w:cs="Arial" w:eastAsia="Arial" w:hAnsi="Arial"/>
                <w:sz w:val="18"/>
                <w:szCs w:val="18"/>
                <w:color w:val="auto"/>
              </w:rPr>
              <w:t>(1,086,756)</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(403,599)</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(683,157)</w:t>
            </w: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169%</w:t>
            </w:r>
          </w:p>
        </w:tc>
      </w:tr>
      <w:tr>
        <w:trPr>
          <w:trHeight w:val="229"/>
        </w:trPr>
        <w:tc>
          <w:tcPr>
            <w:tcW w:w="5740" w:type="dxa"/>
            <w:vAlign w:val="bottom"/>
            <w:shd w:val="clear" w:color="auto" w:fill="CFF0FC"/>
          </w:tcPr>
          <w:p>
            <w:pPr>
              <w:spacing w:after="0"/>
              <w:rPr>
                <w:sz w:val="20"/>
                <w:szCs w:val="20"/>
                <w:color w:val="auto"/>
              </w:rPr>
            </w:pPr>
            <w:r>
              <w:rPr>
                <w:rFonts w:ascii="Arial" w:cs="Arial" w:eastAsia="Arial" w:hAnsi="Arial"/>
                <w:sz w:val="18"/>
                <w:szCs w:val="18"/>
                <w:color w:val="auto"/>
              </w:rPr>
              <w:t>Facilities, communication and office expenses</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(2,462,147)</w:t>
            </w:r>
          </w:p>
        </w:tc>
        <w:tc>
          <w:tcPr>
            <w:tcW w:w="1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(234,696)</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(2,227,451)</w:t>
            </w:r>
          </w:p>
        </w:tc>
        <w:tc>
          <w:tcPr>
            <w:tcW w:w="14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949%</w:t>
            </w:r>
          </w:p>
        </w:tc>
      </w:tr>
      <w:tr>
        <w:trPr>
          <w:trHeight w:val="229"/>
        </w:trPr>
        <w:tc>
          <w:tcPr>
            <w:tcW w:w="5740" w:type="dxa"/>
            <w:vAlign w:val="bottom"/>
          </w:tcPr>
          <w:p>
            <w:pPr>
              <w:spacing w:after="0"/>
              <w:rPr>
                <w:sz w:val="20"/>
                <w:szCs w:val="20"/>
                <w:color w:val="auto"/>
              </w:rPr>
            </w:pPr>
            <w:r>
              <w:rPr>
                <w:rFonts w:ascii="Arial" w:cs="Arial" w:eastAsia="Arial" w:hAnsi="Arial"/>
                <w:sz w:val="18"/>
                <w:szCs w:val="18"/>
                <w:color w:val="auto"/>
              </w:rPr>
              <w:t>Travel expenses</w:t>
            </w:r>
          </w:p>
        </w:tc>
        <w:tc>
          <w:tcPr>
            <w:tcW w:w="1240" w:type="dxa"/>
            <w:vAlign w:val="bottom"/>
          </w:tcPr>
          <w:p>
            <w:pPr>
              <w:jc w:val="right"/>
              <w:spacing w:after="0"/>
              <w:rPr>
                <w:sz w:val="20"/>
                <w:szCs w:val="20"/>
                <w:color w:val="auto"/>
              </w:rPr>
            </w:pPr>
            <w:r>
              <w:rPr>
                <w:rFonts w:ascii="Arial" w:cs="Arial" w:eastAsia="Arial" w:hAnsi="Arial"/>
                <w:sz w:val="18"/>
                <w:szCs w:val="18"/>
                <w:color w:val="auto"/>
              </w:rPr>
              <w:t>(3,357)</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(22,044)</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18,687</w:t>
            </w: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30"/>
        </w:trPr>
        <w:tc>
          <w:tcPr>
            <w:tcW w:w="5740" w:type="dxa"/>
            <w:vAlign w:val="bottom"/>
            <w:shd w:val="clear" w:color="auto" w:fill="CFF0FC"/>
          </w:tcPr>
          <w:p>
            <w:pPr>
              <w:spacing w:after="0"/>
              <w:rPr>
                <w:sz w:val="20"/>
                <w:szCs w:val="20"/>
                <w:color w:val="auto"/>
              </w:rPr>
            </w:pPr>
            <w:r>
              <w:rPr>
                <w:rFonts w:ascii="Arial" w:cs="Arial" w:eastAsia="Arial" w:hAnsi="Arial"/>
                <w:sz w:val="18"/>
                <w:szCs w:val="18"/>
                <w:color w:val="auto"/>
              </w:rPr>
              <w:t>Other expenses</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(323,791)</w:t>
            </w:r>
          </w:p>
        </w:tc>
        <w:tc>
          <w:tcPr>
            <w:tcW w:w="140" w:type="dxa"/>
            <w:vAlign w:val="bottom"/>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(106,301)</w:t>
            </w:r>
          </w:p>
        </w:tc>
        <w:tc>
          <w:tcPr>
            <w:tcW w:w="1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(217,490)</w:t>
            </w:r>
          </w:p>
        </w:tc>
        <w:tc>
          <w:tcPr>
            <w:tcW w:w="140" w:type="dxa"/>
            <w:vAlign w:val="bottom"/>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205%</w:t>
            </w:r>
          </w:p>
        </w:tc>
      </w:tr>
      <w:tr>
        <w:trPr>
          <w:trHeight w:val="223"/>
        </w:trPr>
        <w:tc>
          <w:tcPr>
            <w:tcW w:w="5740" w:type="dxa"/>
            <w:vAlign w:val="bottom"/>
          </w:tcPr>
          <w:p>
            <w:pPr>
              <w:spacing w:after="0"/>
              <w:rPr>
                <w:sz w:val="20"/>
                <w:szCs w:val="20"/>
                <w:color w:val="auto"/>
              </w:rPr>
            </w:pPr>
            <w:r>
              <w:rPr>
                <w:rFonts w:ascii="Arial" w:cs="Arial" w:eastAsia="Arial" w:hAnsi="Arial"/>
                <w:sz w:val="18"/>
                <w:szCs w:val="18"/>
                <w:b w:val="1"/>
                <w:bCs w:val="1"/>
                <w:color w:val="auto"/>
              </w:rPr>
              <w:t>Total general and administrative expenses</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(8,436,415)</w:t>
            </w:r>
          </w:p>
        </w:tc>
        <w:tc>
          <w:tcPr>
            <w:tcW w:w="140" w:type="dxa"/>
            <w:vAlign w:val="bottom"/>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(2,236,450)</w:t>
            </w:r>
          </w:p>
        </w:tc>
        <w:tc>
          <w:tcPr>
            <w:tcW w:w="1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(6,199,965)</w:t>
            </w:r>
          </w:p>
        </w:tc>
        <w:tc>
          <w:tcPr>
            <w:tcW w:w="140" w:type="dxa"/>
            <w:vAlign w:val="bottom"/>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277%</w:t>
            </w:r>
          </w:p>
        </w:tc>
      </w:tr>
      <w:tr>
        <w:trPr>
          <w:trHeight w:val="20"/>
        </w:trPr>
        <w:tc>
          <w:tcPr>
            <w:tcW w:w="57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80" w:firstLine="432"/>
        <w:spacing w:after="0" w:line="257" w:lineRule="auto"/>
        <w:rPr>
          <w:sz w:val="20"/>
          <w:szCs w:val="20"/>
          <w:color w:val="auto"/>
        </w:rPr>
      </w:pPr>
      <w:r>
        <w:rPr>
          <w:rFonts w:ascii="Arial" w:cs="Arial" w:eastAsia="Arial" w:hAnsi="Arial"/>
          <w:sz w:val="18"/>
          <w:szCs w:val="18"/>
          <w:color w:val="auto"/>
        </w:rPr>
        <w:t>General and administrative expenses increased from €2,236,450 for the six months ended June 30, 2020 to €8,436,415 for the six months ended June 30, 2021. This is mainly driven by the growth of our organization in connection with the completion of the IPO, which also led to additional expenses inherent to being a public company. In the personnel expenses for the six months ended June 30, 2021 and 2020 an amount of €1,816,561 and €154,485 respectively, was included which related to share-based payments arrangements. The increase in the share-based payment expenses is due to the grants made in the first six months of 2021.</w:t>
      </w:r>
    </w:p>
    <w:p>
      <w:pPr>
        <w:spacing w:after="0" w:line="21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Net foreign exchange income/(loss)</w:t>
      </w:r>
    </w:p>
    <w:p>
      <w:pPr>
        <w:spacing w:after="0" w:line="252" w:lineRule="exact"/>
        <w:rPr>
          <w:sz w:val="20"/>
          <w:szCs w:val="20"/>
          <w:color w:val="auto"/>
        </w:rPr>
      </w:pPr>
    </w:p>
    <w:p>
      <w:pPr>
        <w:ind w:right="160" w:firstLine="432"/>
        <w:spacing w:after="0" w:line="296" w:lineRule="auto"/>
        <w:rPr>
          <w:sz w:val="20"/>
          <w:szCs w:val="20"/>
          <w:color w:val="auto"/>
        </w:rPr>
      </w:pPr>
      <w:r>
        <w:rPr>
          <w:rFonts w:ascii="Arial" w:cs="Arial" w:eastAsia="Arial" w:hAnsi="Arial"/>
          <w:sz w:val="16"/>
          <w:szCs w:val="16"/>
          <w:color w:val="auto"/>
        </w:rPr>
        <w:t>Net foreign exchange income/(loss) for the six months ended June 30, 2021 and 2020 were €3,344,373 and (€50,264) respectively, a change of €3,394,637. The amount mainly relates to unrealized foreign exchange income, which is the result of translating group’s bank balances held in USD to EUR. The EUR/USD exchange rate has been developed to our favor for the three months ended March 31, 2021 whereas for the three months ended June 30, 2021 the exchange rate developed unfavorably for the Company. For the six months ended June 30, 2021 the Company is still in a favorable position. The net foreign exchange impact in 2021 compared to 2020 is more significant due to USD proceeds from our IPO in February 2021.</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Income taxes</w:t>
      </w:r>
    </w:p>
    <w:p>
      <w:pPr>
        <w:spacing w:after="0" w:line="198"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We have a history of losses. The tax charge over the six months ended June 30, 2021 relates to the Company’s US subsidiary as the result of a cost-plus agreement between the US entity and the group’s principal entity resulting</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jc w:val="both"/>
        <w:ind w:right="200"/>
        <w:spacing w:after="0" w:line="257" w:lineRule="auto"/>
        <w:rPr>
          <w:sz w:val="20"/>
          <w:szCs w:val="20"/>
          <w:color w:val="auto"/>
        </w:rPr>
      </w:pPr>
      <w:r>
        <w:rPr>
          <w:rFonts w:ascii="Arial" w:cs="Arial" w:eastAsia="Arial" w:hAnsi="Arial"/>
          <w:sz w:val="18"/>
          <w:szCs w:val="18"/>
          <w:color w:val="auto"/>
        </w:rPr>
        <w:t>in a taxable profit in the United States of America, with no taxable income over the six months ended June 30, 2020. We have tax loss carry-forwards of approximately €74.7 million (June 30, 2020: €12.6 million), that are available for offsetting against future taxable profits of the companies in which the losses arose. Under Dutch tax law, for prior periods, the expiration period denoted 6/9 years for The Netherlands, but as of the second half of 2021 it has been substantively enacted that there is no longer an expiration period applicable to the Dutch losses. Under Swiss law, losses can be offset against future income or capital gains for seven years.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02" w:lineRule="exact"/>
        <w:rPr>
          <w:sz w:val="20"/>
          <w:szCs w:val="20"/>
          <w:color w:val="auto"/>
        </w:rPr>
      </w:pPr>
    </w:p>
    <w:p>
      <w:pPr>
        <w:ind w:right="180" w:firstLine="432"/>
        <w:spacing w:after="0" w:line="311" w:lineRule="auto"/>
        <w:rPr>
          <w:sz w:val="20"/>
          <w:szCs w:val="20"/>
          <w:color w:val="auto"/>
        </w:rPr>
      </w:pPr>
      <w:r>
        <w:rPr>
          <w:rFonts w:ascii="Arial" w:cs="Arial" w:eastAsia="Arial" w:hAnsi="Arial"/>
          <w:sz w:val="16"/>
          <w:szCs w:val="16"/>
          <w:color w:val="auto"/>
        </w:rPr>
        <w:t>Since inception, we have incurred significant operating losses. For the six months ended June 30, 2021 and 2020 we incurred losses of €21,245,649 and €9,021,959 respectively. Since inception, we have not generated any revenues or net cash flows from sales. We will not receive any revenues or net cash flows from sales of our product candidate until it has been approved by regulatory authorities and we have commercialized it.</w:t>
      </w:r>
    </w:p>
    <w:p>
      <w:pPr>
        <w:spacing w:after="0" w:line="108"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To date, we have relied solely on the issuance of equity securities to finance our operations and internal growth. As of June 30, 2021 we had cash and cash equivalents of €224.3 million. Our cash and cash equivalents consist solely of cash at bank.</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Comparison for the six months ended June 30, 2021 and June 30, 2020</w:t>
      </w:r>
    </w:p>
    <w:p>
      <w:pPr>
        <w:spacing w:after="0" w:line="19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our primary sources and uses of our cash and cash equivalents for each of the periods set forth below:</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860" w:type="dxa"/>
            <w:vAlign w:val="bottom"/>
            <w:gridSpan w:val="2"/>
          </w:tcPr>
          <w:p>
            <w:pPr>
              <w:jc w:val="center"/>
              <w:ind w:right="350"/>
              <w:spacing w:after="0"/>
              <w:rPr>
                <w:sz w:val="20"/>
                <w:szCs w:val="20"/>
                <w:color w:val="auto"/>
              </w:rPr>
            </w:pPr>
            <w:r>
              <w:rPr>
                <w:rFonts w:ascii="Arial" w:cs="Arial" w:eastAsia="Arial" w:hAnsi="Arial"/>
                <w:sz w:val="18"/>
                <w:szCs w:val="18"/>
                <w:b w:val="1"/>
                <w:bCs w:val="1"/>
                <w:color w:val="auto"/>
                <w:w w:val="88"/>
              </w:rPr>
              <w:t>For the six months ended</w:t>
            </w:r>
          </w:p>
        </w:tc>
        <w:tc>
          <w:tcPr>
            <w:tcW w:w="1240" w:type="dxa"/>
            <w:vAlign w:val="bottom"/>
          </w:tcPr>
          <w:p>
            <w:pPr>
              <w:spacing w:after="0"/>
              <w:rPr>
                <w:sz w:val="18"/>
                <w:szCs w:val="18"/>
                <w:color w:val="auto"/>
              </w:rPr>
            </w:pPr>
          </w:p>
        </w:tc>
      </w:tr>
      <w:tr>
        <w:trPr>
          <w:trHeight w:val="234"/>
        </w:trPr>
        <w:tc>
          <w:tcPr>
            <w:tcW w:w="5720" w:type="dxa"/>
            <w:vAlign w:val="bottom"/>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center"/>
              <w:ind w:left="790"/>
              <w:spacing w:after="0"/>
              <w:rPr>
                <w:sz w:val="20"/>
                <w:szCs w:val="20"/>
                <w:color w:val="auto"/>
              </w:rPr>
            </w:pPr>
            <w:r>
              <w:rPr>
                <w:rFonts w:ascii="Arial" w:cs="Arial" w:eastAsia="Arial" w:hAnsi="Arial"/>
                <w:sz w:val="18"/>
                <w:szCs w:val="18"/>
                <w:b w:val="1"/>
                <w:bCs w:val="1"/>
                <w:color w:val="auto"/>
                <w:w w:val="89"/>
              </w:rPr>
              <w:t>June 30</w:t>
            </w:r>
          </w:p>
        </w:tc>
        <w:tc>
          <w:tcPr>
            <w:tcW w:w="13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r>
      <w:tr>
        <w:trPr>
          <w:trHeight w:val="223"/>
        </w:trPr>
        <w:tc>
          <w:tcPr>
            <w:tcW w:w="5720" w:type="dxa"/>
            <w:vAlign w:val="bottom"/>
          </w:tcPr>
          <w:p>
            <w:pPr>
              <w:spacing w:after="0"/>
              <w:rPr>
                <w:sz w:val="19"/>
                <w:szCs w:val="19"/>
                <w:color w:val="auto"/>
              </w:rPr>
            </w:pPr>
          </w:p>
        </w:tc>
        <w:tc>
          <w:tcPr>
            <w:tcW w:w="142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2021</w:t>
            </w:r>
          </w:p>
        </w:tc>
        <w:tc>
          <w:tcPr>
            <w:tcW w:w="152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b w:val="1"/>
                <w:bCs w:val="1"/>
                <w:color w:val="auto"/>
              </w:rPr>
              <w:t>2020</w:t>
            </w:r>
          </w:p>
        </w:tc>
        <w:tc>
          <w:tcPr>
            <w:tcW w:w="134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w w:val="96"/>
              </w:rPr>
              <w:t>Change</w:t>
            </w:r>
          </w:p>
        </w:tc>
        <w:tc>
          <w:tcPr>
            <w:tcW w:w="124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w:t>
            </w:r>
          </w:p>
        </w:tc>
      </w:tr>
      <w:tr>
        <w:trPr>
          <w:trHeight w:val="223"/>
        </w:trPr>
        <w:tc>
          <w:tcPr>
            <w:tcW w:w="57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520" w:type="dxa"/>
            <w:vAlign w:val="bottom"/>
          </w:tcPr>
          <w:p>
            <w:pPr>
              <w:jc w:val="center"/>
              <w:ind w:left="790"/>
              <w:spacing w:after="0"/>
              <w:rPr>
                <w:sz w:val="20"/>
                <w:szCs w:val="20"/>
                <w:color w:val="auto"/>
              </w:rPr>
            </w:pPr>
            <w:r>
              <w:rPr>
                <w:rFonts w:ascii="Arial" w:cs="Arial" w:eastAsia="Arial" w:hAnsi="Arial"/>
                <w:sz w:val="18"/>
                <w:szCs w:val="18"/>
                <w:b w:val="1"/>
                <w:bCs w:val="1"/>
                <w:color w:val="auto"/>
                <w:w w:val="92"/>
              </w:rPr>
              <w:t>(in €)</w:t>
            </w:r>
          </w:p>
        </w:tc>
        <w:tc>
          <w:tcPr>
            <w:tcW w:w="134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29"/>
        </w:trPr>
        <w:tc>
          <w:tcPr>
            <w:tcW w:w="5720" w:type="dxa"/>
            <w:vAlign w:val="bottom"/>
            <w:shd w:val="clear" w:color="auto" w:fill="CFF0FC"/>
          </w:tcPr>
          <w:p>
            <w:pPr>
              <w:spacing w:after="0"/>
              <w:rPr>
                <w:sz w:val="20"/>
                <w:szCs w:val="20"/>
                <w:color w:val="auto"/>
              </w:rPr>
            </w:pPr>
            <w:r>
              <w:rPr>
                <w:rFonts w:ascii="Arial" w:cs="Arial" w:eastAsia="Arial" w:hAnsi="Arial"/>
                <w:sz w:val="18"/>
                <w:szCs w:val="18"/>
                <w:color w:val="auto"/>
              </w:rPr>
              <w:t>Net cash flows used in operating activities</w:t>
            </w:r>
          </w:p>
        </w:tc>
        <w:tc>
          <w:tcPr>
            <w:tcW w:w="14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rPr>
              <w:t>(22,058,913)</w:t>
            </w:r>
          </w:p>
        </w:tc>
        <w:tc>
          <w:tcPr>
            <w:tcW w:w="152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rPr>
              <w:t>(5,965,159)</w:t>
            </w:r>
          </w:p>
        </w:tc>
        <w:tc>
          <w:tcPr>
            <w:tcW w:w="134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w w:val="95"/>
              </w:rPr>
              <w:t>(16,093,754)</w:t>
            </w:r>
          </w:p>
        </w:tc>
        <w:tc>
          <w:tcPr>
            <w:tcW w:w="12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270%</w:t>
            </w:r>
          </w:p>
        </w:tc>
      </w:tr>
      <w:tr>
        <w:trPr>
          <w:trHeight w:val="230"/>
        </w:trPr>
        <w:tc>
          <w:tcPr>
            <w:tcW w:w="5720" w:type="dxa"/>
            <w:vAlign w:val="bottom"/>
          </w:tcPr>
          <w:p>
            <w:pPr>
              <w:spacing w:after="0"/>
              <w:rPr>
                <w:sz w:val="20"/>
                <w:szCs w:val="20"/>
                <w:color w:val="auto"/>
              </w:rPr>
            </w:pPr>
            <w:r>
              <w:rPr>
                <w:rFonts w:ascii="Arial" w:cs="Arial" w:eastAsia="Arial" w:hAnsi="Arial"/>
                <w:sz w:val="18"/>
                <w:szCs w:val="18"/>
                <w:color w:val="auto"/>
              </w:rPr>
              <w:t>Net cash flows used in investing activities</w:t>
            </w:r>
          </w:p>
        </w:tc>
        <w:tc>
          <w:tcPr>
            <w:tcW w:w="1420" w:type="dxa"/>
            <w:vAlign w:val="bottom"/>
          </w:tcPr>
          <w:p>
            <w:pPr>
              <w:jc w:val="right"/>
              <w:ind w:right="130"/>
              <w:spacing w:after="0"/>
              <w:rPr>
                <w:sz w:val="20"/>
                <w:szCs w:val="20"/>
                <w:color w:val="auto"/>
              </w:rPr>
            </w:pPr>
            <w:r>
              <w:rPr>
                <w:rFonts w:ascii="Arial" w:cs="Arial" w:eastAsia="Arial" w:hAnsi="Arial"/>
                <w:sz w:val="18"/>
                <w:szCs w:val="18"/>
                <w:color w:val="auto"/>
              </w:rPr>
              <w:t>(33,554)</w:t>
            </w:r>
          </w:p>
        </w:tc>
        <w:tc>
          <w:tcPr>
            <w:tcW w:w="1520" w:type="dxa"/>
            <w:vAlign w:val="bottom"/>
          </w:tcPr>
          <w:p>
            <w:pPr>
              <w:jc w:val="right"/>
              <w:ind w:right="290"/>
              <w:spacing w:after="0"/>
              <w:rPr>
                <w:sz w:val="20"/>
                <w:szCs w:val="20"/>
                <w:color w:val="auto"/>
              </w:rPr>
            </w:pPr>
            <w:r>
              <w:rPr>
                <w:rFonts w:ascii="Arial" w:cs="Arial" w:eastAsia="Arial" w:hAnsi="Arial"/>
                <w:sz w:val="18"/>
                <w:szCs w:val="18"/>
                <w:color w:val="auto"/>
              </w:rPr>
              <w:t>(18,429)</w:t>
            </w:r>
          </w:p>
        </w:tc>
        <w:tc>
          <w:tcPr>
            <w:tcW w:w="1340" w:type="dxa"/>
            <w:vAlign w:val="bottom"/>
          </w:tcPr>
          <w:p>
            <w:pPr>
              <w:jc w:val="right"/>
              <w:ind w:right="250"/>
              <w:spacing w:after="0"/>
              <w:rPr>
                <w:sz w:val="20"/>
                <w:szCs w:val="20"/>
                <w:color w:val="auto"/>
              </w:rPr>
            </w:pPr>
            <w:r>
              <w:rPr>
                <w:rFonts w:ascii="Arial" w:cs="Arial" w:eastAsia="Arial" w:hAnsi="Arial"/>
                <w:sz w:val="18"/>
                <w:szCs w:val="18"/>
                <w:color w:val="auto"/>
              </w:rPr>
              <w:t>(15,125)</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82%</w:t>
            </w:r>
          </w:p>
        </w:tc>
      </w:tr>
      <w:tr>
        <w:trPr>
          <w:trHeight w:val="229"/>
        </w:trPr>
        <w:tc>
          <w:tcPr>
            <w:tcW w:w="5720" w:type="dxa"/>
            <w:vAlign w:val="bottom"/>
            <w:shd w:val="clear" w:color="auto" w:fill="CFF0FC"/>
          </w:tcPr>
          <w:p>
            <w:pPr>
              <w:spacing w:after="0"/>
              <w:rPr>
                <w:sz w:val="20"/>
                <w:szCs w:val="20"/>
                <w:color w:val="auto"/>
              </w:rPr>
            </w:pPr>
            <w:r>
              <w:rPr>
                <w:rFonts w:ascii="Arial" w:cs="Arial" w:eastAsia="Arial" w:hAnsi="Arial"/>
                <w:sz w:val="18"/>
                <w:szCs w:val="18"/>
                <w:color w:val="auto"/>
              </w:rPr>
              <w:t>Net cash flows provided by financing activities</w:t>
            </w:r>
          </w:p>
        </w:tc>
        <w:tc>
          <w:tcPr>
            <w:tcW w:w="142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rPr>
              <w:t>144,306,260</w:t>
            </w:r>
          </w:p>
        </w:tc>
        <w:tc>
          <w:tcPr>
            <w:tcW w:w="1520" w:type="dxa"/>
            <w:vAlign w:val="bottom"/>
            <w:shd w:val="clear" w:color="auto" w:fill="CFF0FC"/>
          </w:tcPr>
          <w:p>
            <w:pPr>
              <w:jc w:val="right"/>
              <w:ind w:right="35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w w:val="91"/>
              </w:rPr>
              <w:t>144,306,260</w:t>
            </w:r>
          </w:p>
        </w:tc>
        <w:tc>
          <w:tcPr>
            <w:tcW w:w="124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r>
      <w:tr>
        <w:trPr>
          <w:trHeight w:val="230"/>
        </w:trPr>
        <w:tc>
          <w:tcPr>
            <w:tcW w:w="5720" w:type="dxa"/>
            <w:vAlign w:val="bottom"/>
          </w:tcPr>
          <w:p>
            <w:pPr>
              <w:spacing w:after="0"/>
              <w:rPr>
                <w:sz w:val="20"/>
                <w:szCs w:val="20"/>
                <w:color w:val="auto"/>
              </w:rPr>
            </w:pPr>
            <w:r>
              <w:rPr>
                <w:rFonts w:ascii="Arial" w:cs="Arial" w:eastAsia="Arial" w:hAnsi="Arial"/>
                <w:sz w:val="18"/>
                <w:szCs w:val="18"/>
                <w:b w:val="1"/>
                <w:bCs w:val="1"/>
                <w:color w:val="auto"/>
              </w:rPr>
              <w:t>Net increase (decrease) in cash and cash equivalents</w:t>
            </w:r>
          </w:p>
        </w:tc>
        <w:tc>
          <w:tcPr>
            <w:tcW w:w="1420" w:type="dxa"/>
            <w:vAlign w:val="bottom"/>
          </w:tcPr>
          <w:p>
            <w:pPr>
              <w:jc w:val="right"/>
              <w:ind w:right="210"/>
              <w:spacing w:after="0"/>
              <w:rPr>
                <w:sz w:val="20"/>
                <w:szCs w:val="20"/>
                <w:color w:val="auto"/>
              </w:rPr>
            </w:pPr>
            <w:r>
              <w:rPr>
                <w:rFonts w:ascii="Arial" w:cs="Arial" w:eastAsia="Arial" w:hAnsi="Arial"/>
                <w:sz w:val="18"/>
                <w:szCs w:val="18"/>
                <w:b w:val="1"/>
                <w:bCs w:val="1"/>
                <w:color w:val="auto"/>
              </w:rPr>
              <w:t>122,213,793</w:t>
            </w:r>
          </w:p>
        </w:tc>
        <w:tc>
          <w:tcPr>
            <w:tcW w:w="1520" w:type="dxa"/>
            <w:vAlign w:val="bottom"/>
          </w:tcPr>
          <w:p>
            <w:pPr>
              <w:jc w:val="right"/>
              <w:ind w:right="290"/>
              <w:spacing w:after="0"/>
              <w:rPr>
                <w:sz w:val="20"/>
                <w:szCs w:val="20"/>
                <w:color w:val="auto"/>
              </w:rPr>
            </w:pPr>
            <w:r>
              <w:rPr>
                <w:rFonts w:ascii="Arial" w:cs="Arial" w:eastAsia="Arial" w:hAnsi="Arial"/>
                <w:sz w:val="18"/>
                <w:szCs w:val="18"/>
                <w:b w:val="1"/>
                <w:bCs w:val="1"/>
                <w:color w:val="auto"/>
              </w:rPr>
              <w:t>(5,983,588)</w:t>
            </w:r>
          </w:p>
        </w:tc>
        <w:tc>
          <w:tcPr>
            <w:tcW w:w="1340" w:type="dxa"/>
            <w:vAlign w:val="bottom"/>
          </w:tcPr>
          <w:p>
            <w:pPr>
              <w:jc w:val="right"/>
              <w:ind w:right="310"/>
              <w:spacing w:after="0"/>
              <w:rPr>
                <w:sz w:val="20"/>
                <w:szCs w:val="20"/>
                <w:color w:val="auto"/>
              </w:rPr>
            </w:pPr>
            <w:r>
              <w:rPr>
                <w:rFonts w:ascii="Arial" w:cs="Arial" w:eastAsia="Arial" w:hAnsi="Arial"/>
                <w:sz w:val="18"/>
                <w:szCs w:val="18"/>
                <w:b w:val="1"/>
                <w:bCs w:val="1"/>
                <w:color w:val="auto"/>
                <w:w w:val="91"/>
              </w:rPr>
              <w:t>128,197,381</w:t>
            </w: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(2142)%</w:t>
            </w:r>
          </w:p>
        </w:tc>
      </w:tr>
      <w:tr>
        <w:trPr>
          <w:trHeight w:val="230"/>
        </w:trPr>
        <w:tc>
          <w:tcPr>
            <w:tcW w:w="5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and cash equivalents at the beginning of the period</w:t>
            </w:r>
          </w:p>
        </w:tc>
        <w:tc>
          <w:tcPr>
            <w:tcW w:w="1420" w:type="dxa"/>
            <w:vAlign w:val="bottom"/>
            <w:shd w:val="clear" w:color="auto" w:fill="CFF0FC"/>
          </w:tcPr>
          <w:p>
            <w:pPr>
              <w:jc w:val="right"/>
              <w:ind w:right="210"/>
              <w:spacing w:after="0"/>
              <w:rPr>
                <w:sz w:val="20"/>
                <w:szCs w:val="20"/>
                <w:color w:val="auto"/>
              </w:rPr>
            </w:pPr>
            <w:r>
              <w:rPr>
                <w:rFonts w:ascii="Arial" w:cs="Arial" w:eastAsia="Arial" w:hAnsi="Arial"/>
                <w:sz w:val="18"/>
                <w:szCs w:val="18"/>
                <w:b w:val="1"/>
                <w:bCs w:val="1"/>
                <w:color w:val="auto"/>
              </w:rPr>
              <w:t>98,628,871</w:t>
            </w:r>
          </w:p>
        </w:tc>
        <w:tc>
          <w:tcPr>
            <w:tcW w:w="1520" w:type="dxa"/>
            <w:vAlign w:val="bottom"/>
            <w:shd w:val="clear" w:color="auto" w:fill="CFF0FC"/>
          </w:tcPr>
          <w:p>
            <w:pPr>
              <w:jc w:val="right"/>
              <w:ind w:right="350"/>
              <w:spacing w:after="0"/>
              <w:rPr>
                <w:sz w:val="20"/>
                <w:szCs w:val="20"/>
                <w:color w:val="auto"/>
              </w:rPr>
            </w:pPr>
            <w:r>
              <w:rPr>
                <w:rFonts w:ascii="Arial" w:cs="Arial" w:eastAsia="Arial" w:hAnsi="Arial"/>
                <w:sz w:val="18"/>
                <w:szCs w:val="18"/>
                <w:b w:val="1"/>
                <w:bCs w:val="1"/>
                <w:color w:val="auto"/>
              </w:rPr>
              <w:t>20,326,372</w:t>
            </w:r>
          </w:p>
        </w:tc>
        <w:tc>
          <w:tcPr>
            <w:tcW w:w="1340" w:type="dxa"/>
            <w:vAlign w:val="bottom"/>
            <w:shd w:val="clear" w:color="auto" w:fill="CFF0FC"/>
          </w:tcPr>
          <w:p>
            <w:pPr>
              <w:jc w:val="right"/>
              <w:ind w:right="310"/>
              <w:spacing w:after="0"/>
              <w:rPr>
                <w:sz w:val="20"/>
                <w:szCs w:val="20"/>
                <w:color w:val="auto"/>
              </w:rPr>
            </w:pPr>
            <w:r>
              <w:rPr>
                <w:rFonts w:ascii="Arial" w:cs="Arial" w:eastAsia="Arial" w:hAnsi="Arial"/>
                <w:sz w:val="18"/>
                <w:szCs w:val="18"/>
                <w:b w:val="1"/>
                <w:bCs w:val="1"/>
                <w:color w:val="auto"/>
              </w:rPr>
              <w:t>78,302,499</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385%</w:t>
            </w:r>
          </w:p>
        </w:tc>
      </w:tr>
      <w:tr>
        <w:trPr>
          <w:trHeight w:val="229"/>
        </w:trPr>
        <w:tc>
          <w:tcPr>
            <w:tcW w:w="5720" w:type="dxa"/>
            <w:vAlign w:val="bottom"/>
          </w:tcPr>
          <w:p>
            <w:pPr>
              <w:spacing w:after="0"/>
              <w:rPr>
                <w:sz w:val="20"/>
                <w:szCs w:val="20"/>
                <w:color w:val="auto"/>
              </w:rPr>
            </w:pPr>
            <w:r>
              <w:rPr>
                <w:rFonts w:ascii="Arial" w:cs="Arial" w:eastAsia="Arial" w:hAnsi="Arial"/>
                <w:sz w:val="18"/>
                <w:szCs w:val="18"/>
                <w:color w:val="auto"/>
              </w:rPr>
              <w:t>Effect of exchange rate changes</w:t>
            </w:r>
          </w:p>
        </w:tc>
        <w:tc>
          <w:tcPr>
            <w:tcW w:w="1420" w:type="dxa"/>
            <w:vAlign w:val="bottom"/>
          </w:tcPr>
          <w:p>
            <w:pPr>
              <w:jc w:val="right"/>
              <w:ind w:right="210"/>
              <w:spacing w:after="0"/>
              <w:rPr>
                <w:sz w:val="20"/>
                <w:szCs w:val="20"/>
                <w:color w:val="auto"/>
              </w:rPr>
            </w:pPr>
            <w:r>
              <w:rPr>
                <w:rFonts w:ascii="Arial" w:cs="Arial" w:eastAsia="Arial" w:hAnsi="Arial"/>
                <w:sz w:val="18"/>
                <w:szCs w:val="18"/>
                <w:color w:val="auto"/>
              </w:rPr>
              <w:t>3,475,076</w:t>
            </w:r>
          </w:p>
        </w:tc>
        <w:tc>
          <w:tcPr>
            <w:tcW w:w="1520" w:type="dxa"/>
            <w:vAlign w:val="bottom"/>
          </w:tcPr>
          <w:p>
            <w:pPr>
              <w:jc w:val="right"/>
              <w:ind w:right="290"/>
              <w:spacing w:after="0"/>
              <w:rPr>
                <w:sz w:val="20"/>
                <w:szCs w:val="20"/>
                <w:color w:val="auto"/>
              </w:rPr>
            </w:pPr>
            <w:r>
              <w:rPr>
                <w:rFonts w:ascii="Arial" w:cs="Arial" w:eastAsia="Arial" w:hAnsi="Arial"/>
                <w:sz w:val="18"/>
                <w:szCs w:val="18"/>
                <w:color w:val="auto"/>
              </w:rPr>
              <w:t>(14,306)</w:t>
            </w:r>
          </w:p>
        </w:tc>
        <w:tc>
          <w:tcPr>
            <w:tcW w:w="1340" w:type="dxa"/>
            <w:vAlign w:val="bottom"/>
          </w:tcPr>
          <w:p>
            <w:pPr>
              <w:jc w:val="right"/>
              <w:ind w:right="310"/>
              <w:spacing w:after="0"/>
              <w:rPr>
                <w:sz w:val="20"/>
                <w:szCs w:val="20"/>
                <w:color w:val="auto"/>
              </w:rPr>
            </w:pPr>
            <w:r>
              <w:rPr>
                <w:rFonts w:ascii="Arial" w:cs="Arial" w:eastAsia="Arial" w:hAnsi="Arial"/>
                <w:sz w:val="18"/>
                <w:szCs w:val="18"/>
                <w:color w:val="auto"/>
              </w:rPr>
              <w:t>3,489,382</w:t>
            </w:r>
          </w:p>
        </w:tc>
        <w:tc>
          <w:tcPr>
            <w:tcW w:w="1240" w:type="dxa"/>
            <w:vAlign w:val="bottom"/>
          </w:tcPr>
          <w:p>
            <w:pPr>
              <w:jc w:val="right"/>
              <w:spacing w:after="0"/>
              <w:rPr>
                <w:sz w:val="20"/>
                <w:szCs w:val="20"/>
                <w:color w:val="auto"/>
              </w:rPr>
            </w:pPr>
            <w:r>
              <w:rPr>
                <w:rFonts w:ascii="Arial" w:cs="Arial" w:eastAsia="Arial" w:hAnsi="Arial"/>
                <w:sz w:val="18"/>
                <w:szCs w:val="18"/>
                <w:color w:val="auto"/>
              </w:rPr>
              <w:t>(24391)%</w:t>
            </w:r>
          </w:p>
        </w:tc>
      </w:tr>
      <w:tr>
        <w:trPr>
          <w:trHeight w:val="230"/>
        </w:trPr>
        <w:tc>
          <w:tcPr>
            <w:tcW w:w="5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and cash equivalents at the end of the period</w:t>
            </w:r>
          </w:p>
        </w:tc>
        <w:tc>
          <w:tcPr>
            <w:tcW w:w="1420" w:type="dxa"/>
            <w:vAlign w:val="bottom"/>
            <w:shd w:val="clear" w:color="auto" w:fill="CFF0FC"/>
          </w:tcPr>
          <w:p>
            <w:pPr>
              <w:jc w:val="right"/>
              <w:ind w:right="210"/>
              <w:spacing w:after="0"/>
              <w:rPr>
                <w:sz w:val="20"/>
                <w:szCs w:val="20"/>
                <w:color w:val="auto"/>
              </w:rPr>
            </w:pPr>
            <w:r>
              <w:rPr>
                <w:rFonts w:ascii="Arial" w:cs="Arial" w:eastAsia="Arial" w:hAnsi="Arial"/>
                <w:sz w:val="18"/>
                <w:szCs w:val="18"/>
                <w:b w:val="1"/>
                <w:bCs w:val="1"/>
                <w:color w:val="auto"/>
              </w:rPr>
              <w:t>224,317,740</w:t>
            </w:r>
          </w:p>
        </w:tc>
        <w:tc>
          <w:tcPr>
            <w:tcW w:w="1520" w:type="dxa"/>
            <w:vAlign w:val="bottom"/>
            <w:shd w:val="clear" w:color="auto" w:fill="CFF0FC"/>
          </w:tcPr>
          <w:p>
            <w:pPr>
              <w:jc w:val="right"/>
              <w:ind w:right="350"/>
              <w:spacing w:after="0"/>
              <w:rPr>
                <w:sz w:val="20"/>
                <w:szCs w:val="20"/>
                <w:color w:val="auto"/>
              </w:rPr>
            </w:pPr>
            <w:r>
              <w:rPr>
                <w:rFonts w:ascii="Arial" w:cs="Arial" w:eastAsia="Arial" w:hAnsi="Arial"/>
                <w:sz w:val="18"/>
                <w:szCs w:val="18"/>
                <w:b w:val="1"/>
                <w:bCs w:val="1"/>
                <w:color w:val="auto"/>
              </w:rPr>
              <w:t>14,328,478</w:t>
            </w:r>
          </w:p>
        </w:tc>
        <w:tc>
          <w:tcPr>
            <w:tcW w:w="1340" w:type="dxa"/>
            <w:vAlign w:val="bottom"/>
            <w:shd w:val="clear" w:color="auto" w:fill="CFF0FC"/>
          </w:tcPr>
          <w:p>
            <w:pPr>
              <w:jc w:val="right"/>
              <w:ind w:right="310"/>
              <w:spacing w:after="0"/>
              <w:rPr>
                <w:sz w:val="20"/>
                <w:szCs w:val="20"/>
                <w:color w:val="auto"/>
              </w:rPr>
            </w:pPr>
            <w:r>
              <w:rPr>
                <w:rFonts w:ascii="Arial" w:cs="Arial" w:eastAsia="Arial" w:hAnsi="Arial"/>
                <w:sz w:val="18"/>
                <w:szCs w:val="18"/>
                <w:b w:val="1"/>
                <w:bCs w:val="1"/>
                <w:color w:val="auto"/>
                <w:w w:val="91"/>
              </w:rPr>
              <w:t>209,989,262</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1466%</w:t>
            </w:r>
          </w:p>
        </w:tc>
      </w:tr>
    </w:tbl>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85" w:lineRule="exact"/>
        <w:rPr>
          <w:sz w:val="20"/>
          <w:szCs w:val="20"/>
          <w:color w:val="auto"/>
        </w:rPr>
      </w:pPr>
    </w:p>
    <w:p>
      <w:pPr>
        <w:ind w:right="320" w:firstLine="432"/>
        <w:spacing w:after="0" w:line="277" w:lineRule="auto"/>
        <w:rPr>
          <w:sz w:val="20"/>
          <w:szCs w:val="20"/>
          <w:color w:val="auto"/>
        </w:rPr>
      </w:pPr>
      <w:r>
        <w:rPr>
          <w:rFonts w:ascii="Arial" w:cs="Arial" w:eastAsia="Arial" w:hAnsi="Arial"/>
          <w:sz w:val="18"/>
          <w:szCs w:val="18"/>
          <w:color w:val="auto"/>
        </w:rPr>
        <w:t>Net cash used in operating activities reflects our results for the period adjusted for, among other things, depreciation, unrealized foreign exchange results, share-based payments, changes in working capital and interest accruals and payments.</w:t>
      </w:r>
    </w:p>
    <w:p>
      <w:pPr>
        <w:spacing w:after="0" w:line="130" w:lineRule="exact"/>
        <w:rPr>
          <w:sz w:val="20"/>
          <w:szCs w:val="20"/>
          <w:color w:val="auto"/>
        </w:rPr>
      </w:pPr>
    </w:p>
    <w:p>
      <w:pPr>
        <w:ind w:right="180" w:firstLine="432"/>
        <w:spacing w:after="0" w:line="286" w:lineRule="auto"/>
        <w:rPr>
          <w:sz w:val="20"/>
          <w:szCs w:val="20"/>
          <w:color w:val="auto"/>
        </w:rPr>
      </w:pPr>
      <w:r>
        <w:rPr>
          <w:rFonts w:ascii="Arial" w:cs="Arial" w:eastAsia="Arial" w:hAnsi="Arial"/>
          <w:sz w:val="17"/>
          <w:szCs w:val="17"/>
          <w:color w:val="auto"/>
        </w:rPr>
        <w:t>Net cash used in operating activities was €22,058,913 for the six months ended June 30, 2021, an increase of €16,093,753, compared to €5,965,160 for the six months ended June 30, 2020, primarily reflecting the increase in research and development expenses and other operating expenses, due to progression made in the PHVS416 and PHVS719 development programs and the growth of our organization in 2021.</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18" w:name="page19"/>
    <w:bookmarkEnd w:id="18"/>
    <w:p>
      <w:pPr>
        <w:ind w:left="44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98"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Net cash flows used in investing activities increased by €15,125 from €18,429 for the six months ended June 30, 2020 to €33,554 for the six months ended June 30, 2021, primarily as a result of capital expenditure related to office equipment in 2021.</w:t>
      </w:r>
    </w:p>
    <w:p>
      <w:pPr>
        <w:spacing w:after="0" w:line="130"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85" w:lineRule="exact"/>
        <w:rPr>
          <w:sz w:val="20"/>
          <w:szCs w:val="20"/>
          <w:color w:val="auto"/>
        </w:rPr>
      </w:pPr>
    </w:p>
    <w:p>
      <w:pPr>
        <w:ind w:right="160" w:firstLine="432"/>
        <w:spacing w:after="0" w:line="263" w:lineRule="auto"/>
        <w:rPr>
          <w:sz w:val="20"/>
          <w:szCs w:val="20"/>
          <w:color w:val="auto"/>
        </w:rPr>
      </w:pPr>
      <w:r>
        <w:rPr>
          <w:rFonts w:ascii="Arial" w:cs="Arial" w:eastAsia="Arial" w:hAnsi="Arial"/>
          <w:sz w:val="18"/>
          <w:szCs w:val="18"/>
          <w:color w:val="auto"/>
        </w:rPr>
        <w:t>Net cash flows provided by financing activities increased by €144,306,260 from nil for the six months ended June 30, 2020 to €144,306,260 for the six months ended June 30, 2021, primarily as a result of the proceeds of €144,306,260 from the IPO net of underwriting discount and other transaction costs.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89" w:lineRule="exact"/>
        <w:rPr>
          <w:sz w:val="20"/>
          <w:szCs w:val="20"/>
          <w:color w:val="auto"/>
        </w:rPr>
      </w:pPr>
    </w:p>
    <w:p>
      <w:pPr>
        <w:ind w:right="760" w:firstLine="432"/>
        <w:spacing w:after="0" w:line="277" w:lineRule="auto"/>
        <w:rPr>
          <w:sz w:val="20"/>
          <w:szCs w:val="20"/>
          <w:color w:val="auto"/>
        </w:rPr>
      </w:pPr>
      <w:r>
        <w:rPr>
          <w:rFonts w:ascii="Arial" w:cs="Arial" w:eastAsia="Arial" w:hAnsi="Arial"/>
          <w:sz w:val="18"/>
          <w:szCs w:val="18"/>
          <w:color w:val="auto"/>
        </w:rPr>
        <w:t>Our contractual obligations and commitments as of June 30, 2021 amounted to €15,379,000, primarily related to research and development commitments.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June 30, 2021, we did not have any off-balance sheet arrangements other than the disclosed commitments.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189" w:lineRule="exact"/>
        <w:rPr>
          <w:sz w:val="20"/>
          <w:szCs w:val="20"/>
          <w:color w:val="auto"/>
        </w:rPr>
      </w:pPr>
    </w:p>
    <w:p>
      <w:pPr>
        <w:ind w:right="20" w:firstLine="432"/>
        <w:spacing w:after="0" w:line="308" w:lineRule="auto"/>
        <w:rPr>
          <w:sz w:val="20"/>
          <w:szCs w:val="20"/>
          <w:color w:val="auto"/>
        </w:rPr>
      </w:pPr>
      <w:r>
        <w:rPr>
          <w:rFonts w:ascii="Arial" w:cs="Arial" w:eastAsia="Arial" w:hAnsi="Arial"/>
          <w:sz w:val="17"/>
          <w:szCs w:val="17"/>
          <w:color w:val="auto"/>
        </w:rPr>
        <w:t>During the six months ended June 30, 2021, there were no significant changes to our quantitative and qualitative disclosures about market risk from those reported in “Item 11. Quantitative and Qualitative Disclosures About Market Risk” in the Annual Report, except for the following:</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Risk</w:t>
      </w:r>
    </w:p>
    <w:p>
      <w:pPr>
        <w:spacing w:after="0" w:line="202" w:lineRule="exact"/>
        <w:rPr>
          <w:sz w:val="20"/>
          <w:szCs w:val="20"/>
          <w:color w:val="auto"/>
        </w:rPr>
      </w:pPr>
    </w:p>
    <w:p>
      <w:pPr>
        <w:ind w:firstLine="432"/>
        <w:spacing w:after="0" w:line="263" w:lineRule="auto"/>
        <w:rPr>
          <w:sz w:val="20"/>
          <w:szCs w:val="20"/>
          <w:color w:val="auto"/>
        </w:rPr>
      </w:pPr>
      <w:r>
        <w:rPr>
          <w:rFonts w:ascii="Arial" w:cs="Arial" w:eastAsia="Arial" w:hAnsi="Arial"/>
          <w:sz w:val="18"/>
          <w:szCs w:val="18"/>
          <w:color w:val="auto"/>
        </w:rPr>
        <w:t>The Company is exposed to foreign exchange risk arising from various currency exposures, primarily with respect to the U.S. Dollar. We received the proceeds from our IPO in February 2021 in U.S. Dollars. We seek to minimize our exchange rate risk by maintaining cash positions in the currencies in which we expect to incur the majority of our future expenses and we make payments from those positions.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89" w:lineRule="exact"/>
        <w:rPr>
          <w:sz w:val="20"/>
          <w:szCs w:val="20"/>
          <w:color w:val="auto"/>
        </w:rPr>
      </w:pPr>
    </w:p>
    <w:p>
      <w:pPr>
        <w:ind w:right="260" w:firstLine="432"/>
        <w:spacing w:after="0" w:line="263" w:lineRule="auto"/>
        <w:rPr>
          <w:sz w:val="20"/>
          <w:szCs w:val="20"/>
          <w:color w:val="auto"/>
        </w:rPr>
      </w:pPr>
      <w:r>
        <w:rPr>
          <w:rFonts w:ascii="Arial" w:cs="Arial" w:eastAsia="Arial" w:hAnsi="Arial"/>
          <w:sz w:val="18"/>
          <w:szCs w:val="18"/>
          <w:color w:val="auto"/>
        </w:rPr>
        <w:t>We have adopted an investment policy with the primary purpose of preserving capital, fulfilling our liquidity needs and diversifying the risks associated with cash. This investment policy establishes minimum ratings for institutions with which we hold cash, also ensuring that a negative interest rate is not paid.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 and Judgments</w:t>
      </w:r>
    </w:p>
    <w:p>
      <w:pPr>
        <w:spacing w:after="0" w:line="202" w:lineRule="exact"/>
        <w:rPr>
          <w:sz w:val="20"/>
          <w:szCs w:val="20"/>
          <w:color w:val="auto"/>
        </w:rPr>
      </w:pPr>
    </w:p>
    <w:p>
      <w:pPr>
        <w:ind w:right="160" w:firstLine="432"/>
        <w:spacing w:after="0" w:line="308" w:lineRule="auto"/>
        <w:rPr>
          <w:sz w:val="20"/>
          <w:szCs w:val="20"/>
          <w:color w:val="auto"/>
        </w:rPr>
      </w:pPr>
      <w:r>
        <w:rPr>
          <w:rFonts w:ascii="Arial" w:cs="Arial" w:eastAsia="Arial" w:hAnsi="Arial"/>
          <w:sz w:val="17"/>
          <w:szCs w:val="17"/>
          <w:color w:val="auto"/>
        </w:rPr>
        <w:t>There have been no material changes to the significant accounting policies and estimates described in “Item 5. Operating and Financial Review and Prospects—A. Operating —Critical accounting estimates and judgements” in the Annual Report, except for the share options granted.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189" w:lineRule="exact"/>
        <w:rPr>
          <w:sz w:val="20"/>
          <w:szCs w:val="20"/>
          <w:color w:val="auto"/>
        </w:rPr>
      </w:pPr>
    </w:p>
    <w:p>
      <w:pPr>
        <w:ind w:right="160" w:firstLine="432"/>
        <w:spacing w:after="0" w:line="271" w:lineRule="auto"/>
        <w:rPr>
          <w:sz w:val="20"/>
          <w:szCs w:val="20"/>
          <w:color w:val="auto"/>
        </w:rPr>
      </w:pPr>
      <w:r>
        <w:rPr>
          <w:rFonts w:ascii="Arial" w:cs="Arial" w:eastAsia="Arial" w:hAnsi="Arial"/>
          <w:sz w:val="17"/>
          <w:szCs w:val="17"/>
          <w:color w:val="auto"/>
        </w:rPr>
        <w:t>Certain statements in this management’s discussion and analysis are or may be forward-looking statements with respect to us, our industry and our business that involve substantial risks and uncertainties. All statements other than statements of historical fact contained in this management’s discussion and analysis, including statements regarding our future financial condition, results of operations and/or business achievements, including, without limitation, statements containing the words “believe,” “anticipate,” “expect,” “estimate,” “may,” “could,” “should,” “would,” “will,” “intend” and similar expressions are forward-looking statements. We have based these forward-looking statements largely on our current expectations and projections about future events and trends that we believe may affect our financial condition, results of operations, business strategy and financial needs. Such forward-looking statements involve unknown risks, uncertainties and other factors which may cause our actual results, financial condition, performance or achievements, or industry results, to be materially different from any future results,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01" w:right="359" w:bottom="1440" w:gutter="0" w:footer="0" w:header="0"/>
        </w:sectPr>
      </w:pPr>
    </w:p>
    <w:bookmarkStart w:id="19" w:name="page20"/>
    <w:bookmarkEnd w:id="19"/>
    <w:p>
      <w:pPr>
        <w:ind w:right="300"/>
        <w:spacing w:after="0" w:line="277" w:lineRule="auto"/>
        <w:rPr>
          <w:sz w:val="20"/>
          <w:szCs w:val="20"/>
          <w:color w:val="auto"/>
        </w:rPr>
      </w:pPr>
      <w:r>
        <w:rPr>
          <w:rFonts w:ascii="Arial" w:cs="Arial" w:eastAsia="Arial" w:hAnsi="Arial"/>
          <w:sz w:val="18"/>
          <w:szCs w:val="18"/>
          <w:color w:val="auto"/>
        </w:rPr>
        <w:t>performance or achievements expressed or implied by such forward-looking statements. Factors that might cause such a difference include, but are not limited to:</w:t>
      </w:r>
    </w:p>
    <w:p>
      <w:pPr>
        <w:spacing w:after="0" w:line="197" w:lineRule="exact"/>
        <w:rPr>
          <w:sz w:val="20"/>
          <w:szCs w:val="20"/>
          <w:color w:val="auto"/>
        </w:rPr>
      </w:pPr>
    </w:p>
    <w:p>
      <w:pPr>
        <w:ind w:left="880" w:right="280" w:hanging="440"/>
        <w:spacing w:after="0" w:line="277" w:lineRule="auto"/>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expected timing, progress or success of our clinical development programs, especially for PHVS416 and PHVS719, which are in early-stage clinical trials;</w:t>
      </w:r>
    </w:p>
    <w:p>
      <w:pPr>
        <w:spacing w:after="0" w:line="197" w:lineRule="exact"/>
        <w:rPr>
          <w:rFonts w:ascii="Arial" w:cs="Arial" w:eastAsia="Arial" w:hAnsi="Arial"/>
          <w:sz w:val="18"/>
          <w:szCs w:val="18"/>
          <w:color w:val="auto"/>
        </w:rPr>
      </w:pPr>
    </w:p>
    <w:p>
      <w:pPr>
        <w:ind w:left="880" w:right="40" w:hanging="440"/>
        <w:spacing w:after="0" w:line="277" w:lineRule="auto"/>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risks associated with the COVID-19 pandemic, which may adversely impact our business, non-clinical studies and clinical trials, the timing of regulatory approvals and the value of our ordinary shares;</w:t>
      </w:r>
    </w:p>
    <w:p>
      <w:pPr>
        <w:spacing w:after="0" w:line="197" w:lineRule="exact"/>
        <w:rPr>
          <w:rFonts w:ascii="Arial" w:cs="Arial" w:eastAsia="Arial" w:hAnsi="Arial"/>
          <w:sz w:val="18"/>
          <w:szCs w:val="18"/>
          <w:color w:val="auto"/>
        </w:rPr>
      </w:pPr>
    </w:p>
    <w:p>
      <w:pPr>
        <w:ind w:left="880" w:right="240" w:hanging="440"/>
        <w:spacing w:after="0" w:line="277" w:lineRule="auto"/>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timing, costs and other limitations involved in obtaining regulatory approval for our product candidates PHVS416 and PHVS719 or any other product candidate that we may develop in the future;</w:t>
      </w:r>
    </w:p>
    <w:p>
      <w:pPr>
        <w:spacing w:after="0" w:line="197" w:lineRule="exact"/>
        <w:rPr>
          <w:rFonts w:ascii="Arial" w:cs="Arial" w:eastAsia="Arial" w:hAnsi="Arial"/>
          <w:sz w:val="18"/>
          <w:szCs w:val="18"/>
          <w:color w:val="auto"/>
        </w:rPr>
      </w:pPr>
    </w:p>
    <w:p>
      <w:pPr>
        <w:ind w:left="880" w:right="200" w:hanging="440"/>
        <w:spacing w:after="0" w:line="277" w:lineRule="auto"/>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market, commercialize and achieve market acceptance for our product candidates PHVS416 and PHVS719 or any of our other product candidates that we may develop in the future, if approved;</w:t>
      </w:r>
    </w:p>
    <w:p>
      <w:pPr>
        <w:spacing w:after="0" w:line="197" w:lineRule="exact"/>
        <w:rPr>
          <w:rFonts w:ascii="Arial" w:cs="Arial" w:eastAsia="Arial" w:hAnsi="Arial"/>
          <w:sz w:val="18"/>
          <w:szCs w:val="18"/>
          <w:color w:val="auto"/>
        </w:rPr>
      </w:pPr>
    </w:p>
    <w:p>
      <w:pPr>
        <w:ind w:left="880" w:hanging="440"/>
        <w:spacing w:after="0"/>
        <w:tabs>
          <w:tab w:leader="none" w:pos="8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our ability to establish commercial capabilities or enter into agreements with third parties to market, sell and distribute our product candidates;</w:t>
      </w:r>
    </w:p>
    <w:p>
      <w:pPr>
        <w:spacing w:after="0" w:line="275" w:lineRule="exact"/>
        <w:rPr>
          <w:rFonts w:ascii="Arial" w:cs="Arial" w:eastAsia="Arial" w:hAnsi="Arial"/>
          <w:sz w:val="16"/>
          <w:szCs w:val="16"/>
          <w:color w:val="auto"/>
        </w:rPr>
      </w:pPr>
    </w:p>
    <w:p>
      <w:pPr>
        <w:ind w:left="880" w:hanging="440"/>
        <w:spacing w:after="0"/>
        <w:tabs>
          <w:tab w:leader="none" w:pos="8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our dependence on third parties to perform critical activities related to the research, development and manufacturing of our product candidates;</w:t>
      </w:r>
    </w:p>
    <w:p>
      <w:pPr>
        <w:spacing w:after="0" w:line="248" w:lineRule="exact"/>
        <w:rPr>
          <w:rFonts w:ascii="Arial" w:cs="Arial" w:eastAsia="Arial" w:hAnsi="Arial"/>
          <w:sz w:val="16"/>
          <w:szCs w:val="16"/>
          <w:color w:val="auto"/>
        </w:rPr>
      </w:pPr>
    </w:p>
    <w:p>
      <w:pPr>
        <w:ind w:left="880" w:hanging="440"/>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disruptions at the FDA and other government agencies;</w:t>
      </w:r>
    </w:p>
    <w:p>
      <w:pPr>
        <w:spacing w:after="0" w:line="225" w:lineRule="exact"/>
        <w:rPr>
          <w:rFonts w:ascii="Arial" w:cs="Arial" w:eastAsia="Arial" w:hAnsi="Arial"/>
          <w:sz w:val="18"/>
          <w:szCs w:val="18"/>
          <w:color w:val="auto"/>
        </w:rPr>
      </w:pPr>
    </w:p>
    <w:p>
      <w:pPr>
        <w:ind w:left="880" w:right="20" w:hanging="440"/>
        <w:spacing w:after="0" w:line="277" w:lineRule="auto"/>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expense, time and uncertainty involved in the development and consistent manufacturing and supply of our product candidates, some or all of which may never reach the regulatory approval stage;</w:t>
      </w:r>
    </w:p>
    <w:p>
      <w:pPr>
        <w:spacing w:after="0" w:line="170" w:lineRule="exact"/>
        <w:rPr>
          <w:rFonts w:ascii="Arial" w:cs="Arial" w:eastAsia="Arial" w:hAnsi="Arial"/>
          <w:sz w:val="18"/>
          <w:szCs w:val="18"/>
          <w:color w:val="auto"/>
        </w:rPr>
      </w:pPr>
    </w:p>
    <w:p>
      <w:pPr>
        <w:ind w:left="880" w:hanging="440"/>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raise capital when needed and on acceptable terms;</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our ability to enter into any new licensing agreements or to maintain any licensing agreements with respect to our product candidates;</w:t>
      </w:r>
    </w:p>
    <w:p>
      <w:pPr>
        <w:spacing w:after="0" w:line="236" w:lineRule="exact"/>
        <w:rPr>
          <w:rFonts w:ascii="Arial" w:cs="Arial" w:eastAsia="Arial" w:hAnsi="Arial"/>
          <w:sz w:val="17"/>
          <w:szCs w:val="17"/>
          <w:color w:val="auto"/>
        </w:rPr>
      </w:pPr>
    </w:p>
    <w:p>
      <w:pPr>
        <w:ind w:left="880" w:hanging="440"/>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reliance on collaboration partners and licensees, whose actions we cannot control;</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willingness of private insurers and other payors to provide reimbursement for our products;</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regulatory developments in the United States, the European Union and other jurisdictions;</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outcome and timing of price negotiations with governmental authorities;</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compete in the pharmaceutical industry and with competitive generic products;</w:t>
      </w:r>
    </w:p>
    <w:p>
      <w:pPr>
        <w:spacing w:after="0" w:line="225" w:lineRule="exact"/>
        <w:rPr>
          <w:rFonts w:ascii="Arial" w:cs="Arial" w:eastAsia="Arial" w:hAnsi="Arial"/>
          <w:sz w:val="18"/>
          <w:szCs w:val="18"/>
          <w:color w:val="auto"/>
        </w:rPr>
      </w:pPr>
    </w:p>
    <w:p>
      <w:pPr>
        <w:ind w:left="880" w:right="320" w:hanging="440"/>
        <w:spacing w:after="0" w:line="277" w:lineRule="auto"/>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protect our intellectual property and know-how and operate our business without infringing the intellectual property rights or regulatory exclusivity of others;</w:t>
      </w:r>
    </w:p>
    <w:p>
      <w:pPr>
        <w:spacing w:after="0" w:line="197" w:lineRule="exact"/>
        <w:rPr>
          <w:rFonts w:ascii="Arial" w:cs="Arial" w:eastAsia="Arial" w:hAnsi="Arial"/>
          <w:sz w:val="18"/>
          <w:szCs w:val="18"/>
          <w:color w:val="auto"/>
        </w:rPr>
      </w:pPr>
    </w:p>
    <w:p>
      <w:pPr>
        <w:ind w:left="880" w:hanging="440"/>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side effects or adverse events associated with the use of our product candidates;</w:t>
      </w:r>
    </w:p>
    <w:p>
      <w:pPr>
        <w:spacing w:after="0" w:line="225" w:lineRule="exact"/>
        <w:rPr>
          <w:rFonts w:ascii="Arial" w:cs="Arial" w:eastAsia="Arial" w:hAnsi="Arial"/>
          <w:sz w:val="18"/>
          <w:szCs w:val="18"/>
          <w:color w:val="auto"/>
        </w:rPr>
      </w:pPr>
    </w:p>
    <w:p>
      <w:pPr>
        <w:ind w:left="880" w:right="560" w:hanging="440"/>
        <w:spacing w:after="0" w:line="277" w:lineRule="auto"/>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defend against costly and damaging liability claims resulting from the testing of our product candidates in the clinic or, if, approved, any commercial sales;</w:t>
      </w:r>
    </w:p>
    <w:p>
      <w:pPr>
        <w:spacing w:after="0" w:line="170" w:lineRule="exact"/>
        <w:rPr>
          <w:rFonts w:ascii="Arial" w:cs="Arial" w:eastAsia="Arial" w:hAnsi="Arial"/>
          <w:sz w:val="18"/>
          <w:szCs w:val="18"/>
          <w:color w:val="auto"/>
        </w:rPr>
      </w:pPr>
    </w:p>
    <w:p>
      <w:pPr>
        <w:ind w:left="880" w:hanging="440"/>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loss of any of our key personnel;</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estimates of market sizes and anticipated uses of our product candidates;</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estimates of future performance;</w:t>
      </w: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60"/>
          </w:cols>
          <w:pgMar w:left="320" w:top="301" w:right="419" w:bottom="1440" w:gutter="0" w:footer="0" w:header="0"/>
        </w:sectPr>
      </w:pPr>
    </w:p>
    <w:bookmarkStart w:id="20" w:name="page21"/>
    <w:bookmarkEnd w:id="20"/>
    <w:p>
      <w:pPr>
        <w:ind w:left="880" w:hanging="440"/>
        <w:spacing w:after="0"/>
        <w:tabs>
          <w:tab w:leader="none" w:pos="8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our estimates regarding anticipated operating losses, future revenues, expenses, capital requirements and our needs for additional financing;</w:t>
      </w:r>
    </w:p>
    <w:p>
      <w:pPr>
        <w:spacing w:after="0" w:line="248" w:lineRule="exact"/>
        <w:rPr>
          <w:rFonts w:ascii="Arial" w:cs="Arial" w:eastAsia="Arial" w:hAnsi="Arial"/>
          <w:sz w:val="16"/>
          <w:szCs w:val="16"/>
          <w:color w:val="auto"/>
        </w:rPr>
      </w:pPr>
    </w:p>
    <w:p>
      <w:pPr>
        <w:ind w:left="880" w:hanging="440"/>
        <w:spacing w:after="0"/>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comply with existing or future laws and regulations in a cost-efficient manner;</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manage negative consequences from changes in applicable laws and regulations, including tax laws;</w:t>
      </w:r>
    </w:p>
    <w:p>
      <w:pPr>
        <w:spacing w:after="0" w:line="225" w:lineRule="exact"/>
        <w:rPr>
          <w:rFonts w:ascii="Arial" w:cs="Arial" w:eastAsia="Arial" w:hAnsi="Arial"/>
          <w:sz w:val="18"/>
          <w:szCs w:val="18"/>
          <w:color w:val="auto"/>
        </w:rPr>
      </w:pPr>
    </w:p>
    <w:p>
      <w:pPr>
        <w:ind w:left="880" w:hanging="440"/>
        <w:spacing w:after="0" w:line="277" w:lineRule="auto"/>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successfully remediate the material weaknesses in our internal control over financial reporting and to maintain an effective system of internal control over financial reporting;</w:t>
      </w:r>
    </w:p>
    <w:p>
      <w:pPr>
        <w:spacing w:after="0" w:line="170" w:lineRule="exact"/>
        <w:rPr>
          <w:rFonts w:ascii="Arial" w:cs="Arial" w:eastAsia="Arial" w:hAnsi="Arial"/>
          <w:sz w:val="18"/>
          <w:szCs w:val="18"/>
          <w:color w:val="auto"/>
        </w:rPr>
      </w:pPr>
    </w:p>
    <w:p>
      <w:pPr>
        <w:ind w:left="880" w:hanging="440"/>
        <w:spacing w:after="0"/>
        <w:tabs>
          <w:tab w:leader="none" w:pos="8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our expectations regarding the time during which we will be an emerging growth company under the Jumpstart Our Business Startups Act; and</w:t>
      </w:r>
    </w:p>
    <w:p>
      <w:pPr>
        <w:spacing w:after="0" w:line="248" w:lineRule="exact"/>
        <w:rPr>
          <w:rFonts w:ascii="Arial" w:cs="Arial" w:eastAsia="Arial" w:hAnsi="Arial"/>
          <w:sz w:val="16"/>
          <w:szCs w:val="16"/>
          <w:color w:val="auto"/>
        </w:rPr>
      </w:pPr>
    </w:p>
    <w:p>
      <w:pPr>
        <w:ind w:left="880" w:hanging="440"/>
        <w:spacing w:after="0"/>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general market, political and economic conditions.</w:t>
      </w:r>
    </w:p>
    <w:p>
      <w:pPr>
        <w:spacing w:after="0" w:line="252" w:lineRule="exact"/>
        <w:rPr>
          <w:sz w:val="20"/>
          <w:szCs w:val="20"/>
          <w:color w:val="auto"/>
        </w:rPr>
      </w:pPr>
    </w:p>
    <w:p>
      <w:pPr>
        <w:jc w:val="both"/>
        <w:ind w:right="20" w:firstLine="432"/>
        <w:spacing w:after="0" w:line="259" w:lineRule="auto"/>
        <w:rPr>
          <w:sz w:val="20"/>
          <w:szCs w:val="20"/>
          <w:color w:val="auto"/>
        </w:rPr>
      </w:pPr>
      <w:r>
        <w:rPr>
          <w:rFonts w:ascii="Arial" w:cs="Arial" w:eastAsia="Arial" w:hAnsi="Arial"/>
          <w:sz w:val="18"/>
          <w:szCs w:val="18"/>
          <w:color w:val="auto"/>
        </w:rPr>
        <w:t>You should refer to “ITEM 3. Key information—D. Risk factors.” section of our Annual Report for a discussion of important factors that may cause our actual results to differ materially from those expressed or implied by our forward-looking statements. As a result of these factors, we cannot assure you that the forward-looking statements in this management’s discussion and analysis will prove to be accurate. Furthermore, if our forward-looking statements prove to be inaccurate, the inaccuracy may be material.</w:t>
      </w:r>
    </w:p>
    <w:p>
      <w:pPr>
        <w:spacing w:after="0" w:line="146"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In light of the significant uncertainties in these forward-looking statements, you should not regard these statements as a representation or warranty by us or any other person that we will achieve our objectives and plans in any specified time frame or at all.</w:t>
      </w:r>
    </w:p>
    <w:p>
      <w:pPr>
        <w:spacing w:after="0" w:line="143"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We undertake no obligation to publicly update any forward-looking statements, whether as a result of new information, future events or otherwise, except as required by law.</w:t>
      </w:r>
    </w:p>
    <w:p>
      <w:pPr>
        <w:spacing w:after="0" w:line="130" w:lineRule="exact"/>
        <w:rPr>
          <w:sz w:val="20"/>
          <w:szCs w:val="20"/>
          <w:color w:val="auto"/>
        </w:rPr>
      </w:pPr>
    </w:p>
    <w:p>
      <w:pPr>
        <w:ind w:right="200" w:firstLine="432"/>
        <w:spacing w:after="0" w:line="257" w:lineRule="auto"/>
        <w:rPr>
          <w:sz w:val="20"/>
          <w:szCs w:val="20"/>
          <w:color w:val="auto"/>
        </w:rPr>
      </w:pPr>
      <w:r>
        <w:rPr>
          <w:rFonts w:ascii="Arial" w:cs="Arial" w:eastAsia="Arial" w:hAnsi="Arial"/>
          <w:sz w:val="18"/>
          <w:szCs w:val="18"/>
          <w:color w:val="auto"/>
        </w:rPr>
        <w:t>In addition, statements that “we believe” and other similar statements reflect our belief and opinions on the relevant subject. These statements are based upon information available to us as of the date of this management’s discussion and analysis,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20"/>
          </w:cols>
          <w:pgMar w:left="320" w:top="355" w:right="359" w:bottom="1440" w:gutter="0" w:footer="0" w:header="0"/>
        </w:sectPr>
      </w:pPr>
    </w:p>
    <w:bookmarkStart w:id="21" w:name="page22"/>
    <w:bookmarkEnd w:id="21"/>
    <w:p>
      <w:pPr>
        <w:jc w:val="right"/>
        <w:spacing w:after="0"/>
        <w:rPr>
          <w:sz w:val="20"/>
          <w:szCs w:val="20"/>
          <w:color w:val="auto"/>
        </w:rPr>
      </w:pPr>
      <w:r>
        <w:rPr>
          <w:rFonts w:ascii="Arial" w:cs="Arial" w:eastAsia="Arial" w:hAnsi="Arial"/>
          <w:sz w:val="18"/>
          <w:szCs w:val="18"/>
          <w:b w:val="1"/>
          <w:bCs w:val="1"/>
          <w:color w:val="auto"/>
        </w:rPr>
        <w:t>Exhibit 99.3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Pharvaris N.V.</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Unaudited Condensed Consolidated Interim Financial Statements</w:t>
      </w:r>
    </w:p>
    <w:p>
      <w:pPr>
        <w:spacing w:after="0"/>
        <w:rPr>
          <w:sz w:val="20"/>
          <w:szCs w:val="20"/>
          <w:color w:val="auto"/>
        </w:rPr>
      </w:pPr>
      <w:r>
        <w:rPr>
          <w:rFonts w:ascii="Arial" w:cs="Arial" w:eastAsia="Arial" w:hAnsi="Arial"/>
          <w:sz w:val="22"/>
          <w:szCs w:val="22"/>
          <w:b w:val="1"/>
          <w:bCs w:val="1"/>
          <w:color w:val="auto"/>
        </w:rPr>
        <w:t>At June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480060</wp:posOffset>
            </wp:positionV>
            <wp:extent cx="71748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 w:name="page23"/>
    <w:bookmarkEnd w:id="22"/>
    <w:p>
      <w:pPr>
        <w:spacing w:after="0"/>
        <w:rPr>
          <w:sz w:val="20"/>
          <w:szCs w:val="20"/>
          <w:color w:val="auto"/>
        </w:rPr>
      </w:pPr>
      <w:r>
        <w:rPr>
          <w:rFonts w:ascii="Arial" w:cs="Arial" w:eastAsia="Arial" w:hAnsi="Arial"/>
          <w:sz w:val="22"/>
          <w:szCs w:val="22"/>
          <w:b w:val="1"/>
          <w:bCs w:val="1"/>
          <w:color w:val="auto"/>
        </w:rPr>
        <w:t>Contents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140" w:type="dxa"/>
            <w:vAlign w:val="bottom"/>
          </w:tcPr>
          <w:p>
            <w:pPr>
              <w:spacing w:after="0"/>
              <w:rPr>
                <w:sz w:val="20"/>
                <w:szCs w:val="20"/>
                <w:color w:val="auto"/>
              </w:rPr>
            </w:pPr>
            <w:r>
              <w:rPr>
                <w:rFonts w:ascii="Arial" w:cs="Arial" w:eastAsia="Arial" w:hAnsi="Arial"/>
                <w:sz w:val="18"/>
                <w:szCs w:val="18"/>
                <w:b w:val="1"/>
                <w:bCs w:val="1"/>
                <w:color w:val="auto"/>
              </w:rPr>
              <w:t>Unaudited condensed consolidated statements of profit or loss and other comprehensive income</w:t>
            </w:r>
          </w:p>
        </w:tc>
        <w:tc>
          <w:tcPr>
            <w:tcW w:w="100" w:type="dxa"/>
            <w:vAlign w:val="bottom"/>
            <w:tcBorders>
              <w:bottom w:val="single" w:sz="8" w:color="0000EE"/>
            </w:tcBorders>
          </w:tcPr>
          <w:p>
            <w:pPr>
              <w:jc w:val="right"/>
              <w:spacing w:after="0"/>
              <w:rPr>
                <w:rFonts w:ascii="Arial" w:cs="Arial" w:eastAsia="Arial" w:hAnsi="Arial"/>
                <w:sz w:val="18"/>
                <w:szCs w:val="18"/>
                <w:b w:val="1"/>
                <w:bCs w:val="1"/>
                <w:color w:val="0000EE"/>
                <w:w w:val="79"/>
              </w:rPr>
            </w:pPr>
            <w:hyperlink w:anchor="page24">
              <w:r>
                <w:rPr>
                  <w:rFonts w:ascii="Arial" w:cs="Arial" w:eastAsia="Arial" w:hAnsi="Arial"/>
                  <w:sz w:val="18"/>
                  <w:szCs w:val="18"/>
                  <w:b w:val="1"/>
                  <w:bCs w:val="1"/>
                  <w:color w:val="0000EE"/>
                  <w:w w:val="79"/>
                </w:rPr>
                <w:t>3</w:t>
              </w:r>
            </w:hyperlink>
          </w:p>
        </w:tc>
        <w:tc>
          <w:tcPr>
            <w:tcW w:w="20" w:type="dxa"/>
            <w:vAlign w:val="bottom"/>
          </w:tcPr>
          <w:p>
            <w:pPr>
              <w:spacing w:after="0"/>
              <w:rPr>
                <w:sz w:val="17"/>
                <w:szCs w:val="17"/>
                <w:color w:val="auto"/>
              </w:rPr>
            </w:pPr>
          </w:p>
        </w:tc>
      </w:tr>
      <w:tr>
        <w:trPr>
          <w:trHeight w:val="426"/>
        </w:trPr>
        <w:tc>
          <w:tcPr>
            <w:tcW w:w="11140" w:type="dxa"/>
            <w:vAlign w:val="bottom"/>
          </w:tcPr>
          <w:p>
            <w:pPr>
              <w:spacing w:after="0"/>
              <w:rPr>
                <w:sz w:val="20"/>
                <w:szCs w:val="20"/>
                <w:color w:val="auto"/>
              </w:rPr>
            </w:pPr>
            <w:r>
              <w:rPr>
                <w:rFonts w:ascii="Arial" w:cs="Arial" w:eastAsia="Arial" w:hAnsi="Arial"/>
                <w:sz w:val="18"/>
                <w:szCs w:val="18"/>
                <w:b w:val="1"/>
                <w:bCs w:val="1"/>
                <w:color w:val="auto"/>
              </w:rPr>
              <w:t>Unaudited condensed consolidated statements of financial position</w:t>
            </w:r>
          </w:p>
        </w:tc>
        <w:tc>
          <w:tcPr>
            <w:tcW w:w="100" w:type="dxa"/>
            <w:vAlign w:val="bottom"/>
            <w:tcBorders>
              <w:bottom w:val="single" w:sz="8" w:color="0000EE"/>
            </w:tcBorders>
          </w:tcPr>
          <w:p>
            <w:pPr>
              <w:jc w:val="right"/>
              <w:spacing w:after="0"/>
              <w:rPr>
                <w:rFonts w:ascii="Arial" w:cs="Arial" w:eastAsia="Arial" w:hAnsi="Arial"/>
                <w:sz w:val="18"/>
                <w:szCs w:val="18"/>
                <w:b w:val="1"/>
                <w:bCs w:val="1"/>
                <w:color w:val="0000EE"/>
                <w:w w:val="79"/>
              </w:rPr>
            </w:pPr>
            <w:hyperlink w:anchor="page25">
              <w:r>
                <w:rPr>
                  <w:rFonts w:ascii="Arial" w:cs="Arial" w:eastAsia="Arial" w:hAnsi="Arial"/>
                  <w:sz w:val="18"/>
                  <w:szCs w:val="18"/>
                  <w:b w:val="1"/>
                  <w:bCs w:val="1"/>
                  <w:color w:val="0000EE"/>
                  <w:w w:val="79"/>
                </w:rPr>
                <w:t>4</w:t>
              </w:r>
            </w:hyperlink>
          </w:p>
        </w:tc>
        <w:tc>
          <w:tcPr>
            <w:tcW w:w="20" w:type="dxa"/>
            <w:vAlign w:val="bottom"/>
          </w:tcPr>
          <w:p>
            <w:pPr>
              <w:spacing w:after="0"/>
              <w:rPr>
                <w:sz w:val="24"/>
                <w:szCs w:val="24"/>
                <w:color w:val="auto"/>
              </w:rPr>
            </w:pPr>
          </w:p>
        </w:tc>
      </w:tr>
      <w:tr>
        <w:trPr>
          <w:trHeight w:val="426"/>
        </w:trPr>
        <w:tc>
          <w:tcPr>
            <w:tcW w:w="11140" w:type="dxa"/>
            <w:vAlign w:val="bottom"/>
          </w:tcPr>
          <w:p>
            <w:pPr>
              <w:spacing w:after="0"/>
              <w:rPr>
                <w:sz w:val="20"/>
                <w:szCs w:val="20"/>
                <w:color w:val="auto"/>
              </w:rPr>
            </w:pPr>
            <w:r>
              <w:rPr>
                <w:rFonts w:ascii="Arial" w:cs="Arial" w:eastAsia="Arial" w:hAnsi="Arial"/>
                <w:sz w:val="18"/>
                <w:szCs w:val="18"/>
                <w:b w:val="1"/>
                <w:bCs w:val="1"/>
                <w:color w:val="auto"/>
              </w:rPr>
              <w:t>Unaudited condensed consolidated statements of changes in equity</w:t>
            </w:r>
          </w:p>
        </w:tc>
        <w:tc>
          <w:tcPr>
            <w:tcW w:w="100" w:type="dxa"/>
            <w:vAlign w:val="bottom"/>
            <w:tcBorders>
              <w:bottom w:val="single" w:sz="8" w:color="0000EE"/>
            </w:tcBorders>
          </w:tcPr>
          <w:p>
            <w:pPr>
              <w:jc w:val="right"/>
              <w:spacing w:after="0"/>
              <w:rPr>
                <w:rFonts w:ascii="Arial" w:cs="Arial" w:eastAsia="Arial" w:hAnsi="Arial"/>
                <w:sz w:val="18"/>
                <w:szCs w:val="18"/>
                <w:b w:val="1"/>
                <w:bCs w:val="1"/>
                <w:color w:val="0000EE"/>
                <w:w w:val="79"/>
              </w:rPr>
            </w:pPr>
            <w:hyperlink w:anchor="page26">
              <w:r>
                <w:rPr>
                  <w:rFonts w:ascii="Arial" w:cs="Arial" w:eastAsia="Arial" w:hAnsi="Arial"/>
                  <w:sz w:val="18"/>
                  <w:szCs w:val="18"/>
                  <w:b w:val="1"/>
                  <w:bCs w:val="1"/>
                  <w:color w:val="0000EE"/>
                  <w:w w:val="79"/>
                </w:rPr>
                <w:t>5</w:t>
              </w:r>
            </w:hyperlink>
          </w:p>
        </w:tc>
        <w:tc>
          <w:tcPr>
            <w:tcW w:w="20" w:type="dxa"/>
            <w:vAlign w:val="bottom"/>
          </w:tcPr>
          <w:p>
            <w:pPr>
              <w:spacing w:after="0"/>
              <w:rPr>
                <w:sz w:val="24"/>
                <w:szCs w:val="24"/>
                <w:color w:val="auto"/>
              </w:rPr>
            </w:pPr>
          </w:p>
        </w:tc>
      </w:tr>
      <w:tr>
        <w:trPr>
          <w:trHeight w:val="425"/>
        </w:trPr>
        <w:tc>
          <w:tcPr>
            <w:tcW w:w="11140" w:type="dxa"/>
            <w:vAlign w:val="bottom"/>
          </w:tcPr>
          <w:p>
            <w:pPr>
              <w:spacing w:after="0"/>
              <w:rPr>
                <w:sz w:val="20"/>
                <w:szCs w:val="20"/>
                <w:color w:val="auto"/>
              </w:rPr>
            </w:pPr>
            <w:r>
              <w:rPr>
                <w:rFonts w:ascii="Arial" w:cs="Arial" w:eastAsia="Arial" w:hAnsi="Arial"/>
                <w:sz w:val="18"/>
                <w:szCs w:val="18"/>
                <w:b w:val="1"/>
                <w:bCs w:val="1"/>
                <w:color w:val="auto"/>
              </w:rPr>
              <w:t>Unaudited condensed consolidated statements of cash flows</w:t>
            </w:r>
          </w:p>
        </w:tc>
        <w:tc>
          <w:tcPr>
            <w:tcW w:w="100" w:type="dxa"/>
            <w:vAlign w:val="bottom"/>
            <w:tcBorders>
              <w:bottom w:val="single" w:sz="8" w:color="0000EE"/>
            </w:tcBorders>
          </w:tcPr>
          <w:p>
            <w:pPr>
              <w:jc w:val="right"/>
              <w:spacing w:after="0"/>
              <w:rPr>
                <w:rFonts w:ascii="Arial" w:cs="Arial" w:eastAsia="Arial" w:hAnsi="Arial"/>
                <w:sz w:val="18"/>
                <w:szCs w:val="18"/>
                <w:b w:val="1"/>
                <w:bCs w:val="1"/>
                <w:color w:val="0000EE"/>
                <w:w w:val="79"/>
              </w:rPr>
            </w:pPr>
            <w:hyperlink w:anchor="page27">
              <w:r>
                <w:rPr>
                  <w:rFonts w:ascii="Arial" w:cs="Arial" w:eastAsia="Arial" w:hAnsi="Arial"/>
                  <w:sz w:val="18"/>
                  <w:szCs w:val="18"/>
                  <w:b w:val="1"/>
                  <w:bCs w:val="1"/>
                  <w:color w:val="0000EE"/>
                  <w:w w:val="79"/>
                </w:rPr>
                <w:t>6</w:t>
              </w:r>
            </w:hyperlink>
          </w:p>
        </w:tc>
        <w:tc>
          <w:tcPr>
            <w:tcW w:w="20" w:type="dxa"/>
            <w:vAlign w:val="bottom"/>
          </w:tcPr>
          <w:p>
            <w:pPr>
              <w:spacing w:after="0"/>
              <w:rPr>
                <w:sz w:val="24"/>
                <w:szCs w:val="24"/>
                <w:color w:val="auto"/>
              </w:rPr>
            </w:pPr>
          </w:p>
        </w:tc>
      </w:tr>
      <w:tr>
        <w:trPr>
          <w:trHeight w:val="426"/>
        </w:trPr>
        <w:tc>
          <w:tcPr>
            <w:tcW w:w="11140" w:type="dxa"/>
            <w:vAlign w:val="bottom"/>
          </w:tcPr>
          <w:p>
            <w:pPr>
              <w:spacing w:after="0"/>
              <w:rPr>
                <w:sz w:val="20"/>
                <w:szCs w:val="20"/>
                <w:color w:val="auto"/>
              </w:rPr>
            </w:pPr>
            <w:r>
              <w:rPr>
                <w:rFonts w:ascii="Arial" w:cs="Arial" w:eastAsia="Arial" w:hAnsi="Arial"/>
                <w:sz w:val="18"/>
                <w:szCs w:val="18"/>
                <w:b w:val="1"/>
                <w:bCs w:val="1"/>
                <w:color w:val="auto"/>
              </w:rPr>
              <w:t>Notes to the unaudited condensed consolidated interim financial statements</w:t>
            </w:r>
          </w:p>
        </w:tc>
        <w:tc>
          <w:tcPr>
            <w:tcW w:w="100" w:type="dxa"/>
            <w:vAlign w:val="bottom"/>
            <w:tcBorders>
              <w:bottom w:val="single" w:sz="8" w:color="0000EE"/>
            </w:tcBorders>
          </w:tcPr>
          <w:p>
            <w:pPr>
              <w:jc w:val="right"/>
              <w:spacing w:after="0"/>
              <w:rPr>
                <w:rFonts w:ascii="Arial" w:cs="Arial" w:eastAsia="Arial" w:hAnsi="Arial"/>
                <w:sz w:val="18"/>
                <w:szCs w:val="18"/>
                <w:b w:val="1"/>
                <w:bCs w:val="1"/>
                <w:color w:val="0000EE"/>
                <w:w w:val="79"/>
              </w:rPr>
            </w:pPr>
            <w:hyperlink w:anchor="page28">
              <w:r>
                <w:rPr>
                  <w:rFonts w:ascii="Arial" w:cs="Arial" w:eastAsia="Arial" w:hAnsi="Arial"/>
                  <w:sz w:val="18"/>
                  <w:szCs w:val="18"/>
                  <w:b w:val="1"/>
                  <w:bCs w:val="1"/>
                  <w:color w:val="0000EE"/>
                  <w:w w:val="79"/>
                </w:rPr>
                <w:t>7</w:t>
              </w:r>
            </w:hyperlink>
          </w:p>
        </w:tc>
        <w:tc>
          <w:tcPr>
            <w:tcW w:w="20" w:type="dxa"/>
            <w:vAlign w:val="bottom"/>
          </w:tcPr>
          <w:p>
            <w:pPr>
              <w:spacing w:after="0"/>
              <w:rPr>
                <w:sz w:val="24"/>
                <w:szCs w:val="24"/>
                <w:color w:val="auto"/>
              </w:rPr>
            </w:pPr>
          </w:p>
        </w:tc>
      </w:tr>
      <w:tr>
        <w:trPr>
          <w:trHeight w:val="912"/>
        </w:trPr>
        <w:tc>
          <w:tcPr>
            <w:tcW w:w="11140" w:type="dxa"/>
            <w:vAlign w:val="bottom"/>
          </w:tcPr>
          <w:p>
            <w:pPr>
              <w:ind w:left="558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1"/>
        </w:trPr>
        <w:tc>
          <w:tcPr>
            <w:tcW w:w="111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679" w:right="319" w:bottom="1440" w:gutter="0" w:footer="0" w:header="0"/>
        </w:sectPr>
      </w:pPr>
    </w:p>
    <w:bookmarkStart w:id="23" w:name="page24"/>
    <w:bookmarkEnd w:id="23"/>
    <w:p>
      <w:pPr>
        <w:spacing w:after="0"/>
        <w:rPr>
          <w:sz w:val="20"/>
          <w:szCs w:val="20"/>
          <w:color w:val="auto"/>
        </w:rPr>
      </w:pPr>
      <w:r>
        <w:rPr>
          <w:rFonts w:ascii="Arial" w:cs="Arial" w:eastAsia="Arial" w:hAnsi="Arial"/>
          <w:sz w:val="22"/>
          <w:szCs w:val="22"/>
          <w:b w:val="1"/>
          <w:bCs w:val="1"/>
          <w:color w:val="auto"/>
        </w:rPr>
        <w:t>Unaudited condensed consolidated statements of profit or loss and other comprehensive income</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580" w:type="dxa"/>
            <w:vAlign w:val="bottom"/>
            <w:gridSpan w:val="4"/>
          </w:tcPr>
          <w:p>
            <w:pPr>
              <w:jc w:val="right"/>
              <w:ind w:right="360"/>
              <w:spacing w:after="0"/>
              <w:rPr>
                <w:sz w:val="20"/>
                <w:szCs w:val="20"/>
                <w:color w:val="auto"/>
              </w:rPr>
            </w:pPr>
            <w:r>
              <w:rPr>
                <w:rFonts w:ascii="Arial" w:cs="Arial" w:eastAsia="Arial" w:hAnsi="Arial"/>
                <w:sz w:val="18"/>
                <w:szCs w:val="18"/>
                <w:color w:val="auto"/>
                <w:w w:val="93"/>
              </w:rPr>
              <w:t>Three months ended June 30</w:t>
            </w:r>
          </w:p>
        </w:tc>
        <w:tc>
          <w:tcPr>
            <w:tcW w:w="2460" w:type="dxa"/>
            <w:vAlign w:val="bottom"/>
            <w:gridSpan w:val="4"/>
          </w:tcPr>
          <w:p>
            <w:pPr>
              <w:jc w:val="right"/>
              <w:ind w:right="320"/>
              <w:spacing w:after="0"/>
              <w:rPr>
                <w:sz w:val="20"/>
                <w:szCs w:val="20"/>
                <w:color w:val="auto"/>
              </w:rPr>
            </w:pPr>
            <w:r>
              <w:rPr>
                <w:rFonts w:ascii="Arial" w:cs="Arial" w:eastAsia="Arial" w:hAnsi="Arial"/>
                <w:sz w:val="18"/>
                <w:szCs w:val="18"/>
                <w:color w:val="auto"/>
                <w:w w:val="99"/>
              </w:rPr>
              <w:t>Six months ended June 30</w:t>
            </w:r>
          </w:p>
        </w:tc>
        <w:tc>
          <w:tcPr>
            <w:tcW w:w="0" w:type="dxa"/>
            <w:vAlign w:val="bottom"/>
          </w:tcPr>
          <w:p>
            <w:pPr>
              <w:spacing w:after="0"/>
              <w:rPr>
                <w:sz w:val="1"/>
                <w:szCs w:val="1"/>
                <w:color w:val="auto"/>
              </w:rPr>
            </w:pPr>
          </w:p>
        </w:tc>
      </w:tr>
      <w:tr>
        <w:trPr>
          <w:trHeight w:val="243"/>
        </w:trPr>
        <w:tc>
          <w:tcPr>
            <w:tcW w:w="5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2021</w:t>
            </w:r>
          </w:p>
        </w:tc>
        <w:tc>
          <w:tcPr>
            <w:tcW w:w="2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2020</w:t>
            </w:r>
          </w:p>
        </w:tc>
        <w:tc>
          <w:tcPr>
            <w:tcW w:w="260" w:type="dxa"/>
            <w:vAlign w:val="bottom"/>
          </w:tcPr>
          <w:p>
            <w:pPr>
              <w:spacing w:after="0"/>
              <w:rPr>
                <w:sz w:val="21"/>
                <w:szCs w:val="21"/>
                <w:color w:val="auto"/>
              </w:rPr>
            </w:pPr>
          </w:p>
        </w:tc>
        <w:tc>
          <w:tcPr>
            <w:tcW w:w="10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2021</w:t>
            </w:r>
          </w:p>
        </w:tc>
        <w:tc>
          <w:tcPr>
            <w:tcW w:w="2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180" w:type="dxa"/>
            <w:vAlign w:val="bottom"/>
          </w:tcPr>
          <w:p>
            <w:pPr>
              <w:spacing w:after="0"/>
              <w:rPr>
                <w:sz w:val="20"/>
                <w:szCs w:val="20"/>
                <w:color w:val="auto"/>
              </w:rPr>
            </w:pPr>
          </w:p>
        </w:tc>
        <w:tc>
          <w:tcPr>
            <w:tcW w:w="1020" w:type="dxa"/>
            <w:vAlign w:val="bottom"/>
          </w:tcPr>
          <w:p>
            <w:pPr>
              <w:jc w:val="right"/>
              <w:ind w:right="190"/>
              <w:spacing w:after="0"/>
              <w:rPr>
                <w:sz w:val="20"/>
                <w:szCs w:val="20"/>
                <w:color w:val="auto"/>
              </w:rPr>
            </w:pPr>
            <w:r>
              <w:rPr>
                <w:rFonts w:ascii="Arial" w:cs="Arial" w:eastAsia="Arial" w:hAnsi="Arial"/>
                <w:sz w:val="18"/>
                <w:szCs w:val="18"/>
                <w:color w:val="auto"/>
              </w:rPr>
              <w:t>Notes</w:t>
            </w:r>
          </w:p>
        </w:tc>
        <w:tc>
          <w:tcPr>
            <w:tcW w:w="106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 expenses</w:t>
            </w:r>
          </w:p>
        </w:tc>
        <w:tc>
          <w:tcPr>
            <w:tcW w:w="102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rPr>
              <w:t>3</w:t>
            </w:r>
          </w:p>
        </w:tc>
        <w:tc>
          <w:tcPr>
            <w:tcW w:w="126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(8,060,599)</w:t>
            </w:r>
          </w:p>
        </w:tc>
        <w:tc>
          <w:tcPr>
            <w:tcW w:w="13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(4,331,843)</w:t>
            </w:r>
          </w:p>
        </w:tc>
        <w:tc>
          <w:tcPr>
            <w:tcW w:w="128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(16,132,053)</w:t>
            </w: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(6,735,245)</w:t>
            </w:r>
          </w:p>
        </w:tc>
        <w:tc>
          <w:tcPr>
            <w:tcW w:w="0" w:type="dxa"/>
            <w:vAlign w:val="bottom"/>
          </w:tcPr>
          <w:p>
            <w:pPr>
              <w:spacing w:after="0"/>
              <w:rPr>
                <w:sz w:val="1"/>
                <w:szCs w:val="1"/>
                <w:color w:val="auto"/>
              </w:rPr>
            </w:pPr>
          </w:p>
        </w:tc>
      </w:tr>
      <w:tr>
        <w:trPr>
          <w:trHeight w:val="243"/>
        </w:trPr>
        <w:tc>
          <w:tcPr>
            <w:tcW w:w="518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020" w:type="dxa"/>
            <w:vAlign w:val="bottom"/>
          </w:tcPr>
          <w:p>
            <w:pPr>
              <w:jc w:val="right"/>
              <w:ind w:right="290"/>
              <w:spacing w:after="0"/>
              <w:rPr>
                <w:sz w:val="20"/>
                <w:szCs w:val="20"/>
                <w:color w:val="auto"/>
              </w:rPr>
            </w:pPr>
            <w:r>
              <w:rPr>
                <w:rFonts w:ascii="Arial" w:cs="Arial" w:eastAsia="Arial" w:hAnsi="Arial"/>
                <w:sz w:val="18"/>
                <w:szCs w:val="18"/>
                <w:color w:val="auto"/>
              </w:rPr>
              <w:t>4</w:t>
            </w:r>
          </w:p>
        </w:tc>
        <w:tc>
          <w:tcPr>
            <w:tcW w:w="1260" w:type="dxa"/>
            <w:vAlign w:val="bottom"/>
            <w:gridSpan w:val="2"/>
          </w:tcPr>
          <w:p>
            <w:pPr>
              <w:jc w:val="right"/>
              <w:ind w:right="50"/>
              <w:spacing w:after="0"/>
              <w:rPr>
                <w:sz w:val="20"/>
                <w:szCs w:val="20"/>
                <w:color w:val="auto"/>
              </w:rPr>
            </w:pPr>
            <w:r>
              <w:rPr>
                <w:rFonts w:ascii="Arial" w:cs="Arial" w:eastAsia="Arial" w:hAnsi="Arial"/>
                <w:sz w:val="18"/>
                <w:szCs w:val="18"/>
                <w:color w:val="auto"/>
              </w:rPr>
              <w:t>(4,664,726)</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(1,393,890)</w:t>
            </w:r>
          </w:p>
        </w:tc>
        <w:tc>
          <w:tcPr>
            <w:tcW w:w="1280" w:type="dxa"/>
            <w:vAlign w:val="bottom"/>
            <w:gridSpan w:val="2"/>
          </w:tcPr>
          <w:p>
            <w:pPr>
              <w:jc w:val="right"/>
              <w:ind w:right="70"/>
              <w:spacing w:after="0"/>
              <w:rPr>
                <w:sz w:val="20"/>
                <w:szCs w:val="20"/>
                <w:color w:val="auto"/>
              </w:rPr>
            </w:pPr>
            <w:r>
              <w:rPr>
                <w:rFonts w:ascii="Arial" w:cs="Arial" w:eastAsia="Arial" w:hAnsi="Arial"/>
                <w:sz w:val="18"/>
                <w:szCs w:val="18"/>
                <w:color w:val="auto"/>
              </w:rPr>
              <w:t>(8,436,415)</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(2,236,450)</w:t>
            </w:r>
          </w:p>
        </w:tc>
        <w:tc>
          <w:tcPr>
            <w:tcW w:w="0" w:type="dxa"/>
            <w:vAlign w:val="bottom"/>
          </w:tcPr>
          <w:p>
            <w:pPr>
              <w:spacing w:after="0"/>
              <w:rPr>
                <w:sz w:val="1"/>
                <w:szCs w:val="1"/>
                <w:color w:val="auto"/>
              </w:rPr>
            </w:pPr>
          </w:p>
        </w:tc>
      </w:tr>
      <w:tr>
        <w:trPr>
          <w:trHeight w:val="20"/>
        </w:trPr>
        <w:tc>
          <w:tcPr>
            <w:tcW w:w="5180" w:type="dxa"/>
            <w:vAlign w:val="bottom"/>
            <w:vMerge w:val="restart"/>
            <w:shd w:val="clear" w:color="auto" w:fill="CFF0FC"/>
          </w:tcPr>
          <w:p>
            <w:pPr>
              <w:spacing w:after="0"/>
              <w:rPr>
                <w:sz w:val="20"/>
                <w:szCs w:val="20"/>
                <w:color w:val="auto"/>
              </w:rPr>
            </w:pPr>
            <w:r>
              <w:rPr>
                <w:rFonts w:ascii="Arial" w:cs="Arial" w:eastAsia="Arial" w:hAnsi="Arial"/>
                <w:sz w:val="18"/>
                <w:szCs w:val="18"/>
                <w:b w:val="1"/>
                <w:bCs w:val="1"/>
                <w:color w:val="auto"/>
              </w:rPr>
              <w:t>Total operating expenses</w:t>
            </w:r>
          </w:p>
        </w:tc>
        <w:tc>
          <w:tcPr>
            <w:tcW w:w="102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180" w:type="dxa"/>
            <w:vAlign w:val="bottom"/>
            <w:vMerge w:val="continue"/>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(12,725,325)</w:t>
            </w:r>
          </w:p>
        </w:tc>
        <w:tc>
          <w:tcPr>
            <w:tcW w:w="13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(5,725,733)</w:t>
            </w:r>
          </w:p>
        </w:tc>
        <w:tc>
          <w:tcPr>
            <w:tcW w:w="128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(24,568,468)</w:t>
            </w: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(8,971,695)</w:t>
            </w:r>
          </w:p>
        </w:tc>
        <w:tc>
          <w:tcPr>
            <w:tcW w:w="0" w:type="dxa"/>
            <w:vAlign w:val="bottom"/>
          </w:tcPr>
          <w:p>
            <w:pPr>
              <w:spacing w:after="0"/>
              <w:rPr>
                <w:sz w:val="1"/>
                <w:szCs w:val="1"/>
                <w:color w:val="auto"/>
              </w:rPr>
            </w:pPr>
          </w:p>
        </w:tc>
      </w:tr>
      <w:tr>
        <w:trPr>
          <w:trHeight w:val="236"/>
        </w:trPr>
        <w:tc>
          <w:tcPr>
            <w:tcW w:w="5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Net foreign exchange income/(loss)</w:t>
            </w:r>
          </w:p>
        </w:tc>
        <w:tc>
          <w:tcPr>
            <w:tcW w:w="102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rPr>
              <w:t>6</w:t>
            </w:r>
          </w:p>
        </w:tc>
        <w:tc>
          <w:tcPr>
            <w:tcW w:w="126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(2,474,483)</w:t>
            </w:r>
          </w:p>
        </w:tc>
        <w:tc>
          <w:tcPr>
            <w:tcW w:w="13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(19,691)</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3,344,373</w:t>
            </w:r>
          </w:p>
        </w:tc>
        <w:tc>
          <w:tcPr>
            <w:tcW w:w="22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(50,264)</w:t>
            </w:r>
          </w:p>
        </w:tc>
        <w:tc>
          <w:tcPr>
            <w:tcW w:w="0" w:type="dxa"/>
            <w:vAlign w:val="bottom"/>
          </w:tcPr>
          <w:p>
            <w:pPr>
              <w:spacing w:after="0"/>
              <w:rPr>
                <w:sz w:val="1"/>
                <w:szCs w:val="1"/>
                <w:color w:val="auto"/>
              </w:rPr>
            </w:pPr>
          </w:p>
        </w:tc>
      </w:tr>
      <w:tr>
        <w:trPr>
          <w:trHeight w:val="20"/>
        </w:trPr>
        <w:tc>
          <w:tcPr>
            <w:tcW w:w="5180" w:type="dxa"/>
            <w:vAlign w:val="bottom"/>
            <w:vMerge w:val="restart"/>
          </w:tcPr>
          <w:p>
            <w:pPr>
              <w:spacing w:after="0"/>
              <w:rPr>
                <w:sz w:val="20"/>
                <w:szCs w:val="20"/>
                <w:color w:val="auto"/>
              </w:rPr>
            </w:pPr>
            <w:r>
              <w:rPr>
                <w:rFonts w:ascii="Arial" w:cs="Arial" w:eastAsia="Arial" w:hAnsi="Arial"/>
                <w:sz w:val="18"/>
                <w:szCs w:val="18"/>
                <w:b w:val="1"/>
                <w:bCs w:val="1"/>
                <w:color w:val="auto"/>
              </w:rPr>
              <w:t>Loss before income tax</w:t>
            </w:r>
          </w:p>
        </w:tc>
        <w:tc>
          <w:tcPr>
            <w:tcW w:w="10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180" w:type="dxa"/>
            <w:vAlign w:val="bottom"/>
            <w:vMerge w:val="continue"/>
          </w:tcPr>
          <w:p>
            <w:pPr>
              <w:spacing w:after="0"/>
              <w:rPr>
                <w:sz w:val="20"/>
                <w:szCs w:val="20"/>
                <w:color w:val="auto"/>
              </w:rPr>
            </w:pPr>
          </w:p>
        </w:tc>
        <w:tc>
          <w:tcPr>
            <w:tcW w:w="1020" w:type="dxa"/>
            <w:vAlign w:val="bottom"/>
          </w:tcPr>
          <w:p>
            <w:pPr>
              <w:spacing w:after="0"/>
              <w:rPr>
                <w:sz w:val="20"/>
                <w:szCs w:val="20"/>
                <w:color w:val="auto"/>
              </w:rPr>
            </w:pPr>
          </w:p>
        </w:tc>
        <w:tc>
          <w:tcPr>
            <w:tcW w:w="1260" w:type="dxa"/>
            <w:vAlign w:val="bottom"/>
            <w:gridSpan w:val="2"/>
          </w:tcPr>
          <w:p>
            <w:pPr>
              <w:jc w:val="right"/>
              <w:ind w:right="50"/>
              <w:spacing w:after="0"/>
              <w:rPr>
                <w:sz w:val="20"/>
                <w:szCs w:val="20"/>
                <w:color w:val="auto"/>
              </w:rPr>
            </w:pPr>
            <w:r>
              <w:rPr>
                <w:rFonts w:ascii="Arial" w:cs="Arial" w:eastAsia="Arial" w:hAnsi="Arial"/>
                <w:sz w:val="18"/>
                <w:szCs w:val="18"/>
                <w:color w:val="auto"/>
              </w:rPr>
              <w:t>(15,199,808)</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(5,745,424)</w:t>
            </w:r>
          </w:p>
        </w:tc>
        <w:tc>
          <w:tcPr>
            <w:tcW w:w="1280" w:type="dxa"/>
            <w:vAlign w:val="bottom"/>
            <w:gridSpan w:val="2"/>
          </w:tcPr>
          <w:p>
            <w:pPr>
              <w:jc w:val="right"/>
              <w:ind w:right="70"/>
              <w:spacing w:after="0"/>
              <w:rPr>
                <w:sz w:val="20"/>
                <w:szCs w:val="20"/>
                <w:color w:val="auto"/>
              </w:rPr>
            </w:pPr>
            <w:r>
              <w:rPr>
                <w:rFonts w:ascii="Arial" w:cs="Arial" w:eastAsia="Arial" w:hAnsi="Arial"/>
                <w:sz w:val="18"/>
                <w:szCs w:val="18"/>
                <w:color w:val="auto"/>
              </w:rPr>
              <w:t>(21,224,095)</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(9,021,959)</w:t>
            </w:r>
          </w:p>
        </w:tc>
        <w:tc>
          <w:tcPr>
            <w:tcW w:w="0" w:type="dxa"/>
            <w:vAlign w:val="bottom"/>
          </w:tcPr>
          <w:p>
            <w:pPr>
              <w:spacing w:after="0"/>
              <w:rPr>
                <w:sz w:val="1"/>
                <w:szCs w:val="1"/>
                <w:color w:val="auto"/>
              </w:rPr>
            </w:pPr>
          </w:p>
        </w:tc>
      </w:tr>
      <w:tr>
        <w:trPr>
          <w:trHeight w:val="236"/>
        </w:trPr>
        <w:tc>
          <w:tcPr>
            <w:tcW w:w="5180" w:type="dxa"/>
            <w:vAlign w:val="bottom"/>
            <w:tcBorders>
              <w:top w:val="single" w:sz="8" w:color="CFF0FC"/>
            </w:tcBorders>
            <w:shd w:val="clear" w:color="auto" w:fill="CFF0FC"/>
          </w:tcPr>
          <w:p>
            <w:pPr>
              <w:spacing w:after="0"/>
              <w:rPr>
                <w:sz w:val="20"/>
                <w:szCs w:val="20"/>
                <w:color w:val="auto"/>
              </w:rPr>
            </w:pPr>
          </w:p>
        </w:tc>
        <w:tc>
          <w:tcPr>
            <w:tcW w:w="1020" w:type="dxa"/>
            <w:vAlign w:val="bottom"/>
            <w:tcBorders>
              <w:top w:val="single" w:sz="8" w:color="CFF0FC"/>
            </w:tcBorders>
            <w:shd w:val="clear" w:color="auto" w:fill="CFF0FC"/>
          </w:tcPr>
          <w:p>
            <w:pPr>
              <w:spacing w:after="0"/>
              <w:rPr>
                <w:sz w:val="20"/>
                <w:szCs w:val="20"/>
                <w:color w:val="auto"/>
              </w:rPr>
            </w:pPr>
          </w:p>
        </w:tc>
        <w:tc>
          <w:tcPr>
            <w:tcW w:w="1060" w:type="dxa"/>
            <w:vAlign w:val="bottom"/>
            <w:tcBorders>
              <w:top w:val="single" w:sz="8" w:color="auto"/>
            </w:tcBorders>
            <w:shd w:val="clear" w:color="auto" w:fill="CFF0FC"/>
          </w:tcPr>
          <w:p>
            <w:pPr>
              <w:spacing w:after="0"/>
              <w:rPr>
                <w:sz w:val="20"/>
                <w:szCs w:val="20"/>
                <w:color w:val="auto"/>
              </w:rPr>
            </w:pPr>
          </w:p>
        </w:tc>
        <w:tc>
          <w:tcPr>
            <w:tcW w:w="200" w:type="dxa"/>
            <w:vAlign w:val="bottom"/>
            <w:tcBorders>
              <w:top w:val="single" w:sz="8" w:color="CFF0FC"/>
            </w:tcBorders>
            <w:shd w:val="clear" w:color="auto" w:fill="CFF0FC"/>
          </w:tcPr>
          <w:p>
            <w:pPr>
              <w:spacing w:after="0"/>
              <w:rPr>
                <w:sz w:val="20"/>
                <w:szCs w:val="20"/>
                <w:color w:val="auto"/>
              </w:rPr>
            </w:pPr>
          </w:p>
        </w:tc>
        <w:tc>
          <w:tcPr>
            <w:tcW w:w="1060" w:type="dxa"/>
            <w:vAlign w:val="bottom"/>
            <w:tcBorders>
              <w:top w:val="single" w:sz="8" w:color="auto"/>
            </w:tcBorders>
            <w:shd w:val="clear" w:color="auto" w:fill="CFF0FC"/>
          </w:tcPr>
          <w:p>
            <w:pPr>
              <w:spacing w:after="0"/>
              <w:rPr>
                <w:sz w:val="20"/>
                <w:szCs w:val="20"/>
                <w:color w:val="auto"/>
              </w:rPr>
            </w:pPr>
          </w:p>
        </w:tc>
        <w:tc>
          <w:tcPr>
            <w:tcW w:w="260" w:type="dxa"/>
            <w:vAlign w:val="bottom"/>
            <w:tcBorders>
              <w:top w:val="single" w:sz="8" w:color="CFF0FC"/>
            </w:tcBorders>
            <w:shd w:val="clear" w:color="auto" w:fill="CFF0FC"/>
          </w:tcPr>
          <w:p>
            <w:pPr>
              <w:spacing w:after="0"/>
              <w:rPr>
                <w:sz w:val="20"/>
                <w:szCs w:val="20"/>
                <w:color w:val="auto"/>
              </w:rPr>
            </w:pPr>
          </w:p>
        </w:tc>
        <w:tc>
          <w:tcPr>
            <w:tcW w:w="1060" w:type="dxa"/>
            <w:vAlign w:val="bottom"/>
            <w:tcBorders>
              <w:top w:val="single" w:sz="8" w:color="auto"/>
            </w:tcBorders>
            <w:shd w:val="clear" w:color="auto" w:fill="CFF0FC"/>
          </w:tcPr>
          <w:p>
            <w:pPr>
              <w:spacing w:after="0"/>
              <w:rPr>
                <w:sz w:val="20"/>
                <w:szCs w:val="20"/>
                <w:color w:val="auto"/>
              </w:rPr>
            </w:pPr>
          </w:p>
        </w:tc>
        <w:tc>
          <w:tcPr>
            <w:tcW w:w="220" w:type="dxa"/>
            <w:vAlign w:val="bottom"/>
            <w:tcBorders>
              <w:top w:val="single" w:sz="8" w:color="CFF0FC"/>
            </w:tcBorders>
            <w:shd w:val="clear" w:color="auto" w:fill="CFF0FC"/>
          </w:tcPr>
          <w:p>
            <w:pPr>
              <w:spacing w:after="0"/>
              <w:rPr>
                <w:sz w:val="20"/>
                <w:szCs w:val="20"/>
                <w:color w:val="auto"/>
              </w:rPr>
            </w:pPr>
          </w:p>
        </w:tc>
        <w:tc>
          <w:tcPr>
            <w:tcW w:w="1060" w:type="dxa"/>
            <w:vAlign w:val="bottom"/>
            <w:tcBorders>
              <w:top w:val="single" w:sz="8" w:color="auto"/>
            </w:tcBorders>
            <w:shd w:val="clear" w:color="auto" w:fill="CFF0FC"/>
          </w:tcPr>
          <w:p>
            <w:pPr>
              <w:spacing w:after="0"/>
              <w:rPr>
                <w:sz w:val="20"/>
                <w:szCs w:val="20"/>
                <w:color w:val="auto"/>
              </w:rPr>
            </w:pPr>
          </w:p>
        </w:tc>
        <w:tc>
          <w:tcPr>
            <w:tcW w:w="120" w:type="dxa"/>
            <w:vAlign w:val="bottom"/>
            <w:tcBorders>
              <w:top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80" w:type="dxa"/>
            <w:vAlign w:val="bottom"/>
          </w:tcPr>
          <w:p>
            <w:pPr>
              <w:spacing w:after="0"/>
              <w:rPr>
                <w:sz w:val="20"/>
                <w:szCs w:val="20"/>
                <w:color w:val="auto"/>
              </w:rPr>
            </w:pPr>
            <w:r>
              <w:rPr>
                <w:rFonts w:ascii="Arial" w:cs="Arial" w:eastAsia="Arial" w:hAnsi="Arial"/>
                <w:sz w:val="18"/>
                <w:szCs w:val="18"/>
                <w:color w:val="auto"/>
              </w:rPr>
              <w:t>Income taxes</w:t>
            </w:r>
          </w:p>
        </w:tc>
        <w:tc>
          <w:tcPr>
            <w:tcW w:w="1020" w:type="dxa"/>
            <w:vAlign w:val="bottom"/>
          </w:tcPr>
          <w:p>
            <w:pPr>
              <w:jc w:val="right"/>
              <w:ind w:right="290"/>
              <w:spacing w:after="0"/>
              <w:rPr>
                <w:sz w:val="20"/>
                <w:szCs w:val="20"/>
                <w:color w:val="auto"/>
              </w:rPr>
            </w:pPr>
            <w:r>
              <w:rPr>
                <w:rFonts w:ascii="Arial" w:cs="Arial" w:eastAsia="Arial" w:hAnsi="Arial"/>
                <w:sz w:val="18"/>
                <w:szCs w:val="18"/>
                <w:color w:val="auto"/>
              </w:rPr>
              <w:t>7</w:t>
            </w:r>
          </w:p>
        </w:tc>
        <w:tc>
          <w:tcPr>
            <w:tcW w:w="1260" w:type="dxa"/>
            <w:vAlign w:val="bottom"/>
            <w:gridSpan w:val="2"/>
          </w:tcPr>
          <w:p>
            <w:pPr>
              <w:jc w:val="right"/>
              <w:ind w:right="50"/>
              <w:spacing w:after="0"/>
              <w:rPr>
                <w:sz w:val="20"/>
                <w:szCs w:val="20"/>
                <w:color w:val="auto"/>
              </w:rPr>
            </w:pPr>
            <w:r>
              <w:rPr>
                <w:rFonts w:ascii="Arial" w:cs="Arial" w:eastAsia="Arial" w:hAnsi="Arial"/>
                <w:sz w:val="18"/>
                <w:szCs w:val="18"/>
                <w:color w:val="auto"/>
              </w:rPr>
              <w:t>(2,965)</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70"/>
              <w:spacing w:after="0"/>
              <w:rPr>
                <w:sz w:val="20"/>
                <w:szCs w:val="20"/>
                <w:color w:val="auto"/>
              </w:rPr>
            </w:pPr>
            <w:r>
              <w:rPr>
                <w:rFonts w:ascii="Arial" w:cs="Arial" w:eastAsia="Arial" w:hAnsi="Arial"/>
                <w:sz w:val="18"/>
                <w:szCs w:val="18"/>
                <w:color w:val="auto"/>
              </w:rPr>
              <w:t>(21,554)</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180" w:type="dxa"/>
            <w:vAlign w:val="bottom"/>
            <w:vMerge w:val="restart"/>
            <w:shd w:val="clear" w:color="auto" w:fill="CFF0FC"/>
          </w:tcPr>
          <w:p>
            <w:pPr>
              <w:spacing w:after="0"/>
              <w:rPr>
                <w:sz w:val="20"/>
                <w:szCs w:val="20"/>
                <w:color w:val="auto"/>
              </w:rPr>
            </w:pPr>
            <w:r>
              <w:rPr>
                <w:rFonts w:ascii="Arial" w:cs="Arial" w:eastAsia="Arial" w:hAnsi="Arial"/>
                <w:sz w:val="18"/>
                <w:szCs w:val="18"/>
                <w:b w:val="1"/>
                <w:bCs w:val="1"/>
                <w:color w:val="auto"/>
              </w:rPr>
              <w:t>Loss for the period</w:t>
            </w:r>
          </w:p>
        </w:tc>
        <w:tc>
          <w:tcPr>
            <w:tcW w:w="102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180" w:type="dxa"/>
            <w:vAlign w:val="bottom"/>
            <w:vMerge w:val="continue"/>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(15,202,773)</w:t>
            </w:r>
          </w:p>
        </w:tc>
        <w:tc>
          <w:tcPr>
            <w:tcW w:w="13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(5,745,424)</w:t>
            </w:r>
          </w:p>
        </w:tc>
        <w:tc>
          <w:tcPr>
            <w:tcW w:w="128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(21,245,649)</w:t>
            </w: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(9,021,959)</w:t>
            </w:r>
          </w:p>
        </w:tc>
        <w:tc>
          <w:tcPr>
            <w:tcW w:w="0" w:type="dxa"/>
            <w:vAlign w:val="bottom"/>
          </w:tcPr>
          <w:p>
            <w:pPr>
              <w:spacing w:after="0"/>
              <w:rPr>
                <w:sz w:val="1"/>
                <w:szCs w:val="1"/>
                <w:color w:val="auto"/>
              </w:rPr>
            </w:pPr>
          </w:p>
        </w:tc>
      </w:tr>
      <w:tr>
        <w:trPr>
          <w:trHeight w:val="20"/>
        </w:trPr>
        <w:tc>
          <w:tcPr>
            <w:tcW w:w="518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CFF0FC"/>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1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Other comprehensive income/(Loss)</w:t>
            </w:r>
          </w:p>
        </w:tc>
        <w:tc>
          <w:tcPr>
            <w:tcW w:w="102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5180" w:type="dxa"/>
            <w:vAlign w:val="bottom"/>
          </w:tcPr>
          <w:p>
            <w:pPr>
              <w:spacing w:after="0"/>
              <w:rPr>
                <w:sz w:val="20"/>
                <w:szCs w:val="20"/>
                <w:color w:val="auto"/>
              </w:rPr>
            </w:pPr>
            <w:r>
              <w:rPr>
                <w:rFonts w:ascii="Arial" w:cs="Arial" w:eastAsia="Arial" w:hAnsi="Arial"/>
                <w:sz w:val="18"/>
                <w:szCs w:val="18"/>
                <w:color w:val="auto"/>
              </w:rPr>
              <w:t>Exchange gains arising on translation of foreign operations</w:t>
            </w:r>
          </w:p>
        </w:tc>
        <w:tc>
          <w:tcPr>
            <w:tcW w:w="10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426</w:t>
            </w:r>
          </w:p>
        </w:tc>
        <w:tc>
          <w:tcPr>
            <w:tcW w:w="200" w:type="dxa"/>
            <w:vAlign w:val="bottom"/>
          </w:tcPr>
          <w:p>
            <w:pPr>
              <w:spacing w:after="0"/>
              <w:rPr>
                <w:sz w:val="24"/>
                <w:szCs w:val="24"/>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(1,987)</w:t>
            </w:r>
          </w:p>
        </w:tc>
        <w:tc>
          <w:tcPr>
            <w:tcW w:w="1060" w:type="dxa"/>
            <w:vAlign w:val="bottom"/>
          </w:tcPr>
          <w:p>
            <w:pPr>
              <w:jc w:val="right"/>
              <w:spacing w:after="0"/>
              <w:rPr>
                <w:sz w:val="20"/>
                <w:szCs w:val="20"/>
                <w:color w:val="auto"/>
              </w:rPr>
            </w:pPr>
            <w:r>
              <w:rPr>
                <w:rFonts w:ascii="Arial" w:cs="Arial" w:eastAsia="Arial" w:hAnsi="Arial"/>
                <w:sz w:val="18"/>
                <w:szCs w:val="18"/>
                <w:color w:val="auto"/>
              </w:rPr>
              <w:t>1,675</w:t>
            </w:r>
          </w:p>
        </w:tc>
        <w:tc>
          <w:tcPr>
            <w:tcW w:w="220" w:type="dxa"/>
            <w:vAlign w:val="bottom"/>
          </w:tcPr>
          <w:p>
            <w:pPr>
              <w:spacing w:after="0"/>
              <w:rPr>
                <w:sz w:val="24"/>
                <w:szCs w:val="24"/>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(1,987)</w:t>
            </w:r>
          </w:p>
        </w:tc>
        <w:tc>
          <w:tcPr>
            <w:tcW w:w="0" w:type="dxa"/>
            <w:vAlign w:val="bottom"/>
          </w:tcPr>
          <w:p>
            <w:pPr>
              <w:spacing w:after="0"/>
              <w:rPr>
                <w:sz w:val="1"/>
                <w:szCs w:val="1"/>
                <w:color w:val="auto"/>
              </w:rPr>
            </w:pPr>
          </w:p>
        </w:tc>
      </w:tr>
      <w:tr>
        <w:trPr>
          <w:trHeight w:val="223"/>
        </w:trPr>
        <w:tc>
          <w:tcPr>
            <w:tcW w:w="518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180" w:type="dxa"/>
            <w:vAlign w:val="bottom"/>
          </w:tcPr>
          <w:p>
            <w:pPr>
              <w:spacing w:after="0"/>
              <w:rPr>
                <w:sz w:val="20"/>
                <w:szCs w:val="20"/>
                <w:color w:val="auto"/>
              </w:rPr>
            </w:pPr>
            <w:r>
              <w:rPr>
                <w:rFonts w:ascii="Arial" w:cs="Arial" w:eastAsia="Arial" w:hAnsi="Arial"/>
                <w:sz w:val="18"/>
                <w:szCs w:val="18"/>
                <w:b w:val="1"/>
                <w:bCs w:val="1"/>
                <w:color w:val="auto"/>
              </w:rPr>
              <w:t>Total comprehensive loss attributable to:</w:t>
            </w:r>
          </w:p>
        </w:tc>
        <w:tc>
          <w:tcPr>
            <w:tcW w:w="10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Equity holders of the Company</w:t>
            </w:r>
          </w:p>
        </w:tc>
        <w:tc>
          <w:tcPr>
            <w:tcW w:w="102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(15,202,347)</w:t>
            </w:r>
          </w:p>
        </w:tc>
        <w:tc>
          <w:tcPr>
            <w:tcW w:w="13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(5,747,411)</w:t>
            </w:r>
          </w:p>
        </w:tc>
        <w:tc>
          <w:tcPr>
            <w:tcW w:w="128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(21,243,974)</w:t>
            </w: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(9,023,946)</w:t>
            </w:r>
          </w:p>
        </w:tc>
        <w:tc>
          <w:tcPr>
            <w:tcW w:w="0" w:type="dxa"/>
            <w:vAlign w:val="bottom"/>
          </w:tcPr>
          <w:p>
            <w:pPr>
              <w:spacing w:after="0"/>
              <w:rPr>
                <w:sz w:val="1"/>
                <w:szCs w:val="1"/>
                <w:color w:val="auto"/>
              </w:rPr>
            </w:pPr>
          </w:p>
        </w:tc>
      </w:tr>
      <w:tr>
        <w:trPr>
          <w:trHeight w:val="20"/>
        </w:trPr>
        <w:tc>
          <w:tcPr>
            <w:tcW w:w="518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CFF0FC"/>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Loss per share attributable to the equity holders of the Company</w:t>
            </w:r>
          </w:p>
        </w:tc>
        <w:tc>
          <w:tcPr>
            <w:tcW w:w="102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during the periods</w:t>
            </w:r>
          </w:p>
        </w:tc>
        <w:tc>
          <w:tcPr>
            <w:tcW w:w="102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80" w:type="dxa"/>
            <w:vAlign w:val="bottom"/>
          </w:tcPr>
          <w:p>
            <w:pPr>
              <w:spacing w:after="0"/>
              <w:rPr>
                <w:sz w:val="20"/>
                <w:szCs w:val="20"/>
                <w:color w:val="auto"/>
              </w:rPr>
            </w:pPr>
            <w:r>
              <w:rPr>
                <w:rFonts w:ascii="Arial" w:cs="Arial" w:eastAsia="Arial" w:hAnsi="Arial"/>
                <w:sz w:val="18"/>
                <w:szCs w:val="18"/>
                <w:b w:val="1"/>
                <w:bCs w:val="1"/>
                <w:color w:val="auto"/>
              </w:rPr>
              <w:t>Basic and diluted loss per share:</w:t>
            </w:r>
          </w:p>
        </w:tc>
        <w:tc>
          <w:tcPr>
            <w:tcW w:w="1020" w:type="dxa"/>
            <w:vAlign w:val="bottom"/>
          </w:tcPr>
          <w:p>
            <w:pPr>
              <w:jc w:val="right"/>
              <w:ind w:right="310"/>
              <w:spacing w:after="0"/>
              <w:rPr>
                <w:sz w:val="20"/>
                <w:szCs w:val="20"/>
                <w:color w:val="auto"/>
              </w:rPr>
            </w:pPr>
            <w:r>
              <w:rPr>
                <w:rFonts w:ascii="Arial" w:cs="Arial" w:eastAsia="Arial" w:hAnsi="Arial"/>
                <w:sz w:val="18"/>
                <w:szCs w:val="18"/>
                <w:color w:val="auto"/>
              </w:rPr>
              <w:t>19</w:t>
            </w:r>
          </w:p>
        </w:tc>
        <w:tc>
          <w:tcPr>
            <w:tcW w:w="1260" w:type="dxa"/>
            <w:vAlign w:val="bottom"/>
            <w:gridSpan w:val="2"/>
          </w:tcPr>
          <w:p>
            <w:pPr>
              <w:jc w:val="right"/>
              <w:ind w:right="50"/>
              <w:spacing w:after="0"/>
              <w:rPr>
                <w:sz w:val="20"/>
                <w:szCs w:val="20"/>
                <w:color w:val="auto"/>
              </w:rPr>
            </w:pPr>
            <w:r>
              <w:rPr>
                <w:rFonts w:ascii="Arial" w:cs="Arial" w:eastAsia="Arial" w:hAnsi="Arial"/>
                <w:sz w:val="18"/>
                <w:szCs w:val="18"/>
                <w:color w:val="auto"/>
              </w:rPr>
              <w:t>(0.94)</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(1.19)</w:t>
            </w:r>
          </w:p>
        </w:tc>
        <w:tc>
          <w:tcPr>
            <w:tcW w:w="1280" w:type="dxa"/>
            <w:vAlign w:val="bottom"/>
            <w:gridSpan w:val="2"/>
          </w:tcPr>
          <w:p>
            <w:pPr>
              <w:jc w:val="right"/>
              <w:ind w:right="70"/>
              <w:spacing w:after="0"/>
              <w:rPr>
                <w:sz w:val="20"/>
                <w:szCs w:val="20"/>
                <w:color w:val="auto"/>
              </w:rPr>
            </w:pPr>
            <w:r>
              <w:rPr>
                <w:rFonts w:ascii="Arial" w:cs="Arial" w:eastAsia="Arial" w:hAnsi="Arial"/>
                <w:sz w:val="18"/>
                <w:szCs w:val="18"/>
                <w:color w:val="auto"/>
              </w:rPr>
              <w:t>(1.32)</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bl>
    <w:p>
      <w:pPr>
        <w:spacing w:after="0" w:line="1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unaudited condensed consolidated interim financial statements.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679" w:right="339" w:bottom="1440" w:gutter="0" w:footer="0" w:header="0"/>
        </w:sectPr>
      </w:pPr>
    </w:p>
    <w:bookmarkStart w:id="24" w:name="page25"/>
    <w:bookmarkEnd w:id="24"/>
    <w:p>
      <w:pPr>
        <w:spacing w:after="0"/>
        <w:rPr>
          <w:sz w:val="20"/>
          <w:szCs w:val="20"/>
          <w:color w:val="auto"/>
        </w:rPr>
      </w:pPr>
      <w:r>
        <w:rPr>
          <w:rFonts w:ascii="Arial" w:cs="Arial" w:eastAsia="Arial" w:hAnsi="Arial"/>
          <w:sz w:val="22"/>
          <w:szCs w:val="22"/>
          <w:b w:val="1"/>
          <w:bCs w:val="1"/>
          <w:color w:val="auto"/>
        </w:rPr>
        <w:t>Unaudited condensed consolidated statements of financial position</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72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1640" w:type="dxa"/>
            <w:vAlign w:val="bottom"/>
            <w:gridSpan w:val="2"/>
          </w:tcPr>
          <w:p>
            <w:pPr>
              <w:jc w:val="right"/>
              <w:ind w:right="660"/>
              <w:spacing w:after="0"/>
              <w:rPr>
                <w:sz w:val="20"/>
                <w:szCs w:val="20"/>
                <w:color w:val="auto"/>
              </w:rPr>
            </w:pPr>
            <w:r>
              <w:rPr>
                <w:rFonts w:ascii="Arial" w:cs="Arial" w:eastAsia="Arial" w:hAnsi="Arial"/>
                <w:sz w:val="18"/>
                <w:szCs w:val="18"/>
                <w:color w:val="auto"/>
              </w:rPr>
              <w:t>June 30,</w:t>
            </w: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December 31,</w:t>
            </w:r>
          </w:p>
        </w:tc>
      </w:tr>
      <w:tr>
        <w:trPr>
          <w:trHeight w:val="230"/>
        </w:trPr>
        <w:tc>
          <w:tcPr>
            <w:tcW w:w="472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13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2021</w:t>
            </w:r>
          </w:p>
        </w:tc>
        <w:tc>
          <w:tcPr>
            <w:tcW w:w="260" w:type="dxa"/>
            <w:vAlign w:val="bottom"/>
          </w:tcPr>
          <w:p>
            <w:pPr>
              <w:spacing w:after="0"/>
              <w:rPr>
                <w:sz w:val="20"/>
                <w:szCs w:val="20"/>
                <w:color w:val="auto"/>
              </w:rPr>
            </w:pPr>
          </w:p>
        </w:tc>
        <w:tc>
          <w:tcPr>
            <w:tcW w:w="14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0"/>
                <w:szCs w:val="20"/>
                <w:color w:val="auto"/>
              </w:rPr>
            </w:pPr>
          </w:p>
        </w:tc>
      </w:tr>
      <w:tr>
        <w:trPr>
          <w:trHeight w:val="236"/>
        </w:trPr>
        <w:tc>
          <w:tcPr>
            <w:tcW w:w="4720" w:type="dxa"/>
            <w:vAlign w:val="bottom"/>
          </w:tcPr>
          <w:p>
            <w:pPr>
              <w:spacing w:after="0"/>
              <w:rPr>
                <w:sz w:val="20"/>
                <w:szCs w:val="20"/>
                <w:color w:val="auto"/>
              </w:rPr>
            </w:pPr>
          </w:p>
        </w:tc>
        <w:tc>
          <w:tcPr>
            <w:tcW w:w="3380" w:type="dxa"/>
            <w:vAlign w:val="bottom"/>
          </w:tcPr>
          <w:p>
            <w:pPr>
              <w:jc w:val="center"/>
              <w:ind w:left="1830"/>
              <w:spacing w:after="0"/>
              <w:rPr>
                <w:sz w:val="20"/>
                <w:szCs w:val="20"/>
                <w:color w:val="auto"/>
              </w:rPr>
            </w:pPr>
            <w:r>
              <w:rPr>
                <w:rFonts w:ascii="Arial" w:cs="Arial" w:eastAsia="Arial" w:hAnsi="Arial"/>
                <w:sz w:val="18"/>
                <w:szCs w:val="18"/>
                <w:color w:val="auto"/>
                <w:w w:val="89"/>
              </w:rPr>
              <w:t>Notes</w:t>
            </w:r>
          </w:p>
        </w:tc>
        <w:tc>
          <w:tcPr>
            <w:tcW w:w="1640" w:type="dxa"/>
            <w:vAlign w:val="bottom"/>
            <w:gridSpan w:val="2"/>
          </w:tcPr>
          <w:p>
            <w:pPr>
              <w:jc w:val="center"/>
              <w:ind w:right="300"/>
              <w:spacing w:after="0"/>
              <w:rPr>
                <w:sz w:val="20"/>
                <w:szCs w:val="20"/>
                <w:color w:val="auto"/>
              </w:rPr>
            </w:pPr>
            <w:r>
              <w:rPr>
                <w:rFonts w:ascii="Arial" w:cs="Arial" w:eastAsia="Arial" w:hAnsi="Arial"/>
                <w:sz w:val="18"/>
                <w:szCs w:val="18"/>
                <w:color w:val="auto"/>
                <w:w w:val="99"/>
              </w:rPr>
              <w:t>€</w:t>
            </w:r>
          </w:p>
        </w:tc>
        <w:tc>
          <w:tcPr>
            <w:tcW w:w="150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r>
      <w:tr>
        <w:trPr>
          <w:trHeight w:val="243"/>
        </w:trPr>
        <w:tc>
          <w:tcPr>
            <w:tcW w:w="4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338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3"/>
        </w:trPr>
        <w:tc>
          <w:tcPr>
            <w:tcW w:w="4720" w:type="dxa"/>
            <w:vAlign w:val="bottom"/>
          </w:tcPr>
          <w:p>
            <w:pPr>
              <w:spacing w:after="0"/>
              <w:rPr>
                <w:sz w:val="20"/>
                <w:szCs w:val="20"/>
                <w:color w:val="auto"/>
              </w:rPr>
            </w:pPr>
            <w:r>
              <w:rPr>
                <w:rFonts w:ascii="Arial" w:cs="Arial" w:eastAsia="Arial" w:hAnsi="Arial"/>
                <w:sz w:val="18"/>
                <w:szCs w:val="18"/>
                <w:b w:val="1"/>
                <w:bCs w:val="1"/>
                <w:color w:val="auto"/>
              </w:rPr>
              <w:t>Non-current assets</w:t>
            </w:r>
          </w:p>
        </w:tc>
        <w:tc>
          <w:tcPr>
            <w:tcW w:w="33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Property, plant and equipment</w:t>
            </w:r>
          </w:p>
        </w:tc>
        <w:tc>
          <w:tcPr>
            <w:tcW w:w="3380" w:type="dxa"/>
            <w:vAlign w:val="bottom"/>
            <w:shd w:val="clear" w:color="auto" w:fill="CFF0FC"/>
          </w:tcPr>
          <w:p>
            <w:pPr>
              <w:jc w:val="center"/>
              <w:ind w:left="1930"/>
              <w:spacing w:after="0"/>
              <w:rPr>
                <w:sz w:val="20"/>
                <w:szCs w:val="20"/>
                <w:color w:val="auto"/>
              </w:rPr>
            </w:pPr>
            <w:r>
              <w:rPr>
                <w:rFonts w:ascii="Arial" w:cs="Arial" w:eastAsia="Arial" w:hAnsi="Arial"/>
                <w:sz w:val="18"/>
                <w:szCs w:val="18"/>
                <w:color w:val="auto"/>
                <w:w w:val="79"/>
              </w:rPr>
              <w:t>8</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75,059</w:t>
            </w:r>
          </w:p>
        </w:tc>
        <w:tc>
          <w:tcPr>
            <w:tcW w:w="26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48,503</w:t>
            </w:r>
          </w:p>
        </w:tc>
        <w:tc>
          <w:tcPr>
            <w:tcW w:w="100" w:type="dxa"/>
            <w:vAlign w:val="bottom"/>
            <w:shd w:val="clear" w:color="auto" w:fill="CFF0FC"/>
          </w:tcPr>
          <w:p>
            <w:pPr>
              <w:spacing w:after="0"/>
              <w:rPr>
                <w:sz w:val="21"/>
                <w:szCs w:val="21"/>
                <w:color w:val="auto"/>
              </w:rPr>
            </w:pPr>
          </w:p>
        </w:tc>
      </w:tr>
      <w:tr>
        <w:trPr>
          <w:trHeight w:val="243"/>
        </w:trPr>
        <w:tc>
          <w:tcPr>
            <w:tcW w:w="4720" w:type="dxa"/>
            <w:vAlign w:val="bottom"/>
          </w:tcPr>
          <w:p>
            <w:pPr>
              <w:spacing w:after="0"/>
              <w:rPr>
                <w:sz w:val="20"/>
                <w:szCs w:val="20"/>
                <w:color w:val="auto"/>
              </w:rPr>
            </w:pPr>
            <w:r>
              <w:rPr>
                <w:rFonts w:ascii="Arial" w:cs="Arial" w:eastAsia="Arial" w:hAnsi="Arial"/>
                <w:sz w:val="18"/>
                <w:szCs w:val="18"/>
                <w:color w:val="auto"/>
              </w:rPr>
              <w:t>Right of use assets</w:t>
            </w:r>
          </w:p>
        </w:tc>
        <w:tc>
          <w:tcPr>
            <w:tcW w:w="3380" w:type="dxa"/>
            <w:vAlign w:val="bottom"/>
          </w:tcPr>
          <w:p>
            <w:pPr>
              <w:jc w:val="center"/>
              <w:ind w:left="1930"/>
              <w:spacing w:after="0"/>
              <w:rPr>
                <w:sz w:val="20"/>
                <w:szCs w:val="20"/>
                <w:color w:val="auto"/>
              </w:rPr>
            </w:pPr>
            <w:r>
              <w:rPr>
                <w:rFonts w:ascii="Arial" w:cs="Arial" w:eastAsia="Arial" w:hAnsi="Arial"/>
                <w:sz w:val="18"/>
                <w:szCs w:val="18"/>
                <w:color w:val="auto"/>
                <w:w w:val="79"/>
              </w:rPr>
              <w:t>9</w:t>
            </w:r>
          </w:p>
        </w:tc>
        <w:tc>
          <w:tcPr>
            <w:tcW w:w="1380" w:type="dxa"/>
            <w:vAlign w:val="bottom"/>
          </w:tcPr>
          <w:p>
            <w:pPr>
              <w:jc w:val="right"/>
              <w:spacing w:after="0"/>
              <w:rPr>
                <w:sz w:val="20"/>
                <w:szCs w:val="20"/>
                <w:color w:val="auto"/>
              </w:rPr>
            </w:pPr>
            <w:r>
              <w:rPr>
                <w:rFonts w:ascii="Arial" w:cs="Arial" w:eastAsia="Arial" w:hAnsi="Arial"/>
                <w:sz w:val="18"/>
                <w:szCs w:val="18"/>
                <w:color w:val="auto"/>
              </w:rPr>
              <w:t>285,743</w:t>
            </w:r>
          </w:p>
        </w:tc>
        <w:tc>
          <w:tcPr>
            <w:tcW w:w="260" w:type="dxa"/>
            <w:vAlign w:val="bottom"/>
          </w:tcPr>
          <w:p>
            <w:pPr>
              <w:spacing w:after="0"/>
              <w:rPr>
                <w:sz w:val="21"/>
                <w:szCs w:val="21"/>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43"/>
        </w:trPr>
        <w:tc>
          <w:tcPr>
            <w:tcW w:w="4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Current assets</w:t>
            </w:r>
          </w:p>
        </w:tc>
        <w:tc>
          <w:tcPr>
            <w:tcW w:w="338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3"/>
        </w:trPr>
        <w:tc>
          <w:tcPr>
            <w:tcW w:w="4720" w:type="dxa"/>
            <w:vAlign w:val="bottom"/>
          </w:tcPr>
          <w:p>
            <w:pPr>
              <w:spacing w:after="0"/>
              <w:rPr>
                <w:sz w:val="20"/>
                <w:szCs w:val="20"/>
                <w:color w:val="auto"/>
              </w:rPr>
            </w:pPr>
            <w:r>
              <w:rPr>
                <w:rFonts w:ascii="Arial" w:cs="Arial" w:eastAsia="Arial" w:hAnsi="Arial"/>
                <w:sz w:val="18"/>
                <w:szCs w:val="18"/>
                <w:color w:val="auto"/>
              </w:rPr>
              <w:t>Deferred tax assets</w:t>
            </w:r>
          </w:p>
        </w:tc>
        <w:tc>
          <w:tcPr>
            <w:tcW w:w="3380" w:type="dxa"/>
            <w:vAlign w:val="bottom"/>
          </w:tcPr>
          <w:p>
            <w:pPr>
              <w:jc w:val="center"/>
              <w:ind w:left="1930"/>
              <w:spacing w:after="0"/>
              <w:rPr>
                <w:sz w:val="20"/>
                <w:szCs w:val="20"/>
                <w:color w:val="auto"/>
              </w:rPr>
            </w:pPr>
            <w:r>
              <w:rPr>
                <w:rFonts w:ascii="Arial" w:cs="Arial" w:eastAsia="Arial" w:hAnsi="Arial"/>
                <w:sz w:val="18"/>
                <w:szCs w:val="18"/>
                <w:color w:val="auto"/>
                <w:w w:val="79"/>
              </w:rPr>
              <w:t>7</w:t>
            </w:r>
          </w:p>
        </w:tc>
        <w:tc>
          <w:tcPr>
            <w:tcW w:w="1380" w:type="dxa"/>
            <w:vAlign w:val="bottom"/>
          </w:tcPr>
          <w:p>
            <w:pPr>
              <w:jc w:val="right"/>
              <w:spacing w:after="0"/>
              <w:rPr>
                <w:sz w:val="20"/>
                <w:szCs w:val="20"/>
                <w:color w:val="auto"/>
              </w:rPr>
            </w:pPr>
            <w:r>
              <w:rPr>
                <w:rFonts w:ascii="Arial" w:cs="Arial" w:eastAsia="Arial" w:hAnsi="Arial"/>
                <w:sz w:val="18"/>
                <w:szCs w:val="18"/>
                <w:color w:val="auto"/>
              </w:rPr>
              <w:t>102,574</w:t>
            </w:r>
          </w:p>
        </w:tc>
        <w:tc>
          <w:tcPr>
            <w:tcW w:w="2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99,339</w:t>
            </w:r>
          </w:p>
        </w:tc>
        <w:tc>
          <w:tcPr>
            <w:tcW w:w="100" w:type="dxa"/>
            <w:vAlign w:val="bottom"/>
          </w:tcPr>
          <w:p>
            <w:pPr>
              <w:spacing w:after="0"/>
              <w:rPr>
                <w:sz w:val="21"/>
                <w:szCs w:val="21"/>
                <w:color w:val="auto"/>
              </w:rPr>
            </w:pPr>
          </w:p>
        </w:tc>
      </w:tr>
      <w:tr>
        <w:trPr>
          <w:trHeight w:val="243"/>
        </w:trPr>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Receivables</w:t>
            </w:r>
          </w:p>
        </w:tc>
        <w:tc>
          <w:tcPr>
            <w:tcW w:w="3380" w:type="dxa"/>
            <w:vAlign w:val="bottom"/>
            <w:shd w:val="clear" w:color="auto" w:fill="CFF0FC"/>
          </w:tcPr>
          <w:p>
            <w:pPr>
              <w:jc w:val="center"/>
              <w:ind w:left="1950"/>
              <w:spacing w:after="0"/>
              <w:rPr>
                <w:sz w:val="20"/>
                <w:szCs w:val="20"/>
                <w:color w:val="auto"/>
              </w:rPr>
            </w:pPr>
            <w:r>
              <w:rPr>
                <w:rFonts w:ascii="Arial" w:cs="Arial" w:eastAsia="Arial" w:hAnsi="Arial"/>
                <w:sz w:val="18"/>
                <w:szCs w:val="18"/>
                <w:color w:val="auto"/>
                <w:w w:val="89"/>
              </w:rPr>
              <w:t>10</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712,765</w:t>
            </w:r>
          </w:p>
        </w:tc>
        <w:tc>
          <w:tcPr>
            <w:tcW w:w="26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569,578</w:t>
            </w:r>
          </w:p>
        </w:tc>
        <w:tc>
          <w:tcPr>
            <w:tcW w:w="100" w:type="dxa"/>
            <w:vAlign w:val="bottom"/>
            <w:shd w:val="clear" w:color="auto" w:fill="CFF0FC"/>
          </w:tcPr>
          <w:p>
            <w:pPr>
              <w:spacing w:after="0"/>
              <w:rPr>
                <w:sz w:val="21"/>
                <w:szCs w:val="21"/>
                <w:color w:val="auto"/>
              </w:rPr>
            </w:pPr>
          </w:p>
        </w:tc>
      </w:tr>
      <w:tr>
        <w:trPr>
          <w:trHeight w:val="243"/>
        </w:trPr>
        <w:tc>
          <w:tcPr>
            <w:tcW w:w="4720" w:type="dxa"/>
            <w:vAlign w:val="bottom"/>
          </w:tcPr>
          <w:p>
            <w:pPr>
              <w:spacing w:after="0"/>
              <w:rPr>
                <w:sz w:val="20"/>
                <w:szCs w:val="20"/>
                <w:color w:val="auto"/>
              </w:rPr>
            </w:pPr>
            <w:r>
              <w:rPr>
                <w:rFonts w:ascii="Arial" w:cs="Arial" w:eastAsia="Arial" w:hAnsi="Arial"/>
                <w:sz w:val="18"/>
                <w:szCs w:val="18"/>
                <w:color w:val="auto"/>
              </w:rPr>
              <w:t>Other current assets</w:t>
            </w:r>
          </w:p>
        </w:tc>
        <w:tc>
          <w:tcPr>
            <w:tcW w:w="3380" w:type="dxa"/>
            <w:vAlign w:val="bottom"/>
          </w:tcPr>
          <w:p>
            <w:pPr>
              <w:jc w:val="center"/>
              <w:ind w:left="1950"/>
              <w:spacing w:after="0"/>
              <w:rPr>
                <w:sz w:val="20"/>
                <w:szCs w:val="20"/>
                <w:color w:val="auto"/>
              </w:rPr>
            </w:pPr>
            <w:r>
              <w:rPr>
                <w:rFonts w:ascii="Arial" w:cs="Arial" w:eastAsia="Arial" w:hAnsi="Arial"/>
                <w:sz w:val="18"/>
                <w:szCs w:val="18"/>
                <w:color w:val="auto"/>
                <w:w w:val="89"/>
              </w:rPr>
              <w:t>11</w:t>
            </w:r>
          </w:p>
        </w:tc>
        <w:tc>
          <w:tcPr>
            <w:tcW w:w="1380" w:type="dxa"/>
            <w:vAlign w:val="bottom"/>
          </w:tcPr>
          <w:p>
            <w:pPr>
              <w:jc w:val="right"/>
              <w:spacing w:after="0"/>
              <w:rPr>
                <w:sz w:val="20"/>
                <w:szCs w:val="20"/>
                <w:color w:val="auto"/>
              </w:rPr>
            </w:pPr>
            <w:r>
              <w:rPr>
                <w:rFonts w:ascii="Arial" w:cs="Arial" w:eastAsia="Arial" w:hAnsi="Arial"/>
                <w:sz w:val="18"/>
                <w:szCs w:val="18"/>
                <w:color w:val="auto"/>
              </w:rPr>
              <w:t>4,231,468</w:t>
            </w:r>
          </w:p>
        </w:tc>
        <w:tc>
          <w:tcPr>
            <w:tcW w:w="2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1,753,327</w:t>
            </w:r>
          </w:p>
        </w:tc>
        <w:tc>
          <w:tcPr>
            <w:tcW w:w="100" w:type="dxa"/>
            <w:vAlign w:val="bottom"/>
          </w:tcPr>
          <w:p>
            <w:pPr>
              <w:spacing w:after="0"/>
              <w:rPr>
                <w:sz w:val="21"/>
                <w:szCs w:val="21"/>
                <w:color w:val="auto"/>
              </w:rPr>
            </w:pPr>
          </w:p>
        </w:tc>
      </w:tr>
      <w:tr>
        <w:trPr>
          <w:trHeight w:val="243"/>
        </w:trPr>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3380" w:type="dxa"/>
            <w:vAlign w:val="bottom"/>
            <w:shd w:val="clear" w:color="auto" w:fill="CFF0FC"/>
          </w:tcPr>
          <w:p>
            <w:pPr>
              <w:jc w:val="center"/>
              <w:ind w:left="1950"/>
              <w:spacing w:after="0"/>
              <w:rPr>
                <w:sz w:val="20"/>
                <w:szCs w:val="20"/>
                <w:color w:val="auto"/>
              </w:rPr>
            </w:pPr>
            <w:r>
              <w:rPr>
                <w:rFonts w:ascii="Arial" w:cs="Arial" w:eastAsia="Arial" w:hAnsi="Arial"/>
                <w:sz w:val="18"/>
                <w:szCs w:val="18"/>
                <w:color w:val="auto"/>
                <w:w w:val="89"/>
              </w:rPr>
              <w:t>12</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224,317,740</w:t>
            </w:r>
          </w:p>
        </w:tc>
        <w:tc>
          <w:tcPr>
            <w:tcW w:w="260" w:type="dxa"/>
            <w:vAlign w:val="bottom"/>
            <w:shd w:val="clear" w:color="auto" w:fill="CFF0FC"/>
          </w:tcPr>
          <w:p>
            <w:pPr>
              <w:spacing w:after="0"/>
              <w:rPr>
                <w:sz w:val="21"/>
                <w:szCs w:val="21"/>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98,628,871</w:t>
            </w:r>
          </w:p>
        </w:tc>
        <w:tc>
          <w:tcPr>
            <w:tcW w:w="100" w:type="dxa"/>
            <w:vAlign w:val="bottom"/>
            <w:shd w:val="clear" w:color="auto" w:fill="CFF0FC"/>
          </w:tcPr>
          <w:p>
            <w:pPr>
              <w:spacing w:after="0"/>
              <w:rPr>
                <w:sz w:val="21"/>
                <w:szCs w:val="21"/>
                <w:color w:val="auto"/>
              </w:rPr>
            </w:pPr>
          </w:p>
        </w:tc>
      </w:tr>
      <w:tr>
        <w:trPr>
          <w:trHeight w:val="277"/>
        </w:trPr>
        <w:tc>
          <w:tcPr>
            <w:tcW w:w="472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Total assets</w:t>
            </w:r>
          </w:p>
        </w:tc>
        <w:tc>
          <w:tcPr>
            <w:tcW w:w="3380" w:type="dxa"/>
            <w:vAlign w:val="bottom"/>
            <w:tcBorders>
              <w:bottom w:val="single" w:sz="8" w:color="CFF0FC"/>
            </w:tcBorders>
          </w:tcPr>
          <w:p>
            <w:pPr>
              <w:spacing w:after="0"/>
              <w:rPr>
                <w:sz w:val="24"/>
                <w:szCs w:val="2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229,725,349</w:t>
            </w:r>
          </w:p>
        </w:tc>
        <w:tc>
          <w:tcPr>
            <w:tcW w:w="260" w:type="dxa"/>
            <w:vAlign w:val="bottom"/>
            <w:tcBorders>
              <w:bottom w:val="single" w:sz="8" w:color="CFF0FC"/>
            </w:tcBorders>
          </w:tcPr>
          <w:p>
            <w:pPr>
              <w:spacing w:after="0"/>
              <w:rPr>
                <w:sz w:val="24"/>
                <w:szCs w:val="24"/>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101,099,618</w:t>
            </w:r>
          </w:p>
        </w:tc>
        <w:tc>
          <w:tcPr>
            <w:tcW w:w="100" w:type="dxa"/>
            <w:vAlign w:val="bottom"/>
            <w:tcBorders>
              <w:bottom w:val="single" w:sz="8" w:color="CFF0FC"/>
            </w:tcBorders>
          </w:tcPr>
          <w:p>
            <w:pPr>
              <w:spacing w:after="0"/>
              <w:rPr>
                <w:sz w:val="24"/>
                <w:szCs w:val="24"/>
                <w:color w:val="auto"/>
              </w:rPr>
            </w:pPr>
          </w:p>
        </w:tc>
      </w:tr>
      <w:tr>
        <w:trPr>
          <w:trHeight w:val="223"/>
        </w:trPr>
        <w:tc>
          <w:tcPr>
            <w:tcW w:w="4720" w:type="dxa"/>
            <w:vAlign w:val="bottom"/>
            <w:shd w:val="clear" w:color="auto" w:fill="CFF0FC"/>
          </w:tcPr>
          <w:p>
            <w:pPr>
              <w:spacing w:after="0"/>
              <w:rPr>
                <w:sz w:val="19"/>
                <w:szCs w:val="19"/>
                <w:color w:val="auto"/>
              </w:rPr>
            </w:pPr>
          </w:p>
        </w:tc>
        <w:tc>
          <w:tcPr>
            <w:tcW w:w="338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43"/>
        </w:trPr>
        <w:tc>
          <w:tcPr>
            <w:tcW w:w="4720" w:type="dxa"/>
            <w:vAlign w:val="bottom"/>
          </w:tcPr>
          <w:p>
            <w:pPr>
              <w:spacing w:after="0"/>
              <w:rPr>
                <w:sz w:val="20"/>
                <w:szCs w:val="20"/>
                <w:color w:val="auto"/>
              </w:rPr>
            </w:pPr>
            <w:r>
              <w:rPr>
                <w:rFonts w:ascii="Arial" w:cs="Arial" w:eastAsia="Arial" w:hAnsi="Arial"/>
                <w:sz w:val="18"/>
                <w:szCs w:val="18"/>
                <w:b w:val="1"/>
                <w:bCs w:val="1"/>
                <w:color w:val="auto"/>
              </w:rPr>
              <w:t>Equity and liabilities</w:t>
            </w:r>
          </w:p>
        </w:tc>
        <w:tc>
          <w:tcPr>
            <w:tcW w:w="33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4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Equity</w:t>
            </w:r>
          </w:p>
        </w:tc>
        <w:tc>
          <w:tcPr>
            <w:tcW w:w="338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3"/>
        </w:trPr>
        <w:tc>
          <w:tcPr>
            <w:tcW w:w="4720" w:type="dxa"/>
            <w:vAlign w:val="bottom"/>
          </w:tcPr>
          <w:p>
            <w:pPr>
              <w:spacing w:after="0"/>
              <w:rPr>
                <w:sz w:val="20"/>
                <w:szCs w:val="20"/>
                <w:color w:val="auto"/>
              </w:rPr>
            </w:pPr>
            <w:r>
              <w:rPr>
                <w:rFonts w:ascii="Arial" w:cs="Arial" w:eastAsia="Arial" w:hAnsi="Arial"/>
                <w:sz w:val="18"/>
                <w:szCs w:val="18"/>
                <w:color w:val="auto"/>
              </w:rPr>
              <w:t>Share capital</w:t>
            </w:r>
          </w:p>
        </w:tc>
        <w:tc>
          <w:tcPr>
            <w:tcW w:w="3380" w:type="dxa"/>
            <w:vAlign w:val="bottom"/>
          </w:tcPr>
          <w:p>
            <w:pPr>
              <w:jc w:val="center"/>
              <w:ind w:left="1950"/>
              <w:spacing w:after="0"/>
              <w:rPr>
                <w:sz w:val="20"/>
                <w:szCs w:val="20"/>
                <w:color w:val="auto"/>
              </w:rPr>
            </w:pPr>
            <w:r>
              <w:rPr>
                <w:rFonts w:ascii="Arial" w:cs="Arial" w:eastAsia="Arial" w:hAnsi="Arial"/>
                <w:sz w:val="18"/>
                <w:szCs w:val="18"/>
                <w:color w:val="auto"/>
                <w:w w:val="89"/>
              </w:rPr>
              <w:t>13</w:t>
            </w:r>
          </w:p>
        </w:tc>
        <w:tc>
          <w:tcPr>
            <w:tcW w:w="1380" w:type="dxa"/>
            <w:vAlign w:val="bottom"/>
          </w:tcPr>
          <w:p>
            <w:pPr>
              <w:jc w:val="right"/>
              <w:spacing w:after="0"/>
              <w:rPr>
                <w:sz w:val="20"/>
                <w:szCs w:val="20"/>
                <w:color w:val="auto"/>
              </w:rPr>
            </w:pPr>
            <w:r>
              <w:rPr>
                <w:rFonts w:ascii="Arial" w:cs="Arial" w:eastAsia="Arial" w:hAnsi="Arial"/>
                <w:sz w:val="18"/>
                <w:szCs w:val="18"/>
                <w:color w:val="auto"/>
              </w:rPr>
              <w:t>3,975,432</w:t>
            </w:r>
          </w:p>
        </w:tc>
        <w:tc>
          <w:tcPr>
            <w:tcW w:w="2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235,693</w:t>
            </w:r>
          </w:p>
        </w:tc>
        <w:tc>
          <w:tcPr>
            <w:tcW w:w="100" w:type="dxa"/>
            <w:vAlign w:val="bottom"/>
          </w:tcPr>
          <w:p>
            <w:pPr>
              <w:spacing w:after="0"/>
              <w:rPr>
                <w:sz w:val="21"/>
                <w:szCs w:val="21"/>
                <w:color w:val="auto"/>
              </w:rPr>
            </w:pPr>
          </w:p>
        </w:tc>
      </w:tr>
      <w:tr>
        <w:trPr>
          <w:trHeight w:val="243"/>
        </w:trPr>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Share premium</w:t>
            </w:r>
          </w:p>
        </w:tc>
        <w:tc>
          <w:tcPr>
            <w:tcW w:w="338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278,435,529</w:t>
            </w:r>
          </w:p>
        </w:tc>
        <w:tc>
          <w:tcPr>
            <w:tcW w:w="26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138,034,580</w:t>
            </w:r>
          </w:p>
        </w:tc>
        <w:tc>
          <w:tcPr>
            <w:tcW w:w="100" w:type="dxa"/>
            <w:vAlign w:val="bottom"/>
            <w:shd w:val="clear" w:color="auto" w:fill="CFF0FC"/>
          </w:tcPr>
          <w:p>
            <w:pPr>
              <w:spacing w:after="0"/>
              <w:rPr>
                <w:sz w:val="21"/>
                <w:szCs w:val="21"/>
                <w:color w:val="auto"/>
              </w:rPr>
            </w:pPr>
          </w:p>
        </w:tc>
      </w:tr>
      <w:tr>
        <w:trPr>
          <w:trHeight w:val="243"/>
        </w:trPr>
        <w:tc>
          <w:tcPr>
            <w:tcW w:w="4720" w:type="dxa"/>
            <w:vAlign w:val="bottom"/>
          </w:tcPr>
          <w:p>
            <w:pPr>
              <w:spacing w:after="0"/>
              <w:rPr>
                <w:sz w:val="20"/>
                <w:szCs w:val="20"/>
                <w:color w:val="auto"/>
              </w:rPr>
            </w:pPr>
            <w:r>
              <w:rPr>
                <w:rFonts w:ascii="Arial" w:cs="Arial" w:eastAsia="Arial" w:hAnsi="Arial"/>
                <w:sz w:val="18"/>
                <w:szCs w:val="18"/>
                <w:color w:val="auto"/>
              </w:rPr>
              <w:t>Other reserves</w:t>
            </w:r>
          </w:p>
        </w:tc>
        <w:tc>
          <w:tcPr>
            <w:tcW w:w="33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5,757,542</w:t>
            </w:r>
          </w:p>
        </w:tc>
        <w:tc>
          <w:tcPr>
            <w:tcW w:w="2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1,979,875</w:t>
            </w:r>
          </w:p>
        </w:tc>
        <w:tc>
          <w:tcPr>
            <w:tcW w:w="100" w:type="dxa"/>
            <w:vAlign w:val="bottom"/>
          </w:tcPr>
          <w:p>
            <w:pPr>
              <w:spacing w:after="0"/>
              <w:rPr>
                <w:sz w:val="21"/>
                <w:szCs w:val="21"/>
                <w:color w:val="auto"/>
              </w:rPr>
            </w:pPr>
          </w:p>
        </w:tc>
      </w:tr>
      <w:tr>
        <w:trPr>
          <w:trHeight w:val="243"/>
        </w:trPr>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Currency translation reserve</w:t>
            </w:r>
          </w:p>
        </w:tc>
        <w:tc>
          <w:tcPr>
            <w:tcW w:w="3380" w:type="dxa"/>
            <w:vAlign w:val="bottom"/>
            <w:shd w:val="clear" w:color="auto" w:fill="CFF0FC"/>
          </w:tcPr>
          <w:p>
            <w:pPr>
              <w:spacing w:after="0"/>
              <w:rPr>
                <w:sz w:val="21"/>
                <w:szCs w:val="21"/>
                <w:color w:val="auto"/>
              </w:rPr>
            </w:pPr>
          </w:p>
        </w:tc>
        <w:tc>
          <w:tcPr>
            <w:tcW w:w="16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(2,690)</w:t>
            </w:r>
          </w:p>
        </w:tc>
        <w:tc>
          <w:tcPr>
            <w:tcW w:w="15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(4,365)</w:t>
            </w:r>
          </w:p>
        </w:tc>
      </w:tr>
      <w:tr>
        <w:trPr>
          <w:trHeight w:val="243"/>
        </w:trPr>
        <w:tc>
          <w:tcPr>
            <w:tcW w:w="4720" w:type="dxa"/>
            <w:vAlign w:val="bottom"/>
          </w:tcPr>
          <w:p>
            <w:pPr>
              <w:spacing w:after="0"/>
              <w:rPr>
                <w:sz w:val="20"/>
                <w:szCs w:val="20"/>
                <w:color w:val="auto"/>
              </w:rPr>
            </w:pPr>
            <w:r>
              <w:rPr>
                <w:rFonts w:ascii="Arial" w:cs="Arial" w:eastAsia="Arial" w:hAnsi="Arial"/>
                <w:sz w:val="18"/>
                <w:szCs w:val="18"/>
                <w:color w:val="auto"/>
              </w:rPr>
              <w:t>Accumulated loss</w:t>
            </w:r>
          </w:p>
        </w:tc>
        <w:tc>
          <w:tcPr>
            <w:tcW w:w="3380" w:type="dxa"/>
            <w:vAlign w:val="bottom"/>
          </w:tcPr>
          <w:p>
            <w:pPr>
              <w:spacing w:after="0"/>
              <w:rPr>
                <w:sz w:val="21"/>
                <w:szCs w:val="21"/>
                <w:color w:val="auto"/>
              </w:rPr>
            </w:pP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(65,937,407)</w:t>
            </w:r>
          </w:p>
        </w:tc>
        <w:tc>
          <w:tcPr>
            <w:tcW w:w="1500" w:type="dxa"/>
            <w:vAlign w:val="bottom"/>
            <w:gridSpan w:val="2"/>
          </w:tcPr>
          <w:p>
            <w:pPr>
              <w:jc w:val="right"/>
              <w:ind w:right="40"/>
              <w:spacing w:after="0"/>
              <w:rPr>
                <w:sz w:val="20"/>
                <w:szCs w:val="20"/>
                <w:color w:val="auto"/>
              </w:rPr>
            </w:pPr>
            <w:r>
              <w:rPr>
                <w:rFonts w:ascii="Arial" w:cs="Arial" w:eastAsia="Arial" w:hAnsi="Arial"/>
                <w:sz w:val="18"/>
                <w:szCs w:val="18"/>
                <w:color w:val="auto"/>
              </w:rPr>
              <w:t>(44,459,954)</w:t>
            </w:r>
          </w:p>
        </w:tc>
      </w:tr>
      <w:tr>
        <w:trPr>
          <w:trHeight w:val="237"/>
        </w:trPr>
        <w:tc>
          <w:tcPr>
            <w:tcW w:w="47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equity</w:t>
            </w:r>
          </w:p>
        </w:tc>
        <w:tc>
          <w:tcPr>
            <w:tcW w:w="3380" w:type="dxa"/>
            <w:vAlign w:val="bottom"/>
            <w:tcBorders>
              <w:top w:val="single" w:sz="8" w:color="CFF0FC"/>
              <w:bottom w:val="single" w:sz="8" w:color="CFF0FC"/>
            </w:tcBorders>
            <w:shd w:val="clear" w:color="auto" w:fill="CFF0FC"/>
          </w:tcPr>
          <w:p>
            <w:pPr>
              <w:spacing w:after="0"/>
              <w:rPr>
                <w:sz w:val="20"/>
                <w:szCs w:val="20"/>
                <w:color w:val="auto"/>
              </w:rPr>
            </w:pP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222,228,406</w:t>
            </w:r>
          </w:p>
        </w:tc>
        <w:tc>
          <w:tcPr>
            <w:tcW w:w="260" w:type="dxa"/>
            <w:vAlign w:val="bottom"/>
            <w:tcBorders>
              <w:top w:val="single" w:sz="8" w:color="CFF0FC"/>
              <w:bottom w:val="single" w:sz="8" w:color="CFF0FC"/>
            </w:tcBorders>
            <w:shd w:val="clear" w:color="auto" w:fill="CFF0FC"/>
          </w:tcPr>
          <w:p>
            <w:pPr>
              <w:spacing w:after="0"/>
              <w:rPr>
                <w:sz w:val="20"/>
                <w:szCs w:val="20"/>
                <w:color w:val="auto"/>
              </w:rPr>
            </w:pP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95,785,829</w:t>
            </w: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r>
      <w:tr>
        <w:trPr>
          <w:trHeight w:val="20"/>
        </w:trPr>
        <w:tc>
          <w:tcPr>
            <w:tcW w:w="47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4"/>
        </w:trPr>
        <w:tc>
          <w:tcPr>
            <w:tcW w:w="472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3"/>
        </w:trPr>
        <w:tc>
          <w:tcPr>
            <w:tcW w:w="4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Long term liabilities</w:t>
            </w:r>
          </w:p>
        </w:tc>
        <w:tc>
          <w:tcPr>
            <w:tcW w:w="338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3"/>
        </w:trPr>
        <w:tc>
          <w:tcPr>
            <w:tcW w:w="4720" w:type="dxa"/>
            <w:vAlign w:val="bottom"/>
          </w:tcPr>
          <w:p>
            <w:pPr>
              <w:spacing w:after="0"/>
              <w:rPr>
                <w:sz w:val="20"/>
                <w:szCs w:val="20"/>
                <w:color w:val="auto"/>
              </w:rPr>
            </w:pPr>
            <w:r>
              <w:rPr>
                <w:rFonts w:ascii="Arial" w:cs="Arial" w:eastAsia="Arial" w:hAnsi="Arial"/>
                <w:sz w:val="18"/>
                <w:szCs w:val="18"/>
                <w:color w:val="auto"/>
              </w:rPr>
              <w:t>Non-current lease liability</w:t>
            </w:r>
          </w:p>
        </w:tc>
        <w:tc>
          <w:tcPr>
            <w:tcW w:w="3380" w:type="dxa"/>
            <w:vAlign w:val="bottom"/>
          </w:tcPr>
          <w:p>
            <w:pPr>
              <w:jc w:val="right"/>
              <w:ind w:right="590"/>
              <w:spacing w:after="0"/>
              <w:rPr>
                <w:sz w:val="20"/>
                <w:szCs w:val="20"/>
                <w:color w:val="auto"/>
              </w:rPr>
            </w:pPr>
            <w:r>
              <w:rPr>
                <w:rFonts w:ascii="Arial" w:cs="Arial" w:eastAsia="Arial" w:hAnsi="Arial"/>
                <w:sz w:val="18"/>
                <w:szCs w:val="18"/>
                <w:color w:val="auto"/>
              </w:rPr>
              <w:t>9</w:t>
            </w:r>
          </w:p>
        </w:tc>
        <w:tc>
          <w:tcPr>
            <w:tcW w:w="1380" w:type="dxa"/>
            <w:vAlign w:val="bottom"/>
          </w:tcPr>
          <w:p>
            <w:pPr>
              <w:jc w:val="right"/>
              <w:spacing w:after="0"/>
              <w:rPr>
                <w:sz w:val="20"/>
                <w:szCs w:val="20"/>
                <w:color w:val="auto"/>
              </w:rPr>
            </w:pPr>
            <w:r>
              <w:rPr>
                <w:rFonts w:ascii="Arial" w:cs="Arial" w:eastAsia="Arial" w:hAnsi="Arial"/>
                <w:sz w:val="18"/>
                <w:szCs w:val="18"/>
                <w:color w:val="auto"/>
              </w:rPr>
              <w:t>189,285</w:t>
            </w:r>
          </w:p>
        </w:tc>
        <w:tc>
          <w:tcPr>
            <w:tcW w:w="260" w:type="dxa"/>
            <w:vAlign w:val="bottom"/>
          </w:tcPr>
          <w:p>
            <w:pPr>
              <w:spacing w:after="0"/>
              <w:rPr>
                <w:sz w:val="21"/>
                <w:szCs w:val="21"/>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43"/>
        </w:trPr>
        <w:tc>
          <w:tcPr>
            <w:tcW w:w="4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Current liabilities</w:t>
            </w:r>
          </w:p>
        </w:tc>
        <w:tc>
          <w:tcPr>
            <w:tcW w:w="338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3"/>
        </w:trPr>
        <w:tc>
          <w:tcPr>
            <w:tcW w:w="4720" w:type="dxa"/>
            <w:vAlign w:val="bottom"/>
          </w:tcPr>
          <w:p>
            <w:pPr>
              <w:spacing w:after="0"/>
              <w:rPr>
                <w:sz w:val="20"/>
                <w:szCs w:val="20"/>
                <w:color w:val="auto"/>
              </w:rPr>
            </w:pPr>
            <w:r>
              <w:rPr>
                <w:rFonts w:ascii="Arial" w:cs="Arial" w:eastAsia="Arial" w:hAnsi="Arial"/>
                <w:sz w:val="18"/>
                <w:szCs w:val="18"/>
                <w:color w:val="auto"/>
              </w:rPr>
              <w:t>Trade and other payables</w:t>
            </w:r>
          </w:p>
        </w:tc>
        <w:tc>
          <w:tcPr>
            <w:tcW w:w="3380" w:type="dxa"/>
            <w:vAlign w:val="bottom"/>
          </w:tcPr>
          <w:p>
            <w:pPr>
              <w:jc w:val="center"/>
              <w:ind w:left="1950"/>
              <w:spacing w:after="0"/>
              <w:rPr>
                <w:sz w:val="20"/>
                <w:szCs w:val="20"/>
                <w:color w:val="auto"/>
              </w:rPr>
            </w:pPr>
            <w:r>
              <w:rPr>
                <w:rFonts w:ascii="Arial" w:cs="Arial" w:eastAsia="Arial" w:hAnsi="Arial"/>
                <w:sz w:val="18"/>
                <w:szCs w:val="18"/>
                <w:color w:val="auto"/>
                <w:w w:val="89"/>
              </w:rPr>
              <w:t>14</w:t>
            </w:r>
          </w:p>
        </w:tc>
        <w:tc>
          <w:tcPr>
            <w:tcW w:w="1380" w:type="dxa"/>
            <w:vAlign w:val="bottom"/>
          </w:tcPr>
          <w:p>
            <w:pPr>
              <w:jc w:val="right"/>
              <w:spacing w:after="0"/>
              <w:rPr>
                <w:sz w:val="20"/>
                <w:szCs w:val="20"/>
                <w:color w:val="auto"/>
              </w:rPr>
            </w:pPr>
            <w:r>
              <w:rPr>
                <w:rFonts w:ascii="Arial" w:cs="Arial" w:eastAsia="Arial" w:hAnsi="Arial"/>
                <w:sz w:val="18"/>
                <w:szCs w:val="18"/>
                <w:color w:val="auto"/>
              </w:rPr>
              <w:t>3,343,006</w:t>
            </w:r>
          </w:p>
        </w:tc>
        <w:tc>
          <w:tcPr>
            <w:tcW w:w="2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846,952</w:t>
            </w:r>
          </w:p>
        </w:tc>
        <w:tc>
          <w:tcPr>
            <w:tcW w:w="100" w:type="dxa"/>
            <w:vAlign w:val="bottom"/>
          </w:tcPr>
          <w:p>
            <w:pPr>
              <w:spacing w:after="0"/>
              <w:rPr>
                <w:sz w:val="21"/>
                <w:szCs w:val="21"/>
                <w:color w:val="auto"/>
              </w:rPr>
            </w:pPr>
          </w:p>
        </w:tc>
      </w:tr>
      <w:tr>
        <w:trPr>
          <w:trHeight w:val="243"/>
        </w:trPr>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Accrued liabilities</w:t>
            </w:r>
          </w:p>
        </w:tc>
        <w:tc>
          <w:tcPr>
            <w:tcW w:w="3380" w:type="dxa"/>
            <w:vAlign w:val="bottom"/>
            <w:shd w:val="clear" w:color="auto" w:fill="CFF0FC"/>
          </w:tcPr>
          <w:p>
            <w:pPr>
              <w:jc w:val="center"/>
              <w:ind w:left="1950"/>
              <w:spacing w:after="0"/>
              <w:rPr>
                <w:sz w:val="20"/>
                <w:szCs w:val="20"/>
                <w:color w:val="auto"/>
              </w:rPr>
            </w:pPr>
            <w:r>
              <w:rPr>
                <w:rFonts w:ascii="Arial" w:cs="Arial" w:eastAsia="Arial" w:hAnsi="Arial"/>
                <w:sz w:val="18"/>
                <w:szCs w:val="18"/>
                <w:color w:val="auto"/>
                <w:w w:val="89"/>
              </w:rPr>
              <w:t>15</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3,964,652</w:t>
            </w:r>
          </w:p>
        </w:tc>
        <w:tc>
          <w:tcPr>
            <w:tcW w:w="260" w:type="dxa"/>
            <w:vAlign w:val="bottom"/>
            <w:shd w:val="clear" w:color="auto" w:fill="CFF0FC"/>
          </w:tcPr>
          <w:p>
            <w:pPr>
              <w:spacing w:after="0"/>
              <w:rPr>
                <w:sz w:val="21"/>
                <w:szCs w:val="21"/>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4,466,837</w:t>
            </w:r>
          </w:p>
        </w:tc>
        <w:tc>
          <w:tcPr>
            <w:tcW w:w="100" w:type="dxa"/>
            <w:vAlign w:val="bottom"/>
            <w:shd w:val="clear" w:color="auto" w:fill="CFF0FC"/>
          </w:tcPr>
          <w:p>
            <w:pPr>
              <w:spacing w:after="0"/>
              <w:rPr>
                <w:sz w:val="21"/>
                <w:szCs w:val="21"/>
                <w:color w:val="auto"/>
              </w:rPr>
            </w:pPr>
          </w:p>
        </w:tc>
      </w:tr>
      <w:tr>
        <w:trPr>
          <w:trHeight w:val="236"/>
        </w:trPr>
        <w:tc>
          <w:tcPr>
            <w:tcW w:w="472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Total liabilities</w:t>
            </w:r>
          </w:p>
        </w:tc>
        <w:tc>
          <w:tcPr>
            <w:tcW w:w="3380" w:type="dxa"/>
            <w:vAlign w:val="bottom"/>
            <w:tcBorders>
              <w:bottom w:val="single" w:sz="8" w:color="CFF0FC"/>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7,496,943</w:t>
            </w:r>
          </w:p>
        </w:tc>
        <w:tc>
          <w:tcPr>
            <w:tcW w:w="260" w:type="dxa"/>
            <w:vAlign w:val="bottom"/>
            <w:tcBorders>
              <w:bottom w:val="single" w:sz="8" w:color="CFF0FC"/>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5,313,789</w:t>
            </w:r>
          </w:p>
        </w:tc>
        <w:tc>
          <w:tcPr>
            <w:tcW w:w="100" w:type="dxa"/>
            <w:vAlign w:val="bottom"/>
            <w:tcBorders>
              <w:bottom w:val="single" w:sz="8" w:color="CFF0FC"/>
            </w:tcBorders>
          </w:tcPr>
          <w:p>
            <w:pPr>
              <w:spacing w:after="0"/>
              <w:rPr>
                <w:sz w:val="20"/>
                <w:szCs w:val="20"/>
                <w:color w:val="auto"/>
              </w:rPr>
            </w:pPr>
          </w:p>
        </w:tc>
      </w:tr>
      <w:tr>
        <w:trPr>
          <w:trHeight w:val="237"/>
        </w:trPr>
        <w:tc>
          <w:tcPr>
            <w:tcW w:w="4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equity and liabilities</w:t>
            </w:r>
          </w:p>
        </w:tc>
        <w:tc>
          <w:tcPr>
            <w:tcW w:w="3380" w:type="dxa"/>
            <w:vAlign w:val="bottom"/>
            <w:tcBorders>
              <w:bottom w:val="single" w:sz="8" w:color="CFF0FC"/>
            </w:tcBorders>
            <w:shd w:val="clear" w:color="auto" w:fill="CFF0FC"/>
          </w:tcPr>
          <w:p>
            <w:pPr>
              <w:spacing w:after="0"/>
              <w:rPr>
                <w:sz w:val="20"/>
                <w:szCs w:val="20"/>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229,725,349</w:t>
            </w:r>
          </w:p>
        </w:tc>
        <w:tc>
          <w:tcPr>
            <w:tcW w:w="260" w:type="dxa"/>
            <w:vAlign w:val="bottom"/>
            <w:tcBorders>
              <w:bottom w:val="single" w:sz="8" w:color="CFF0FC"/>
            </w:tcBorders>
            <w:shd w:val="clear" w:color="auto" w:fill="CFF0FC"/>
          </w:tcPr>
          <w:p>
            <w:pPr>
              <w:spacing w:after="0"/>
              <w:rPr>
                <w:sz w:val="20"/>
                <w:szCs w:val="20"/>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101,099,618</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0"/>
        </w:trPr>
        <w:tc>
          <w:tcPr>
            <w:tcW w:w="47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unaudited condensed consolidated interim financial statements.</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25" w:name="page26"/>
    <w:bookmarkEnd w:id="25"/>
    <w:p>
      <w:pPr>
        <w:spacing w:after="0"/>
        <w:rPr>
          <w:sz w:val="20"/>
          <w:szCs w:val="20"/>
          <w:color w:val="auto"/>
        </w:rPr>
      </w:pPr>
      <w:r>
        <w:rPr>
          <w:rFonts w:ascii="Arial" w:cs="Arial" w:eastAsia="Arial" w:hAnsi="Arial"/>
          <w:sz w:val="22"/>
          <w:szCs w:val="22"/>
          <w:b w:val="1"/>
          <w:bCs w:val="1"/>
          <w:color w:val="auto"/>
        </w:rPr>
        <w:t>Unaudited condensed consolidated statements of changes in equity</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For the six months ended June 30, 2021 and June 30, 2020</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7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color w:val="auto"/>
                <w:w w:val="98"/>
              </w:rPr>
              <w:t>Currency</w:t>
            </w: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7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color w:val="auto"/>
                <w:w w:val="90"/>
              </w:rPr>
              <w:t>Share</w:t>
            </w: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color w:val="auto"/>
                <w:w w:val="90"/>
              </w:rPr>
              <w:t>Share</w:t>
            </w: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color w:val="auto"/>
                <w:w w:val="96"/>
              </w:rPr>
              <w:t>Other</w:t>
            </w: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color w:val="auto"/>
                <w:w w:val="99"/>
              </w:rPr>
              <w:t>translation</w:t>
            </w: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color w:val="auto"/>
                <w:w w:val="98"/>
              </w:rPr>
              <w:t>Accumulated</w:t>
            </w:r>
          </w:p>
        </w:tc>
        <w:tc>
          <w:tcPr>
            <w:tcW w:w="1160" w:type="dxa"/>
            <w:vAlign w:val="bottom"/>
            <w:gridSpan w:val="2"/>
          </w:tcPr>
          <w:p>
            <w:pPr>
              <w:jc w:val="center"/>
              <w:ind w:right="12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29"/>
        </w:trPr>
        <w:tc>
          <w:tcPr>
            <w:tcW w:w="27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color w:val="auto"/>
                <w:w w:val="98"/>
              </w:rPr>
              <w:t>capital</w:t>
            </w: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color w:val="auto"/>
                <w:w w:val="99"/>
              </w:rPr>
              <w:t>premium</w:t>
            </w: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color w:val="auto"/>
                <w:w w:val="93"/>
              </w:rPr>
              <w:t>reserves</w:t>
            </w: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color w:val="auto"/>
                <w:w w:val="94"/>
              </w:rPr>
              <w:t>reserve</w:t>
            </w: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color w:val="auto"/>
                <w:w w:val="90"/>
              </w:rPr>
              <w:t>losses</w:t>
            </w:r>
          </w:p>
        </w:tc>
        <w:tc>
          <w:tcPr>
            <w:tcW w:w="1160" w:type="dxa"/>
            <w:vAlign w:val="bottom"/>
            <w:gridSpan w:val="2"/>
          </w:tcPr>
          <w:p>
            <w:pPr>
              <w:jc w:val="center"/>
              <w:ind w:right="120"/>
              <w:spacing w:after="0"/>
              <w:rPr>
                <w:sz w:val="20"/>
                <w:szCs w:val="20"/>
                <w:color w:val="auto"/>
              </w:rPr>
            </w:pPr>
            <w:r>
              <w:rPr>
                <w:rFonts w:ascii="Arial" w:cs="Arial" w:eastAsia="Arial" w:hAnsi="Arial"/>
                <w:sz w:val="14"/>
                <w:szCs w:val="14"/>
                <w:color w:val="auto"/>
              </w:rPr>
              <w:t>Equity</w:t>
            </w:r>
          </w:p>
        </w:tc>
        <w:tc>
          <w:tcPr>
            <w:tcW w:w="0" w:type="dxa"/>
            <w:vAlign w:val="bottom"/>
          </w:tcPr>
          <w:p>
            <w:pPr>
              <w:spacing w:after="0"/>
              <w:rPr>
                <w:sz w:val="1"/>
                <w:szCs w:val="1"/>
                <w:color w:val="auto"/>
              </w:rPr>
            </w:pPr>
          </w:p>
        </w:tc>
      </w:tr>
      <w:tr>
        <w:trPr>
          <w:trHeight w:val="26"/>
        </w:trPr>
        <w:tc>
          <w:tcPr>
            <w:tcW w:w="27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1"/>
        </w:trPr>
        <w:tc>
          <w:tcPr>
            <w:tcW w:w="2780" w:type="dxa"/>
            <w:vAlign w:val="bottom"/>
          </w:tcPr>
          <w:p>
            <w:pPr>
              <w:spacing w:after="0"/>
              <w:rPr>
                <w:sz w:val="18"/>
                <w:szCs w:val="18"/>
                <w:color w:val="auto"/>
              </w:rPr>
            </w:pPr>
          </w:p>
        </w:tc>
        <w:tc>
          <w:tcPr>
            <w:tcW w:w="1120" w:type="dxa"/>
            <w:vAlign w:val="bottom"/>
          </w:tcPr>
          <w:p>
            <w:pPr>
              <w:jc w:val="right"/>
              <w:ind w:right="288"/>
              <w:spacing w:after="0"/>
              <w:rPr>
                <w:sz w:val="20"/>
                <w:szCs w:val="20"/>
                <w:color w:val="auto"/>
              </w:rPr>
            </w:pPr>
            <w:r>
              <w:rPr>
                <w:rFonts w:ascii="Arial" w:cs="Arial" w:eastAsia="Arial" w:hAnsi="Arial"/>
                <w:sz w:val="14"/>
                <w:szCs w:val="14"/>
                <w:color w:val="auto"/>
              </w:rPr>
              <w:t>Notes</w:t>
            </w: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color w:val="auto"/>
                <w:w w:val="76"/>
              </w:rPr>
              <w:t>€</w:t>
            </w: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center"/>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
        </w:trPr>
        <w:tc>
          <w:tcPr>
            <w:tcW w:w="27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7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b w:val="1"/>
                <w:bCs w:val="1"/>
                <w:color w:val="auto"/>
              </w:rPr>
              <w:t>Balance at January 1, 2020</w:t>
            </w:r>
          </w:p>
        </w:tc>
        <w:tc>
          <w:tcPr>
            <w:tcW w:w="1120" w:type="dxa"/>
            <w:vAlign w:val="bottom"/>
            <w:tcBorders>
              <w:bottom w:val="single" w:sz="8" w:color="CFF0FC"/>
            </w:tcBorders>
            <w:shd w:val="clear" w:color="auto" w:fill="CFF0FC"/>
          </w:tcPr>
          <w:p>
            <w:pPr>
              <w:spacing w:after="0"/>
              <w:rPr>
                <w:sz w:val="19"/>
                <w:szCs w:val="19"/>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130,962</w:t>
            </w:r>
          </w:p>
        </w:tc>
        <w:tc>
          <w:tcPr>
            <w:tcW w:w="220" w:type="dxa"/>
            <w:vAlign w:val="bottom"/>
            <w:tcBorders>
              <w:bottom w:val="single" w:sz="8" w:color="CFF0FC"/>
            </w:tcBorders>
            <w:shd w:val="clear" w:color="auto" w:fill="CFF0FC"/>
          </w:tcPr>
          <w:p>
            <w:pPr>
              <w:spacing w:after="0"/>
              <w:rPr>
                <w:sz w:val="19"/>
                <w:szCs w:val="19"/>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36,624,697</w:t>
            </w:r>
          </w:p>
        </w:tc>
        <w:tc>
          <w:tcPr>
            <w:tcW w:w="200" w:type="dxa"/>
            <w:vAlign w:val="bottom"/>
            <w:tcBorders>
              <w:bottom w:val="single" w:sz="8" w:color="CFF0FC"/>
            </w:tcBorders>
            <w:shd w:val="clear" w:color="auto" w:fill="CFF0FC"/>
          </w:tcPr>
          <w:p>
            <w:pPr>
              <w:spacing w:after="0"/>
              <w:rPr>
                <w:sz w:val="19"/>
                <w:szCs w:val="19"/>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392,139</w:t>
            </w:r>
          </w:p>
        </w:tc>
        <w:tc>
          <w:tcPr>
            <w:tcW w:w="220" w:type="dxa"/>
            <w:vAlign w:val="bottom"/>
            <w:tcBorders>
              <w:bottom w:val="single" w:sz="8" w:color="CFF0FC"/>
            </w:tcBorders>
            <w:shd w:val="clear" w:color="auto" w:fill="CFF0FC"/>
          </w:tcPr>
          <w:p>
            <w:pPr>
              <w:spacing w:after="0"/>
              <w:rPr>
                <w:sz w:val="19"/>
                <w:szCs w:val="19"/>
                <w:color w:val="auto"/>
              </w:rPr>
            </w:pPr>
          </w:p>
        </w:tc>
        <w:tc>
          <w:tcPr>
            <w:tcW w:w="1240" w:type="dxa"/>
            <w:vAlign w:val="bottom"/>
            <w:tcBorders>
              <w:bottom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(18,474,250)</w:t>
            </w:r>
          </w:p>
        </w:tc>
        <w:tc>
          <w:tcPr>
            <w:tcW w:w="10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18,673,548</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780" w:type="dxa"/>
            <w:vAlign w:val="bottom"/>
          </w:tcPr>
          <w:p>
            <w:pPr>
              <w:spacing w:after="0"/>
              <w:rPr>
                <w:sz w:val="20"/>
                <w:szCs w:val="20"/>
                <w:color w:val="auto"/>
              </w:rPr>
            </w:pPr>
            <w:r>
              <w:rPr>
                <w:rFonts w:ascii="Arial" w:cs="Arial" w:eastAsia="Arial" w:hAnsi="Arial"/>
                <w:sz w:val="14"/>
                <w:szCs w:val="14"/>
                <w:color w:val="auto"/>
              </w:rPr>
              <w:t>Total comprehensive loss</w:t>
            </w:r>
          </w:p>
        </w:tc>
        <w:tc>
          <w:tcPr>
            <w:tcW w:w="11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(3,276,355)</w:t>
            </w:r>
          </w:p>
        </w:tc>
        <w:tc>
          <w:tcPr>
            <w:tcW w:w="1160" w:type="dxa"/>
            <w:vAlign w:val="bottom"/>
            <w:gridSpan w:val="2"/>
          </w:tcPr>
          <w:p>
            <w:pPr>
              <w:jc w:val="right"/>
              <w:ind w:right="60"/>
              <w:spacing w:after="0"/>
              <w:rPr>
                <w:sz w:val="20"/>
                <w:szCs w:val="20"/>
                <w:color w:val="auto"/>
              </w:rPr>
            </w:pPr>
            <w:r>
              <w:rPr>
                <w:rFonts w:ascii="Arial" w:cs="Arial" w:eastAsia="Arial" w:hAnsi="Arial"/>
                <w:sz w:val="14"/>
                <w:szCs w:val="14"/>
                <w:color w:val="auto"/>
              </w:rPr>
              <w:t>(3,276,355)</w:t>
            </w:r>
          </w:p>
        </w:tc>
        <w:tc>
          <w:tcPr>
            <w:tcW w:w="0" w:type="dxa"/>
            <w:vAlign w:val="bottom"/>
          </w:tcPr>
          <w:p>
            <w:pPr>
              <w:spacing w:after="0"/>
              <w:rPr>
                <w:sz w:val="1"/>
                <w:szCs w:val="1"/>
                <w:color w:val="auto"/>
              </w:rPr>
            </w:pPr>
          </w:p>
        </w:tc>
      </w:tr>
      <w:tr>
        <w:trPr>
          <w:trHeight w:val="26"/>
        </w:trPr>
        <w:tc>
          <w:tcPr>
            <w:tcW w:w="27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7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color w:val="auto"/>
              </w:rPr>
              <w:t>Share-based payments</w:t>
            </w:r>
          </w:p>
        </w:tc>
        <w:tc>
          <w:tcPr>
            <w:tcW w:w="1120" w:type="dxa"/>
            <w:vAlign w:val="bottom"/>
            <w:tcBorders>
              <w:bottom w:val="single" w:sz="8" w:color="CFF0FC"/>
            </w:tcBorders>
            <w:shd w:val="clear" w:color="auto" w:fill="CFF0FC"/>
          </w:tcPr>
          <w:p>
            <w:pPr>
              <w:jc w:val="right"/>
              <w:ind w:right="328"/>
              <w:spacing w:after="0"/>
              <w:rPr>
                <w:sz w:val="20"/>
                <w:szCs w:val="20"/>
                <w:color w:val="auto"/>
              </w:rPr>
            </w:pPr>
            <w:r>
              <w:rPr>
                <w:rFonts w:ascii="Arial" w:cs="Arial" w:eastAsia="Arial" w:hAnsi="Arial"/>
                <w:sz w:val="14"/>
                <w:szCs w:val="14"/>
                <w:color w:val="auto"/>
              </w:rPr>
              <w:t>18</w:t>
            </w:r>
          </w:p>
        </w:tc>
        <w:tc>
          <w:tcPr>
            <w:tcW w:w="1240" w:type="dxa"/>
            <w:vAlign w:val="bottom"/>
            <w:tcBorders>
              <w:bottom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293,717</w:t>
            </w:r>
          </w:p>
        </w:tc>
        <w:tc>
          <w:tcPr>
            <w:tcW w:w="220" w:type="dxa"/>
            <w:vAlign w:val="bottom"/>
            <w:tcBorders>
              <w:bottom w:val="single" w:sz="8" w:color="CFF0FC"/>
            </w:tcBorders>
            <w:shd w:val="clear" w:color="auto" w:fill="CFF0FC"/>
          </w:tcPr>
          <w:p>
            <w:pPr>
              <w:spacing w:after="0"/>
              <w:rPr>
                <w:sz w:val="19"/>
                <w:szCs w:val="19"/>
                <w:color w:val="auto"/>
              </w:rPr>
            </w:pPr>
          </w:p>
        </w:tc>
        <w:tc>
          <w:tcPr>
            <w:tcW w:w="1240" w:type="dxa"/>
            <w:vAlign w:val="bottom"/>
            <w:tcBorders>
              <w:bottom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293,717</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80" w:type="dxa"/>
            <w:vAlign w:val="bottom"/>
            <w:vMerge w:val="restart"/>
          </w:tcPr>
          <w:p>
            <w:pPr>
              <w:spacing w:after="0"/>
              <w:rPr>
                <w:sz w:val="20"/>
                <w:szCs w:val="20"/>
                <w:color w:val="auto"/>
              </w:rPr>
            </w:pPr>
            <w:r>
              <w:rPr>
                <w:rFonts w:ascii="Arial" w:cs="Arial" w:eastAsia="Arial" w:hAnsi="Arial"/>
                <w:sz w:val="14"/>
                <w:szCs w:val="14"/>
                <w:b w:val="1"/>
                <w:bCs w:val="1"/>
                <w:color w:val="auto"/>
              </w:rPr>
              <w:t>Balance at March 31, 2020</w:t>
            </w:r>
          </w:p>
        </w:tc>
        <w:tc>
          <w:tcPr>
            <w:tcW w:w="11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780" w:type="dxa"/>
            <w:vAlign w:val="bottom"/>
            <w:vMerge w:val="continue"/>
          </w:tcPr>
          <w:p>
            <w:pPr>
              <w:spacing w:after="0"/>
              <w:rPr>
                <w:sz w:val="18"/>
                <w:szCs w:val="18"/>
                <w:color w:val="auto"/>
              </w:rPr>
            </w:pPr>
          </w:p>
        </w:tc>
        <w:tc>
          <w:tcPr>
            <w:tcW w:w="1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130,962</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36,624,697</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685,856</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(21,750,605)</w:t>
            </w:r>
          </w:p>
        </w:tc>
        <w:tc>
          <w:tcPr>
            <w:tcW w:w="1060" w:type="dxa"/>
            <w:vAlign w:val="bottom"/>
          </w:tcPr>
          <w:p>
            <w:pPr>
              <w:jc w:val="right"/>
              <w:spacing w:after="0"/>
              <w:rPr>
                <w:sz w:val="20"/>
                <w:szCs w:val="20"/>
                <w:color w:val="auto"/>
              </w:rPr>
            </w:pPr>
            <w:r>
              <w:rPr>
                <w:rFonts w:ascii="Arial" w:cs="Arial" w:eastAsia="Arial" w:hAnsi="Arial"/>
                <w:sz w:val="14"/>
                <w:szCs w:val="14"/>
                <w:color w:val="auto"/>
              </w:rPr>
              <w:t>15,690,910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6"/>
        </w:trPr>
        <w:tc>
          <w:tcPr>
            <w:tcW w:w="2780" w:type="dxa"/>
            <w:vAlign w:val="bottom"/>
            <w:tcBorders>
              <w:bottom w:val="single" w:sz="8" w:color="CFF0FC"/>
            </w:tcBorders>
          </w:tcPr>
          <w:p>
            <w:pPr>
              <w:spacing w:after="0"/>
              <w:rPr>
                <w:sz w:val="5"/>
                <w:szCs w:val="5"/>
                <w:color w:val="auto"/>
              </w:rPr>
            </w:pPr>
          </w:p>
        </w:tc>
        <w:tc>
          <w:tcPr>
            <w:tcW w:w="1120" w:type="dxa"/>
            <w:vAlign w:val="bottom"/>
            <w:tcBorders>
              <w:bottom w:val="single" w:sz="8" w:color="CFF0FC"/>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220" w:type="dxa"/>
            <w:vAlign w:val="bottom"/>
            <w:tcBorders>
              <w:bottom w:val="single" w:sz="8" w:color="CFF0FC"/>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200" w:type="dxa"/>
            <w:vAlign w:val="bottom"/>
            <w:tcBorders>
              <w:bottom w:val="single" w:sz="8" w:color="CFF0FC"/>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220" w:type="dxa"/>
            <w:vAlign w:val="bottom"/>
            <w:tcBorders>
              <w:bottom w:val="single" w:sz="8" w:color="CFF0FC"/>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220" w:type="dxa"/>
            <w:vAlign w:val="bottom"/>
            <w:tcBorders>
              <w:bottom w:val="single" w:sz="8" w:color="CFF0FC"/>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220" w:type="dxa"/>
            <w:vAlign w:val="bottom"/>
            <w:tcBorders>
              <w:bottom w:val="single" w:sz="8" w:color="CFF0FC"/>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00" w:type="dxa"/>
            <w:vAlign w:val="bottom"/>
            <w:tcBorders>
              <w:bottom w:val="single" w:sz="8" w:color="CFF0FC"/>
            </w:tcBorders>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27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color w:val="auto"/>
              </w:rPr>
              <w:t>Total comprehensive loss</w:t>
            </w:r>
          </w:p>
        </w:tc>
        <w:tc>
          <w:tcPr>
            <w:tcW w:w="1120" w:type="dxa"/>
            <w:vAlign w:val="bottom"/>
            <w:tcBorders>
              <w:bottom w:val="single" w:sz="8" w:color="CFF0FC"/>
            </w:tcBorders>
            <w:shd w:val="clear" w:color="auto" w:fill="CFF0FC"/>
          </w:tcPr>
          <w:p>
            <w:pPr>
              <w:spacing w:after="0"/>
              <w:rPr>
                <w:sz w:val="17"/>
                <w:szCs w:val="17"/>
                <w:color w:val="auto"/>
              </w:rPr>
            </w:pPr>
          </w:p>
        </w:tc>
        <w:tc>
          <w:tcPr>
            <w:tcW w:w="1240" w:type="dxa"/>
            <w:vAlign w:val="bottom"/>
            <w:tcBorders>
              <w:bottom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(5,745,424)</w:t>
            </w:r>
          </w:p>
        </w:tc>
        <w:tc>
          <w:tcPr>
            <w:tcW w:w="1160" w:type="dxa"/>
            <w:vAlign w:val="bottom"/>
            <w:tcBorders>
              <w:bottom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(5,745,424)</w:t>
            </w:r>
          </w:p>
        </w:tc>
        <w:tc>
          <w:tcPr>
            <w:tcW w:w="0" w:type="dxa"/>
            <w:vAlign w:val="bottom"/>
          </w:tcPr>
          <w:p>
            <w:pPr>
              <w:spacing w:after="0"/>
              <w:rPr>
                <w:sz w:val="1"/>
                <w:szCs w:val="1"/>
                <w:color w:val="auto"/>
              </w:rPr>
            </w:pPr>
          </w:p>
        </w:tc>
      </w:tr>
      <w:tr>
        <w:trPr>
          <w:trHeight w:val="217"/>
        </w:trPr>
        <w:tc>
          <w:tcPr>
            <w:tcW w:w="2780" w:type="dxa"/>
            <w:vAlign w:val="bottom"/>
          </w:tcPr>
          <w:p>
            <w:pPr>
              <w:spacing w:after="0"/>
              <w:rPr>
                <w:sz w:val="20"/>
                <w:szCs w:val="20"/>
                <w:color w:val="auto"/>
              </w:rPr>
            </w:pPr>
            <w:r>
              <w:rPr>
                <w:rFonts w:ascii="Arial" w:cs="Arial" w:eastAsia="Arial" w:hAnsi="Arial"/>
                <w:sz w:val="14"/>
                <w:szCs w:val="14"/>
                <w:color w:val="auto"/>
              </w:rPr>
              <w:t>Currency translation reserve</w:t>
            </w:r>
          </w:p>
        </w:tc>
        <w:tc>
          <w:tcPr>
            <w:tcW w:w="1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4"/>
                <w:szCs w:val="14"/>
                <w:color w:val="auto"/>
              </w:rPr>
              <w:t>(1,987)</w:t>
            </w: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4"/>
                <w:szCs w:val="14"/>
                <w:color w:val="auto"/>
              </w:rPr>
              <w:t>(1,987)</w:t>
            </w:r>
          </w:p>
        </w:tc>
        <w:tc>
          <w:tcPr>
            <w:tcW w:w="0" w:type="dxa"/>
            <w:vAlign w:val="bottom"/>
          </w:tcPr>
          <w:p>
            <w:pPr>
              <w:spacing w:after="0"/>
              <w:rPr>
                <w:sz w:val="1"/>
                <w:szCs w:val="1"/>
                <w:color w:val="auto"/>
              </w:rPr>
            </w:pPr>
          </w:p>
        </w:tc>
      </w:tr>
      <w:tr>
        <w:trPr>
          <w:trHeight w:val="26"/>
        </w:trPr>
        <w:tc>
          <w:tcPr>
            <w:tcW w:w="27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7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color w:val="auto"/>
              </w:rPr>
              <w:t>Share-based payments</w:t>
            </w:r>
          </w:p>
        </w:tc>
        <w:tc>
          <w:tcPr>
            <w:tcW w:w="1120" w:type="dxa"/>
            <w:vAlign w:val="bottom"/>
            <w:tcBorders>
              <w:bottom w:val="single" w:sz="8" w:color="CFF0FC"/>
            </w:tcBorders>
            <w:shd w:val="clear" w:color="auto" w:fill="CFF0FC"/>
          </w:tcPr>
          <w:p>
            <w:pPr>
              <w:jc w:val="right"/>
              <w:ind w:right="328"/>
              <w:spacing w:after="0"/>
              <w:rPr>
                <w:sz w:val="20"/>
                <w:szCs w:val="20"/>
                <w:color w:val="auto"/>
              </w:rPr>
            </w:pPr>
            <w:r>
              <w:rPr>
                <w:rFonts w:ascii="Arial" w:cs="Arial" w:eastAsia="Arial" w:hAnsi="Arial"/>
                <w:sz w:val="14"/>
                <w:szCs w:val="14"/>
                <w:color w:val="auto"/>
              </w:rPr>
              <w:t>18</w:t>
            </w:r>
          </w:p>
        </w:tc>
        <w:tc>
          <w:tcPr>
            <w:tcW w:w="1240" w:type="dxa"/>
            <w:vAlign w:val="bottom"/>
            <w:tcBorders>
              <w:bottom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366,415</w:t>
            </w:r>
          </w:p>
        </w:tc>
        <w:tc>
          <w:tcPr>
            <w:tcW w:w="220" w:type="dxa"/>
            <w:vAlign w:val="bottom"/>
            <w:tcBorders>
              <w:bottom w:val="single" w:sz="8" w:color="CFF0FC"/>
            </w:tcBorders>
            <w:shd w:val="clear" w:color="auto" w:fill="CFF0FC"/>
          </w:tcPr>
          <w:p>
            <w:pPr>
              <w:spacing w:after="0"/>
              <w:rPr>
                <w:sz w:val="19"/>
                <w:szCs w:val="19"/>
                <w:color w:val="auto"/>
              </w:rPr>
            </w:pPr>
          </w:p>
        </w:tc>
        <w:tc>
          <w:tcPr>
            <w:tcW w:w="10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240" w:type="dxa"/>
            <w:vAlign w:val="bottom"/>
            <w:tcBorders>
              <w:bottom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366,415</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80" w:type="dxa"/>
            <w:vAlign w:val="bottom"/>
            <w:vMerge w:val="restart"/>
          </w:tcPr>
          <w:p>
            <w:pPr>
              <w:spacing w:after="0"/>
              <w:rPr>
                <w:sz w:val="20"/>
                <w:szCs w:val="20"/>
                <w:color w:val="auto"/>
              </w:rPr>
            </w:pPr>
            <w:r>
              <w:rPr>
                <w:rFonts w:ascii="Arial" w:cs="Arial" w:eastAsia="Arial" w:hAnsi="Arial"/>
                <w:sz w:val="14"/>
                <w:szCs w:val="14"/>
                <w:b w:val="1"/>
                <w:bCs w:val="1"/>
                <w:color w:val="auto"/>
              </w:rPr>
              <w:t>Balance at June 30, 2020</w:t>
            </w:r>
          </w:p>
        </w:tc>
        <w:tc>
          <w:tcPr>
            <w:tcW w:w="11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780" w:type="dxa"/>
            <w:vAlign w:val="bottom"/>
            <w:vMerge w:val="continue"/>
          </w:tcPr>
          <w:p>
            <w:pPr>
              <w:spacing w:after="0"/>
              <w:rPr>
                <w:sz w:val="18"/>
                <w:szCs w:val="18"/>
                <w:color w:val="auto"/>
              </w:rPr>
            </w:pPr>
          </w:p>
        </w:tc>
        <w:tc>
          <w:tcPr>
            <w:tcW w:w="1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130,962</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36,624,697</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1,052,271</w:t>
            </w:r>
          </w:p>
        </w:tc>
        <w:tc>
          <w:tcPr>
            <w:tcW w:w="2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4"/>
                <w:szCs w:val="14"/>
                <w:color w:val="auto"/>
              </w:rPr>
              <w:t>(1,987)</w:t>
            </w: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(27,496,029)</w:t>
            </w:r>
          </w:p>
        </w:tc>
        <w:tc>
          <w:tcPr>
            <w:tcW w:w="1060" w:type="dxa"/>
            <w:vAlign w:val="bottom"/>
          </w:tcPr>
          <w:p>
            <w:pPr>
              <w:jc w:val="right"/>
              <w:spacing w:after="0"/>
              <w:rPr>
                <w:sz w:val="20"/>
                <w:szCs w:val="20"/>
                <w:color w:val="auto"/>
              </w:rPr>
            </w:pPr>
            <w:r>
              <w:rPr>
                <w:rFonts w:ascii="Arial" w:cs="Arial" w:eastAsia="Arial" w:hAnsi="Arial"/>
                <w:sz w:val="14"/>
                <w:szCs w:val="14"/>
                <w:color w:val="auto"/>
              </w:rPr>
              <w:t>10,309,914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5"/>
        </w:trPr>
        <w:tc>
          <w:tcPr>
            <w:tcW w:w="2780" w:type="dxa"/>
            <w:vAlign w:val="bottom"/>
            <w:tcBorders>
              <w:bottom w:val="single" w:sz="8" w:color="CFF0FC"/>
            </w:tcBorders>
          </w:tcPr>
          <w:p>
            <w:pPr>
              <w:spacing w:after="0"/>
              <w:rPr>
                <w:sz w:val="5"/>
                <w:szCs w:val="5"/>
                <w:color w:val="auto"/>
              </w:rPr>
            </w:pPr>
          </w:p>
        </w:tc>
        <w:tc>
          <w:tcPr>
            <w:tcW w:w="1120" w:type="dxa"/>
            <w:vAlign w:val="bottom"/>
            <w:tcBorders>
              <w:bottom w:val="single" w:sz="8" w:color="CFF0FC"/>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220" w:type="dxa"/>
            <w:vAlign w:val="bottom"/>
            <w:tcBorders>
              <w:bottom w:val="single" w:sz="8" w:color="CFF0FC"/>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200" w:type="dxa"/>
            <w:vAlign w:val="bottom"/>
            <w:tcBorders>
              <w:bottom w:val="single" w:sz="8" w:color="CFF0FC"/>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220" w:type="dxa"/>
            <w:vAlign w:val="bottom"/>
            <w:tcBorders>
              <w:bottom w:val="single" w:sz="8" w:color="CFF0FC"/>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220" w:type="dxa"/>
            <w:vAlign w:val="bottom"/>
            <w:tcBorders>
              <w:bottom w:val="single" w:sz="8" w:color="CFF0FC"/>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220" w:type="dxa"/>
            <w:vAlign w:val="bottom"/>
            <w:tcBorders>
              <w:bottom w:val="single" w:sz="8" w:color="CFF0FC"/>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00" w:type="dxa"/>
            <w:vAlign w:val="bottom"/>
            <w:tcBorders>
              <w:bottom w:val="single" w:sz="8" w:color="CFF0FC"/>
            </w:tcBorders>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27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b w:val="1"/>
                <w:bCs w:val="1"/>
                <w:color w:val="auto"/>
              </w:rPr>
              <w:t>Balance at January 1, 2021</w:t>
            </w:r>
          </w:p>
        </w:tc>
        <w:tc>
          <w:tcPr>
            <w:tcW w:w="1120" w:type="dxa"/>
            <w:vAlign w:val="bottom"/>
            <w:tcBorders>
              <w:bottom w:val="single" w:sz="8" w:color="CFF0FC"/>
            </w:tcBorders>
            <w:shd w:val="clear" w:color="auto" w:fill="CFF0FC"/>
          </w:tcPr>
          <w:p>
            <w:pPr>
              <w:spacing w:after="0"/>
              <w:rPr>
                <w:sz w:val="17"/>
                <w:szCs w:val="17"/>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235,693</w:t>
            </w:r>
          </w:p>
        </w:tc>
        <w:tc>
          <w:tcPr>
            <w:tcW w:w="220" w:type="dxa"/>
            <w:vAlign w:val="bottom"/>
            <w:tcBorders>
              <w:bottom w:val="single" w:sz="8" w:color="CFF0FC"/>
            </w:tcBorders>
            <w:shd w:val="clear" w:color="auto" w:fill="CFF0FC"/>
          </w:tcPr>
          <w:p>
            <w:pPr>
              <w:spacing w:after="0"/>
              <w:rPr>
                <w:sz w:val="17"/>
                <w:szCs w:val="17"/>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138,034,580</w:t>
            </w:r>
          </w:p>
        </w:tc>
        <w:tc>
          <w:tcPr>
            <w:tcW w:w="200" w:type="dxa"/>
            <w:vAlign w:val="bottom"/>
            <w:tcBorders>
              <w:bottom w:val="single" w:sz="8" w:color="CFF0FC"/>
            </w:tcBorders>
            <w:shd w:val="clear" w:color="auto" w:fill="CFF0FC"/>
          </w:tcPr>
          <w:p>
            <w:pPr>
              <w:spacing w:after="0"/>
              <w:rPr>
                <w:sz w:val="17"/>
                <w:szCs w:val="17"/>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1,979,875</w:t>
            </w:r>
          </w:p>
        </w:tc>
        <w:tc>
          <w:tcPr>
            <w:tcW w:w="220" w:type="dxa"/>
            <w:vAlign w:val="bottom"/>
            <w:tcBorders>
              <w:bottom w:val="single" w:sz="8" w:color="CFF0FC"/>
            </w:tcBorders>
            <w:shd w:val="clear" w:color="auto" w:fill="CFF0FC"/>
          </w:tcPr>
          <w:p>
            <w:pPr>
              <w:spacing w:after="0"/>
              <w:rPr>
                <w:sz w:val="17"/>
                <w:szCs w:val="17"/>
                <w:color w:val="auto"/>
              </w:rPr>
            </w:pPr>
          </w:p>
        </w:tc>
        <w:tc>
          <w:tcPr>
            <w:tcW w:w="124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(4,365)</w:t>
            </w:r>
          </w:p>
        </w:tc>
        <w:tc>
          <w:tcPr>
            <w:tcW w:w="124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(44,459,954)</w:t>
            </w:r>
          </w:p>
        </w:tc>
        <w:tc>
          <w:tcPr>
            <w:tcW w:w="10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95,785,829</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780" w:type="dxa"/>
            <w:vAlign w:val="bottom"/>
          </w:tcPr>
          <w:p>
            <w:pPr>
              <w:spacing w:after="0"/>
              <w:rPr>
                <w:sz w:val="20"/>
                <w:szCs w:val="20"/>
                <w:color w:val="auto"/>
              </w:rPr>
            </w:pPr>
            <w:r>
              <w:rPr>
                <w:rFonts w:ascii="Arial" w:cs="Arial" w:eastAsia="Arial" w:hAnsi="Arial"/>
                <w:sz w:val="14"/>
                <w:szCs w:val="14"/>
                <w:color w:val="auto"/>
              </w:rPr>
              <w:t>Total comprehensive loss</w:t>
            </w:r>
          </w:p>
        </w:tc>
        <w:tc>
          <w:tcPr>
            <w:tcW w:w="11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(6,042,877)</w:t>
            </w:r>
          </w:p>
        </w:tc>
        <w:tc>
          <w:tcPr>
            <w:tcW w:w="1160" w:type="dxa"/>
            <w:vAlign w:val="bottom"/>
            <w:gridSpan w:val="2"/>
          </w:tcPr>
          <w:p>
            <w:pPr>
              <w:jc w:val="right"/>
              <w:ind w:right="60"/>
              <w:spacing w:after="0"/>
              <w:rPr>
                <w:sz w:val="20"/>
                <w:szCs w:val="20"/>
                <w:color w:val="auto"/>
              </w:rPr>
            </w:pPr>
            <w:r>
              <w:rPr>
                <w:rFonts w:ascii="Arial" w:cs="Arial" w:eastAsia="Arial" w:hAnsi="Arial"/>
                <w:sz w:val="14"/>
                <w:szCs w:val="14"/>
                <w:color w:val="auto"/>
              </w:rPr>
              <w:t>(6,042,877)</w:t>
            </w:r>
          </w:p>
        </w:tc>
        <w:tc>
          <w:tcPr>
            <w:tcW w:w="0" w:type="dxa"/>
            <w:vAlign w:val="bottom"/>
          </w:tcPr>
          <w:p>
            <w:pPr>
              <w:spacing w:after="0"/>
              <w:rPr>
                <w:sz w:val="1"/>
                <w:szCs w:val="1"/>
                <w:color w:val="auto"/>
              </w:rPr>
            </w:pPr>
          </w:p>
        </w:tc>
      </w:tr>
      <w:tr>
        <w:trPr>
          <w:trHeight w:val="26"/>
        </w:trPr>
        <w:tc>
          <w:tcPr>
            <w:tcW w:w="27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7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color w:val="auto"/>
              </w:rPr>
              <w:t>Increase in par value</w:t>
            </w:r>
          </w:p>
        </w:tc>
        <w:tc>
          <w:tcPr>
            <w:tcW w:w="1120" w:type="dxa"/>
            <w:vAlign w:val="bottom"/>
            <w:tcBorders>
              <w:bottom w:val="single" w:sz="8" w:color="CFF0FC"/>
            </w:tcBorders>
            <w:shd w:val="clear" w:color="auto" w:fill="CFF0FC"/>
          </w:tcPr>
          <w:p>
            <w:pPr>
              <w:jc w:val="right"/>
              <w:ind w:right="388"/>
              <w:spacing w:after="0"/>
              <w:rPr>
                <w:sz w:val="20"/>
                <w:szCs w:val="20"/>
                <w:color w:val="auto"/>
              </w:rPr>
            </w:pPr>
            <w:r>
              <w:rPr>
                <w:rFonts w:ascii="Arial" w:cs="Arial" w:eastAsia="Arial" w:hAnsi="Arial"/>
                <w:sz w:val="14"/>
                <w:szCs w:val="14"/>
                <w:color w:val="auto"/>
              </w:rPr>
              <w:t>13</w:t>
            </w:r>
          </w:p>
        </w:tc>
        <w:tc>
          <w:tcPr>
            <w:tcW w:w="10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2,592,621</w:t>
            </w:r>
          </w:p>
        </w:tc>
        <w:tc>
          <w:tcPr>
            <w:tcW w:w="220" w:type="dxa"/>
            <w:vAlign w:val="bottom"/>
            <w:tcBorders>
              <w:bottom w:val="single" w:sz="8" w:color="CFF0FC"/>
            </w:tcBorders>
            <w:shd w:val="clear" w:color="auto" w:fill="CFF0FC"/>
          </w:tcPr>
          <w:p>
            <w:pPr>
              <w:spacing w:after="0"/>
              <w:rPr>
                <w:sz w:val="19"/>
                <w:szCs w:val="19"/>
                <w:color w:val="auto"/>
              </w:rPr>
            </w:pPr>
          </w:p>
        </w:tc>
        <w:tc>
          <w:tcPr>
            <w:tcW w:w="122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(2,592,621)</w:t>
            </w:r>
          </w:p>
        </w:tc>
        <w:tc>
          <w:tcPr>
            <w:tcW w:w="1240" w:type="dxa"/>
            <w:vAlign w:val="bottom"/>
            <w:tcBorders>
              <w:bottom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7"/>
        </w:trPr>
        <w:tc>
          <w:tcPr>
            <w:tcW w:w="2780" w:type="dxa"/>
            <w:vAlign w:val="bottom"/>
          </w:tcPr>
          <w:p>
            <w:pPr>
              <w:spacing w:after="0"/>
              <w:rPr>
                <w:sz w:val="20"/>
                <w:szCs w:val="20"/>
                <w:color w:val="auto"/>
              </w:rPr>
            </w:pPr>
            <w:r>
              <w:rPr>
                <w:rFonts w:ascii="Arial" w:cs="Arial" w:eastAsia="Arial" w:hAnsi="Arial"/>
                <w:sz w:val="14"/>
                <w:szCs w:val="14"/>
                <w:color w:val="auto"/>
              </w:rPr>
              <w:t>Issue of share capital</w:t>
            </w:r>
          </w:p>
        </w:tc>
        <w:tc>
          <w:tcPr>
            <w:tcW w:w="1120" w:type="dxa"/>
            <w:vAlign w:val="bottom"/>
          </w:tcPr>
          <w:p>
            <w:pPr>
              <w:jc w:val="right"/>
              <w:ind w:right="328"/>
              <w:spacing w:after="0"/>
              <w:rPr>
                <w:sz w:val="20"/>
                <w:szCs w:val="20"/>
                <w:color w:val="auto"/>
              </w:rPr>
            </w:pPr>
            <w:r>
              <w:rPr>
                <w:rFonts w:ascii="Arial" w:cs="Arial" w:eastAsia="Arial" w:hAnsi="Arial"/>
                <w:sz w:val="14"/>
                <w:szCs w:val="14"/>
                <w:color w:val="auto"/>
              </w:rPr>
              <w:t>13</w:t>
            </w:r>
          </w:p>
        </w:tc>
        <w:tc>
          <w:tcPr>
            <w:tcW w:w="1020" w:type="dxa"/>
            <w:vAlign w:val="bottom"/>
          </w:tcPr>
          <w:p>
            <w:pPr>
              <w:jc w:val="right"/>
              <w:spacing w:after="0"/>
              <w:rPr>
                <w:sz w:val="20"/>
                <w:szCs w:val="20"/>
                <w:color w:val="auto"/>
              </w:rPr>
            </w:pPr>
            <w:r>
              <w:rPr>
                <w:rFonts w:ascii="Arial" w:cs="Arial" w:eastAsia="Arial" w:hAnsi="Arial"/>
                <w:sz w:val="14"/>
                <w:szCs w:val="14"/>
                <w:color w:val="auto"/>
              </w:rPr>
              <w:t>1,141,329</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156,014,570</w:t>
            </w:r>
          </w:p>
        </w:tc>
        <w:tc>
          <w:tcPr>
            <w:tcW w:w="20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157,155,899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27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7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color w:val="auto"/>
              </w:rPr>
              <w:t>Transaction costs on issue of shares</w:t>
            </w:r>
          </w:p>
        </w:tc>
        <w:tc>
          <w:tcPr>
            <w:tcW w:w="1120" w:type="dxa"/>
            <w:vAlign w:val="bottom"/>
            <w:tcBorders>
              <w:bottom w:val="single" w:sz="8" w:color="CFF0FC"/>
            </w:tcBorders>
            <w:shd w:val="clear" w:color="auto" w:fill="CFF0FC"/>
          </w:tcPr>
          <w:p>
            <w:pPr>
              <w:spacing w:after="0"/>
              <w:rPr>
                <w:sz w:val="19"/>
                <w:szCs w:val="19"/>
                <w:color w:val="auto"/>
              </w:rPr>
            </w:pPr>
          </w:p>
        </w:tc>
        <w:tc>
          <w:tcPr>
            <w:tcW w:w="1240" w:type="dxa"/>
            <w:vAlign w:val="bottom"/>
            <w:tcBorders>
              <w:bottom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(13,154,360)</w:t>
            </w:r>
          </w:p>
        </w:tc>
        <w:tc>
          <w:tcPr>
            <w:tcW w:w="1240" w:type="dxa"/>
            <w:vAlign w:val="bottom"/>
            <w:tcBorders>
              <w:bottom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(13,154,360)</w:t>
            </w:r>
          </w:p>
        </w:tc>
        <w:tc>
          <w:tcPr>
            <w:tcW w:w="0" w:type="dxa"/>
            <w:vAlign w:val="bottom"/>
          </w:tcPr>
          <w:p>
            <w:pPr>
              <w:spacing w:after="0"/>
              <w:rPr>
                <w:sz w:val="1"/>
                <w:szCs w:val="1"/>
                <w:color w:val="auto"/>
              </w:rPr>
            </w:pPr>
          </w:p>
        </w:tc>
      </w:tr>
      <w:tr>
        <w:trPr>
          <w:trHeight w:val="218"/>
        </w:trPr>
        <w:tc>
          <w:tcPr>
            <w:tcW w:w="2780" w:type="dxa"/>
            <w:vAlign w:val="bottom"/>
          </w:tcPr>
          <w:p>
            <w:pPr>
              <w:spacing w:after="0"/>
              <w:rPr>
                <w:sz w:val="20"/>
                <w:szCs w:val="20"/>
                <w:color w:val="auto"/>
              </w:rPr>
            </w:pPr>
            <w:r>
              <w:rPr>
                <w:rFonts w:ascii="Arial" w:cs="Arial" w:eastAsia="Arial" w:hAnsi="Arial"/>
                <w:sz w:val="14"/>
                <w:szCs w:val="14"/>
                <w:color w:val="auto"/>
              </w:rPr>
              <w:t>Currency translation reserve</w:t>
            </w:r>
          </w:p>
        </w:tc>
        <w:tc>
          <w:tcPr>
            <w:tcW w:w="11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1,249</w:t>
            </w:r>
          </w:p>
        </w:tc>
        <w:tc>
          <w:tcPr>
            <w:tcW w:w="2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1,249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27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7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color w:val="auto"/>
              </w:rPr>
              <w:t>Shares issued upon exercise of RSUs</w:t>
            </w:r>
          </w:p>
        </w:tc>
        <w:tc>
          <w:tcPr>
            <w:tcW w:w="1120" w:type="dxa"/>
            <w:vAlign w:val="bottom"/>
            <w:tcBorders>
              <w:bottom w:val="single" w:sz="8" w:color="CFF0FC"/>
            </w:tcBorders>
            <w:shd w:val="clear" w:color="auto" w:fill="CFF0FC"/>
          </w:tcPr>
          <w:p>
            <w:pPr>
              <w:jc w:val="right"/>
              <w:ind w:right="388"/>
              <w:spacing w:after="0"/>
              <w:rPr>
                <w:sz w:val="20"/>
                <w:szCs w:val="20"/>
                <w:color w:val="auto"/>
              </w:rPr>
            </w:pPr>
            <w:r>
              <w:rPr>
                <w:rFonts w:ascii="Arial" w:cs="Arial" w:eastAsia="Arial" w:hAnsi="Arial"/>
                <w:sz w:val="14"/>
                <w:szCs w:val="14"/>
                <w:color w:val="auto"/>
              </w:rPr>
              <w:t>18</w:t>
            </w:r>
          </w:p>
        </w:tc>
        <w:tc>
          <w:tcPr>
            <w:tcW w:w="10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1,709</w:t>
            </w:r>
          </w:p>
        </w:tc>
        <w:tc>
          <w:tcPr>
            <w:tcW w:w="220" w:type="dxa"/>
            <w:vAlign w:val="bottom"/>
            <w:tcBorders>
              <w:bottom w:val="single" w:sz="8" w:color="CFF0FC"/>
            </w:tcBorders>
            <w:shd w:val="clear" w:color="auto" w:fill="CFF0FC"/>
          </w:tcPr>
          <w:p>
            <w:pPr>
              <w:spacing w:after="0"/>
              <w:rPr>
                <w:sz w:val="19"/>
                <w:szCs w:val="19"/>
                <w:color w:val="auto"/>
              </w:rPr>
            </w:pPr>
          </w:p>
        </w:tc>
        <w:tc>
          <w:tcPr>
            <w:tcW w:w="10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124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(35,161)</w:t>
            </w:r>
          </w:p>
        </w:tc>
        <w:tc>
          <w:tcPr>
            <w:tcW w:w="10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24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(231,803)</w:t>
            </w:r>
          </w:p>
        </w:tc>
        <w:tc>
          <w:tcPr>
            <w:tcW w:w="1160" w:type="dxa"/>
            <w:vAlign w:val="bottom"/>
            <w:tcBorders>
              <w:bottom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(265,255)</w:t>
            </w:r>
          </w:p>
        </w:tc>
        <w:tc>
          <w:tcPr>
            <w:tcW w:w="0" w:type="dxa"/>
            <w:vAlign w:val="bottom"/>
          </w:tcPr>
          <w:p>
            <w:pPr>
              <w:spacing w:after="0"/>
              <w:rPr>
                <w:sz w:val="1"/>
                <w:szCs w:val="1"/>
                <w:color w:val="auto"/>
              </w:rPr>
            </w:pPr>
          </w:p>
        </w:tc>
      </w:tr>
      <w:tr>
        <w:trPr>
          <w:trHeight w:val="218"/>
        </w:trPr>
        <w:tc>
          <w:tcPr>
            <w:tcW w:w="2780" w:type="dxa"/>
            <w:vAlign w:val="bottom"/>
          </w:tcPr>
          <w:p>
            <w:pPr>
              <w:spacing w:after="0"/>
              <w:rPr>
                <w:sz w:val="20"/>
                <w:szCs w:val="20"/>
                <w:color w:val="auto"/>
              </w:rPr>
            </w:pPr>
            <w:r>
              <w:rPr>
                <w:rFonts w:ascii="Arial" w:cs="Arial" w:eastAsia="Arial" w:hAnsi="Arial"/>
                <w:sz w:val="14"/>
                <w:szCs w:val="14"/>
                <w:color w:val="auto"/>
              </w:rPr>
              <w:t>Share-based payments</w:t>
            </w:r>
          </w:p>
        </w:tc>
        <w:tc>
          <w:tcPr>
            <w:tcW w:w="1120" w:type="dxa"/>
            <w:vAlign w:val="bottom"/>
          </w:tcPr>
          <w:p>
            <w:pPr>
              <w:jc w:val="right"/>
              <w:ind w:right="328"/>
              <w:spacing w:after="0"/>
              <w:rPr>
                <w:sz w:val="20"/>
                <w:szCs w:val="20"/>
                <w:color w:val="auto"/>
              </w:rPr>
            </w:pPr>
            <w:r>
              <w:rPr>
                <w:rFonts w:ascii="Arial" w:cs="Arial" w:eastAsia="Arial" w:hAnsi="Arial"/>
                <w:sz w:val="14"/>
                <w:szCs w:val="14"/>
                <w:color w:val="auto"/>
              </w:rPr>
              <w:t>18</w:t>
            </w:r>
          </w:p>
        </w:tc>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2,096,610</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2,096,610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2780" w:type="dxa"/>
            <w:vAlign w:val="bottom"/>
            <w:tcBorders>
              <w:bottom w:val="single" w:sz="8" w:color="CFF0FC"/>
            </w:tcBorders>
          </w:tcPr>
          <w:p>
            <w:pPr>
              <w:spacing w:after="0"/>
              <w:rPr>
                <w:sz w:val="2"/>
                <w:szCs w:val="2"/>
                <w:color w:val="auto"/>
              </w:rPr>
            </w:pPr>
          </w:p>
        </w:tc>
        <w:tc>
          <w:tcPr>
            <w:tcW w:w="1120" w:type="dxa"/>
            <w:vAlign w:val="bottom"/>
            <w:tcBorders>
              <w:bottom w:val="single" w:sz="8" w:color="CFF0FC"/>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CFF0FC"/>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Borders>
              <w:bottom w:val="single" w:sz="8" w:color="CFF0FC"/>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CFF0FC"/>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CFF0FC"/>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CFF0FC"/>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27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b w:val="1"/>
                <w:bCs w:val="1"/>
                <w:color w:val="auto"/>
              </w:rPr>
              <w:t>Balance at March 31, 2021</w:t>
            </w:r>
          </w:p>
        </w:tc>
        <w:tc>
          <w:tcPr>
            <w:tcW w:w="1120" w:type="dxa"/>
            <w:vAlign w:val="bottom"/>
            <w:tcBorders>
              <w:bottom w:val="single" w:sz="8" w:color="CFF0FC"/>
            </w:tcBorders>
            <w:shd w:val="clear" w:color="auto" w:fill="CFF0FC"/>
          </w:tcPr>
          <w:p>
            <w:pPr>
              <w:spacing w:after="0"/>
              <w:rPr>
                <w:sz w:val="20"/>
                <w:szCs w:val="20"/>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3,971,352</w:t>
            </w:r>
          </w:p>
        </w:tc>
        <w:tc>
          <w:tcPr>
            <w:tcW w:w="220" w:type="dxa"/>
            <w:vAlign w:val="bottom"/>
            <w:tcBorders>
              <w:bottom w:val="single" w:sz="8" w:color="CFF0FC"/>
            </w:tcBorders>
            <w:shd w:val="clear" w:color="auto" w:fill="CFF0FC"/>
          </w:tcPr>
          <w:p>
            <w:pPr>
              <w:spacing w:after="0"/>
              <w:rPr>
                <w:sz w:val="20"/>
                <w:szCs w:val="20"/>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278,302,169</w:t>
            </w:r>
          </w:p>
        </w:tc>
        <w:tc>
          <w:tcPr>
            <w:tcW w:w="200" w:type="dxa"/>
            <w:vAlign w:val="bottom"/>
            <w:tcBorders>
              <w:bottom w:val="single" w:sz="8" w:color="CFF0FC"/>
            </w:tcBorders>
            <w:shd w:val="clear" w:color="auto" w:fill="CFF0FC"/>
          </w:tcPr>
          <w:p>
            <w:pPr>
              <w:spacing w:after="0"/>
              <w:rPr>
                <w:sz w:val="20"/>
                <w:szCs w:val="20"/>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4,041,324</w:t>
            </w:r>
          </w:p>
        </w:tc>
        <w:tc>
          <w:tcPr>
            <w:tcW w:w="220" w:type="dxa"/>
            <w:vAlign w:val="bottom"/>
            <w:tcBorders>
              <w:bottom w:val="single" w:sz="8" w:color="CFF0FC"/>
            </w:tcBorders>
            <w:shd w:val="clear" w:color="auto" w:fill="CFF0FC"/>
          </w:tcPr>
          <w:p>
            <w:pPr>
              <w:spacing w:after="0"/>
              <w:rPr>
                <w:sz w:val="20"/>
                <w:szCs w:val="20"/>
                <w:color w:val="auto"/>
              </w:rPr>
            </w:pPr>
          </w:p>
        </w:tc>
        <w:tc>
          <w:tcPr>
            <w:tcW w:w="124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(3,116)</w:t>
            </w:r>
          </w:p>
        </w:tc>
        <w:tc>
          <w:tcPr>
            <w:tcW w:w="124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(50,734,634)</w:t>
            </w:r>
          </w:p>
        </w:tc>
        <w:tc>
          <w:tcPr>
            <w:tcW w:w="10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235,577,095</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780" w:type="dxa"/>
            <w:vAlign w:val="bottom"/>
            <w:tcBorders>
              <w:top w:val="single" w:sz="8" w:color="CFF0FC"/>
            </w:tcBorders>
          </w:tcPr>
          <w:p>
            <w:pPr>
              <w:spacing w:after="0" w:line="20" w:lineRule="exact"/>
              <w:rPr>
                <w:sz w:val="1"/>
                <w:szCs w:val="1"/>
                <w:color w:val="auto"/>
              </w:rPr>
            </w:pPr>
          </w:p>
        </w:tc>
        <w:tc>
          <w:tcPr>
            <w:tcW w:w="112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780" w:type="dxa"/>
            <w:vAlign w:val="bottom"/>
          </w:tcPr>
          <w:p>
            <w:pPr>
              <w:spacing w:after="0"/>
              <w:rPr>
                <w:sz w:val="20"/>
                <w:szCs w:val="20"/>
                <w:color w:val="auto"/>
              </w:rPr>
            </w:pPr>
            <w:r>
              <w:rPr>
                <w:rFonts w:ascii="Arial" w:cs="Arial" w:eastAsia="Arial" w:hAnsi="Arial"/>
                <w:sz w:val="14"/>
                <w:szCs w:val="14"/>
                <w:color w:val="auto"/>
              </w:rPr>
              <w:t>Total comprehensive loss</w:t>
            </w:r>
          </w:p>
        </w:tc>
        <w:tc>
          <w:tcPr>
            <w:tcW w:w="1120" w:type="dxa"/>
            <w:vAlign w:val="bottom"/>
          </w:tcPr>
          <w:p>
            <w:pPr>
              <w:spacing w:after="0"/>
              <w:rPr>
                <w:sz w:val="17"/>
                <w:szCs w:val="17"/>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(15,202,773)</w:t>
            </w:r>
          </w:p>
        </w:tc>
        <w:tc>
          <w:tcPr>
            <w:tcW w:w="1160" w:type="dxa"/>
            <w:vAlign w:val="bottom"/>
            <w:gridSpan w:val="2"/>
          </w:tcPr>
          <w:p>
            <w:pPr>
              <w:jc w:val="right"/>
              <w:ind w:right="60"/>
              <w:spacing w:after="0"/>
              <w:rPr>
                <w:sz w:val="20"/>
                <w:szCs w:val="20"/>
                <w:color w:val="auto"/>
              </w:rPr>
            </w:pPr>
            <w:r>
              <w:rPr>
                <w:rFonts w:ascii="Arial" w:cs="Arial" w:eastAsia="Arial" w:hAnsi="Arial"/>
                <w:sz w:val="14"/>
                <w:szCs w:val="14"/>
                <w:color w:val="auto"/>
              </w:rPr>
              <w:t>(15,202,773)</w:t>
            </w:r>
          </w:p>
        </w:tc>
        <w:tc>
          <w:tcPr>
            <w:tcW w:w="0" w:type="dxa"/>
            <w:vAlign w:val="bottom"/>
          </w:tcPr>
          <w:p>
            <w:pPr>
              <w:spacing w:after="0"/>
              <w:rPr>
                <w:sz w:val="1"/>
                <w:szCs w:val="1"/>
                <w:color w:val="auto"/>
              </w:rPr>
            </w:pPr>
          </w:p>
        </w:tc>
      </w:tr>
      <w:tr>
        <w:trPr>
          <w:trHeight w:val="25"/>
        </w:trPr>
        <w:tc>
          <w:tcPr>
            <w:tcW w:w="27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7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color w:val="auto"/>
              </w:rPr>
              <w:t>Currency translation reserve</w:t>
            </w:r>
          </w:p>
        </w:tc>
        <w:tc>
          <w:tcPr>
            <w:tcW w:w="1120" w:type="dxa"/>
            <w:vAlign w:val="bottom"/>
            <w:tcBorders>
              <w:bottom w:val="single" w:sz="8" w:color="CFF0FC"/>
            </w:tcBorders>
            <w:shd w:val="clear" w:color="auto" w:fill="CFF0FC"/>
          </w:tcPr>
          <w:p>
            <w:pPr>
              <w:spacing w:after="0"/>
              <w:rPr>
                <w:sz w:val="19"/>
                <w:szCs w:val="19"/>
                <w:color w:val="auto"/>
              </w:rPr>
            </w:pPr>
          </w:p>
        </w:tc>
        <w:tc>
          <w:tcPr>
            <w:tcW w:w="1240" w:type="dxa"/>
            <w:vAlign w:val="bottom"/>
            <w:tcBorders>
              <w:bottom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426</w:t>
            </w:r>
          </w:p>
        </w:tc>
        <w:tc>
          <w:tcPr>
            <w:tcW w:w="220" w:type="dxa"/>
            <w:vAlign w:val="bottom"/>
            <w:tcBorders>
              <w:bottom w:val="single" w:sz="8" w:color="CFF0FC"/>
            </w:tcBorders>
            <w:shd w:val="clear" w:color="auto" w:fill="CFF0FC"/>
          </w:tcPr>
          <w:p>
            <w:pPr>
              <w:spacing w:after="0"/>
              <w:rPr>
                <w:sz w:val="19"/>
                <w:szCs w:val="19"/>
                <w:color w:val="auto"/>
              </w:rPr>
            </w:pPr>
          </w:p>
        </w:tc>
        <w:tc>
          <w:tcPr>
            <w:tcW w:w="1240" w:type="dxa"/>
            <w:vAlign w:val="bottom"/>
            <w:tcBorders>
              <w:bottom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426</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780" w:type="dxa"/>
            <w:vAlign w:val="bottom"/>
          </w:tcPr>
          <w:p>
            <w:pPr>
              <w:spacing w:after="0"/>
              <w:rPr>
                <w:sz w:val="20"/>
                <w:szCs w:val="20"/>
                <w:color w:val="auto"/>
              </w:rPr>
            </w:pPr>
            <w:r>
              <w:rPr>
                <w:rFonts w:ascii="Arial" w:cs="Arial" w:eastAsia="Arial" w:hAnsi="Arial"/>
                <w:sz w:val="14"/>
                <w:szCs w:val="14"/>
                <w:color w:val="auto"/>
              </w:rPr>
              <w:t>Shares issued upon exercise of options</w:t>
            </w:r>
          </w:p>
        </w:tc>
        <w:tc>
          <w:tcPr>
            <w:tcW w:w="1120" w:type="dxa"/>
            <w:vAlign w:val="bottom"/>
          </w:tcPr>
          <w:p>
            <w:pPr>
              <w:jc w:val="right"/>
              <w:ind w:right="388"/>
              <w:spacing w:after="0"/>
              <w:rPr>
                <w:sz w:val="20"/>
                <w:szCs w:val="20"/>
                <w:color w:val="auto"/>
              </w:rPr>
            </w:pPr>
            <w:r>
              <w:rPr>
                <w:rFonts w:ascii="Arial" w:cs="Arial" w:eastAsia="Arial" w:hAnsi="Arial"/>
                <w:sz w:val="14"/>
                <w:szCs w:val="14"/>
                <w:color w:val="auto"/>
              </w:rPr>
              <w:t>18</w:t>
            </w:r>
          </w:p>
        </w:tc>
        <w:tc>
          <w:tcPr>
            <w:tcW w:w="1020" w:type="dxa"/>
            <w:vAlign w:val="bottom"/>
          </w:tcPr>
          <w:p>
            <w:pPr>
              <w:jc w:val="right"/>
              <w:spacing w:after="0"/>
              <w:rPr>
                <w:sz w:val="20"/>
                <w:szCs w:val="20"/>
                <w:color w:val="auto"/>
              </w:rPr>
            </w:pPr>
            <w:r>
              <w:rPr>
                <w:rFonts w:ascii="Arial" w:cs="Arial" w:eastAsia="Arial" w:hAnsi="Arial"/>
                <w:sz w:val="14"/>
                <w:szCs w:val="14"/>
                <w:color w:val="auto"/>
              </w:rPr>
              <w:t>4,080</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133,360</w:t>
            </w:r>
          </w:p>
        </w:tc>
        <w:tc>
          <w:tcPr>
            <w:tcW w:w="20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4"/>
                <w:szCs w:val="14"/>
                <w:color w:val="auto"/>
              </w:rPr>
              <w:t>(56,520)</w:t>
            </w:r>
          </w:p>
        </w:tc>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80,920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27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7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color w:val="auto"/>
              </w:rPr>
              <w:t>Share-based payments</w:t>
            </w:r>
          </w:p>
        </w:tc>
        <w:tc>
          <w:tcPr>
            <w:tcW w:w="1120" w:type="dxa"/>
            <w:vAlign w:val="bottom"/>
            <w:tcBorders>
              <w:bottom w:val="single" w:sz="8" w:color="CFF0FC"/>
            </w:tcBorders>
            <w:shd w:val="clear" w:color="auto" w:fill="CFF0FC"/>
          </w:tcPr>
          <w:p>
            <w:pPr>
              <w:jc w:val="right"/>
              <w:ind w:right="328"/>
              <w:spacing w:after="0"/>
              <w:rPr>
                <w:sz w:val="20"/>
                <w:szCs w:val="20"/>
                <w:color w:val="auto"/>
              </w:rPr>
            </w:pPr>
            <w:r>
              <w:rPr>
                <w:rFonts w:ascii="Arial" w:cs="Arial" w:eastAsia="Arial" w:hAnsi="Arial"/>
                <w:sz w:val="14"/>
                <w:szCs w:val="14"/>
                <w:color w:val="auto"/>
              </w:rPr>
              <w:t>18</w:t>
            </w:r>
          </w:p>
        </w:tc>
        <w:tc>
          <w:tcPr>
            <w:tcW w:w="1240" w:type="dxa"/>
            <w:vAlign w:val="bottom"/>
            <w:tcBorders>
              <w:bottom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1,772,738</w:t>
            </w:r>
          </w:p>
        </w:tc>
        <w:tc>
          <w:tcPr>
            <w:tcW w:w="220" w:type="dxa"/>
            <w:vAlign w:val="bottom"/>
            <w:tcBorders>
              <w:bottom w:val="single" w:sz="8" w:color="CFF0FC"/>
            </w:tcBorders>
            <w:shd w:val="clear" w:color="auto" w:fill="CFF0FC"/>
          </w:tcPr>
          <w:p>
            <w:pPr>
              <w:spacing w:after="0"/>
              <w:rPr>
                <w:sz w:val="19"/>
                <w:szCs w:val="19"/>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0</w:t>
            </w:r>
          </w:p>
        </w:tc>
        <w:tc>
          <w:tcPr>
            <w:tcW w:w="220" w:type="dxa"/>
            <w:vAlign w:val="bottom"/>
            <w:tcBorders>
              <w:bottom w:val="single" w:sz="8" w:color="CFF0FC"/>
            </w:tcBorders>
            <w:shd w:val="clear" w:color="auto" w:fill="CFF0FC"/>
          </w:tcPr>
          <w:p>
            <w:pPr>
              <w:spacing w:after="0"/>
              <w:rPr>
                <w:sz w:val="19"/>
                <w:szCs w:val="19"/>
                <w:color w:val="auto"/>
              </w:rPr>
            </w:pPr>
          </w:p>
        </w:tc>
        <w:tc>
          <w:tcPr>
            <w:tcW w:w="1240" w:type="dxa"/>
            <w:vAlign w:val="bottom"/>
            <w:tcBorders>
              <w:bottom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1,772,738</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80" w:type="dxa"/>
            <w:vAlign w:val="bottom"/>
            <w:vMerge w:val="restart"/>
          </w:tcPr>
          <w:p>
            <w:pPr>
              <w:spacing w:after="0"/>
              <w:rPr>
                <w:sz w:val="20"/>
                <w:szCs w:val="20"/>
                <w:color w:val="auto"/>
              </w:rPr>
            </w:pPr>
            <w:r>
              <w:rPr>
                <w:rFonts w:ascii="Arial" w:cs="Arial" w:eastAsia="Arial" w:hAnsi="Arial"/>
                <w:sz w:val="14"/>
                <w:szCs w:val="14"/>
                <w:b w:val="1"/>
                <w:bCs w:val="1"/>
                <w:color w:val="auto"/>
              </w:rPr>
              <w:t>Balance at June 30, 2021</w:t>
            </w:r>
          </w:p>
        </w:tc>
        <w:tc>
          <w:tcPr>
            <w:tcW w:w="11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780" w:type="dxa"/>
            <w:vAlign w:val="bottom"/>
            <w:vMerge w:val="continue"/>
          </w:tcPr>
          <w:p>
            <w:pPr>
              <w:spacing w:after="0"/>
              <w:rPr>
                <w:sz w:val="18"/>
                <w:szCs w:val="18"/>
                <w:color w:val="auto"/>
              </w:rPr>
            </w:pPr>
          </w:p>
        </w:tc>
        <w:tc>
          <w:tcPr>
            <w:tcW w:w="1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3,975,432</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278,435,529</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5,757,542</w:t>
            </w:r>
          </w:p>
        </w:tc>
        <w:tc>
          <w:tcPr>
            <w:tcW w:w="2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4"/>
                <w:szCs w:val="14"/>
                <w:color w:val="auto"/>
              </w:rPr>
              <w:t>(2,690)</w:t>
            </w: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(65,937,407)</w:t>
            </w:r>
          </w:p>
        </w:tc>
        <w:tc>
          <w:tcPr>
            <w:tcW w:w="1060" w:type="dxa"/>
            <w:vAlign w:val="bottom"/>
          </w:tcPr>
          <w:p>
            <w:pPr>
              <w:jc w:val="right"/>
              <w:spacing w:after="0"/>
              <w:rPr>
                <w:sz w:val="20"/>
                <w:szCs w:val="20"/>
                <w:color w:val="auto"/>
              </w:rPr>
            </w:pPr>
            <w:r>
              <w:rPr>
                <w:rFonts w:ascii="Arial" w:cs="Arial" w:eastAsia="Arial" w:hAnsi="Arial"/>
                <w:sz w:val="14"/>
                <w:szCs w:val="14"/>
                <w:color w:val="auto"/>
              </w:rPr>
              <w:t>222,228,406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27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unaudited condensed consolidated interim financial statements.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679" w:right="339" w:bottom="1440" w:gutter="0" w:footer="0" w:header="0"/>
        </w:sectPr>
      </w:pPr>
    </w:p>
    <w:bookmarkStart w:id="26" w:name="page27"/>
    <w:bookmarkEnd w:id="26"/>
    <w:p>
      <w:pPr>
        <w:spacing w:after="0"/>
        <w:rPr>
          <w:sz w:val="20"/>
          <w:szCs w:val="20"/>
          <w:color w:val="auto"/>
        </w:rPr>
      </w:pPr>
      <w:r>
        <w:rPr>
          <w:rFonts w:ascii="Arial" w:cs="Arial" w:eastAsia="Arial" w:hAnsi="Arial"/>
          <w:sz w:val="22"/>
          <w:szCs w:val="22"/>
          <w:b w:val="1"/>
          <w:bCs w:val="1"/>
          <w:color w:val="auto"/>
        </w:rPr>
        <w:t>Unaudited condensed consolidated statements of cash flows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For the six months ended June 30,</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3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2021</w:t>
            </w:r>
          </w:p>
        </w:tc>
        <w:tc>
          <w:tcPr>
            <w:tcW w:w="260" w:type="dxa"/>
            <w:vAlign w:val="bottom"/>
          </w:tcPr>
          <w:p>
            <w:pPr>
              <w:spacing w:after="0"/>
              <w:rPr>
                <w:sz w:val="20"/>
                <w:szCs w:val="20"/>
                <w:color w:val="auto"/>
              </w:rPr>
            </w:pPr>
          </w:p>
        </w:tc>
        <w:tc>
          <w:tcPr>
            <w:tcW w:w="14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6760" w:type="dxa"/>
            <w:vAlign w:val="bottom"/>
          </w:tcPr>
          <w:p>
            <w:pPr>
              <w:spacing w:after="0"/>
              <w:rPr>
                <w:sz w:val="20"/>
                <w:szCs w:val="20"/>
                <w:color w:val="auto"/>
              </w:rPr>
            </w:pPr>
          </w:p>
        </w:tc>
        <w:tc>
          <w:tcPr>
            <w:tcW w:w="1340" w:type="dxa"/>
            <w:vAlign w:val="bottom"/>
          </w:tcPr>
          <w:p>
            <w:pPr>
              <w:jc w:val="center"/>
              <w:ind w:right="30"/>
              <w:spacing w:after="0"/>
              <w:rPr>
                <w:sz w:val="20"/>
                <w:szCs w:val="20"/>
                <w:color w:val="auto"/>
              </w:rPr>
            </w:pPr>
            <w:r>
              <w:rPr>
                <w:rFonts w:ascii="Arial" w:cs="Arial" w:eastAsia="Arial" w:hAnsi="Arial"/>
                <w:sz w:val="18"/>
                <w:szCs w:val="18"/>
                <w:color w:val="auto"/>
                <w:w w:val="89"/>
              </w:rPr>
              <w:t>Notes</w:t>
            </w:r>
          </w:p>
        </w:tc>
        <w:tc>
          <w:tcPr>
            <w:tcW w:w="1640" w:type="dxa"/>
            <w:vAlign w:val="bottom"/>
            <w:gridSpan w:val="2"/>
          </w:tcPr>
          <w:p>
            <w:pPr>
              <w:jc w:val="center"/>
              <w:ind w:right="300"/>
              <w:spacing w:after="0"/>
              <w:rPr>
                <w:sz w:val="20"/>
                <w:szCs w:val="20"/>
                <w:color w:val="auto"/>
              </w:rPr>
            </w:pPr>
            <w:r>
              <w:rPr>
                <w:rFonts w:ascii="Arial" w:cs="Arial" w:eastAsia="Arial" w:hAnsi="Arial"/>
                <w:sz w:val="18"/>
                <w:szCs w:val="18"/>
                <w:color w:val="auto"/>
                <w:w w:val="99"/>
              </w:rPr>
              <w:t>€</w:t>
            </w:r>
          </w:p>
        </w:tc>
        <w:tc>
          <w:tcPr>
            <w:tcW w:w="150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3"/>
        </w:trPr>
        <w:tc>
          <w:tcPr>
            <w:tcW w:w="67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activities</w:t>
            </w:r>
          </w:p>
        </w:tc>
        <w:tc>
          <w:tcPr>
            <w:tcW w:w="134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60" w:type="dxa"/>
            <w:vAlign w:val="bottom"/>
          </w:tcPr>
          <w:p>
            <w:pPr>
              <w:spacing w:after="0"/>
              <w:rPr>
                <w:sz w:val="20"/>
                <w:szCs w:val="20"/>
                <w:color w:val="auto"/>
              </w:rPr>
            </w:pPr>
            <w:r>
              <w:rPr>
                <w:rFonts w:ascii="Arial" w:cs="Arial" w:eastAsia="Arial" w:hAnsi="Arial"/>
                <w:sz w:val="18"/>
                <w:szCs w:val="18"/>
                <w:color w:val="auto"/>
              </w:rPr>
              <w:t>Loss before tax</w:t>
            </w:r>
          </w:p>
        </w:tc>
        <w:tc>
          <w:tcPr>
            <w:tcW w:w="1340" w:type="dxa"/>
            <w:vAlign w:val="bottom"/>
          </w:tcPr>
          <w:p>
            <w:pPr>
              <w:spacing w:after="0"/>
              <w:rPr>
                <w:sz w:val="21"/>
                <w:szCs w:val="21"/>
                <w:color w:val="auto"/>
              </w:rPr>
            </w:pP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(21,224,095)</w:t>
            </w:r>
          </w:p>
        </w:tc>
        <w:tc>
          <w:tcPr>
            <w:tcW w:w="1500" w:type="dxa"/>
            <w:vAlign w:val="bottom"/>
            <w:gridSpan w:val="2"/>
          </w:tcPr>
          <w:p>
            <w:pPr>
              <w:jc w:val="right"/>
              <w:ind w:right="40"/>
              <w:spacing w:after="0"/>
              <w:rPr>
                <w:sz w:val="20"/>
                <w:szCs w:val="20"/>
                <w:color w:val="auto"/>
              </w:rPr>
            </w:pPr>
            <w:r>
              <w:rPr>
                <w:rFonts w:ascii="Arial" w:cs="Arial" w:eastAsia="Arial" w:hAnsi="Arial"/>
                <w:sz w:val="18"/>
                <w:szCs w:val="18"/>
                <w:color w:val="auto"/>
              </w:rPr>
              <w:t>(9,021,959)</w:t>
            </w:r>
          </w:p>
        </w:tc>
        <w:tc>
          <w:tcPr>
            <w:tcW w:w="0" w:type="dxa"/>
            <w:vAlign w:val="bottom"/>
          </w:tcPr>
          <w:p>
            <w:pPr>
              <w:spacing w:after="0"/>
              <w:rPr>
                <w:sz w:val="1"/>
                <w:szCs w:val="1"/>
                <w:color w:val="auto"/>
              </w:rPr>
            </w:pPr>
          </w:p>
        </w:tc>
      </w:tr>
      <w:tr>
        <w:trPr>
          <w:trHeight w:val="243"/>
        </w:trPr>
        <w:tc>
          <w:tcPr>
            <w:tcW w:w="676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Non-cash adjustments to reconcile loss before tax to net cash flows from operations:</w:t>
            </w:r>
          </w:p>
        </w:tc>
        <w:tc>
          <w:tcPr>
            <w:tcW w:w="134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60" w:type="dxa"/>
            <w:vAlign w:val="bottom"/>
          </w:tcPr>
          <w:p>
            <w:pPr>
              <w:spacing w:after="0"/>
              <w:rPr>
                <w:sz w:val="20"/>
                <w:szCs w:val="20"/>
                <w:color w:val="auto"/>
              </w:rPr>
            </w:pPr>
            <w:r>
              <w:rPr>
                <w:rFonts w:ascii="Arial" w:cs="Arial" w:eastAsia="Arial" w:hAnsi="Arial"/>
                <w:sz w:val="18"/>
                <w:szCs w:val="18"/>
                <w:color w:val="auto"/>
              </w:rPr>
              <w:t>Share-based payment expense</w:t>
            </w:r>
          </w:p>
        </w:tc>
        <w:tc>
          <w:tcPr>
            <w:tcW w:w="1340" w:type="dxa"/>
            <w:vAlign w:val="bottom"/>
          </w:tcPr>
          <w:p>
            <w:pPr>
              <w:jc w:val="center"/>
              <w:spacing w:after="0"/>
              <w:rPr>
                <w:sz w:val="20"/>
                <w:szCs w:val="20"/>
                <w:color w:val="auto"/>
              </w:rPr>
            </w:pPr>
            <w:r>
              <w:rPr>
                <w:rFonts w:ascii="Arial" w:cs="Arial" w:eastAsia="Arial" w:hAnsi="Arial"/>
                <w:sz w:val="18"/>
                <w:szCs w:val="18"/>
                <w:color w:val="auto"/>
                <w:w w:val="89"/>
              </w:rPr>
              <w:t>18</w:t>
            </w:r>
          </w:p>
        </w:tc>
        <w:tc>
          <w:tcPr>
            <w:tcW w:w="1380" w:type="dxa"/>
            <w:vAlign w:val="bottom"/>
          </w:tcPr>
          <w:p>
            <w:pPr>
              <w:jc w:val="right"/>
              <w:spacing w:after="0"/>
              <w:rPr>
                <w:sz w:val="20"/>
                <w:szCs w:val="20"/>
                <w:color w:val="auto"/>
              </w:rPr>
            </w:pPr>
            <w:r>
              <w:rPr>
                <w:rFonts w:ascii="Arial" w:cs="Arial" w:eastAsia="Arial" w:hAnsi="Arial"/>
                <w:sz w:val="18"/>
                <w:szCs w:val="18"/>
                <w:color w:val="auto"/>
              </w:rPr>
              <w:t>3,869,348</w:t>
            </w:r>
          </w:p>
        </w:tc>
        <w:tc>
          <w:tcPr>
            <w:tcW w:w="2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660,132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60" w:type="dxa"/>
            <w:vAlign w:val="bottom"/>
            <w:shd w:val="clear" w:color="auto" w:fill="CFF0FC"/>
          </w:tcPr>
          <w:p>
            <w:pPr>
              <w:spacing w:after="0"/>
              <w:rPr>
                <w:sz w:val="20"/>
                <w:szCs w:val="20"/>
                <w:color w:val="auto"/>
              </w:rPr>
            </w:pPr>
            <w:r>
              <w:rPr>
                <w:rFonts w:ascii="Arial" w:cs="Arial" w:eastAsia="Arial" w:hAnsi="Arial"/>
                <w:sz w:val="18"/>
                <w:szCs w:val="18"/>
                <w:color w:val="auto"/>
              </w:rPr>
              <w:t>Depreciation expense</w:t>
            </w:r>
          </w:p>
        </w:tc>
        <w:tc>
          <w:tcPr>
            <w:tcW w:w="1340" w:type="dxa"/>
            <w:vAlign w:val="bottom"/>
            <w:shd w:val="clear" w:color="auto" w:fill="CFF0FC"/>
          </w:tcPr>
          <w:p>
            <w:pPr>
              <w:jc w:val="center"/>
              <w:ind w:right="30"/>
              <w:spacing w:after="0"/>
              <w:rPr>
                <w:sz w:val="20"/>
                <w:szCs w:val="20"/>
                <w:color w:val="auto"/>
              </w:rPr>
            </w:pPr>
            <w:r>
              <w:rPr>
                <w:rFonts w:ascii="Arial" w:cs="Arial" w:eastAsia="Arial" w:hAnsi="Arial"/>
                <w:sz w:val="18"/>
                <w:szCs w:val="18"/>
                <w:color w:val="auto"/>
                <w:w w:val="99"/>
              </w:rPr>
              <w:t>4</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15,048</w:t>
            </w:r>
          </w:p>
        </w:tc>
        <w:tc>
          <w:tcPr>
            <w:tcW w:w="26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2,663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60" w:type="dxa"/>
            <w:vAlign w:val="bottom"/>
          </w:tcPr>
          <w:p>
            <w:pPr>
              <w:spacing w:after="0"/>
              <w:rPr>
                <w:sz w:val="20"/>
                <w:szCs w:val="20"/>
                <w:color w:val="auto"/>
              </w:rPr>
            </w:pPr>
            <w:r>
              <w:rPr>
                <w:rFonts w:ascii="Arial" w:cs="Arial" w:eastAsia="Arial" w:hAnsi="Arial"/>
                <w:sz w:val="18"/>
                <w:szCs w:val="18"/>
                <w:color w:val="auto"/>
              </w:rPr>
              <w:t>Net foreign exchange (gain)/loss</w:t>
            </w:r>
          </w:p>
        </w:tc>
        <w:tc>
          <w:tcPr>
            <w:tcW w:w="1340" w:type="dxa"/>
            <w:vAlign w:val="bottom"/>
          </w:tcPr>
          <w:p>
            <w:pPr>
              <w:jc w:val="center"/>
              <w:ind w:right="30"/>
              <w:spacing w:after="0"/>
              <w:rPr>
                <w:sz w:val="20"/>
                <w:szCs w:val="20"/>
                <w:color w:val="auto"/>
              </w:rPr>
            </w:pPr>
            <w:r>
              <w:rPr>
                <w:rFonts w:ascii="Arial" w:cs="Arial" w:eastAsia="Arial" w:hAnsi="Arial"/>
                <w:sz w:val="18"/>
                <w:szCs w:val="18"/>
                <w:color w:val="auto"/>
                <w:w w:val="99"/>
              </w:rPr>
              <w:t>6</w:t>
            </w: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(3,503,986)</w:t>
            </w:r>
          </w:p>
        </w:tc>
        <w:tc>
          <w:tcPr>
            <w:tcW w:w="1400" w:type="dxa"/>
            <w:vAlign w:val="bottom"/>
          </w:tcPr>
          <w:p>
            <w:pPr>
              <w:jc w:val="right"/>
              <w:spacing w:after="0"/>
              <w:rPr>
                <w:sz w:val="20"/>
                <w:szCs w:val="20"/>
                <w:color w:val="auto"/>
              </w:rPr>
            </w:pPr>
            <w:r>
              <w:rPr>
                <w:rFonts w:ascii="Arial" w:cs="Arial" w:eastAsia="Arial" w:hAnsi="Arial"/>
                <w:sz w:val="18"/>
                <w:szCs w:val="18"/>
                <w:color w:val="auto"/>
              </w:rPr>
              <w:t>19,321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60" w:type="dxa"/>
            <w:vAlign w:val="bottom"/>
            <w:shd w:val="clear" w:color="auto" w:fill="CFF0FC"/>
          </w:tcPr>
          <w:p>
            <w:pPr>
              <w:spacing w:after="0"/>
              <w:rPr>
                <w:sz w:val="20"/>
                <w:szCs w:val="20"/>
                <w:color w:val="auto"/>
              </w:rPr>
            </w:pPr>
            <w:r>
              <w:rPr>
                <w:rFonts w:ascii="Arial" w:cs="Arial" w:eastAsia="Arial" w:hAnsi="Arial"/>
                <w:sz w:val="18"/>
                <w:szCs w:val="18"/>
                <w:color w:val="auto"/>
              </w:rPr>
              <w:t>Finance costs</w:t>
            </w:r>
          </w:p>
        </w:tc>
        <w:tc>
          <w:tcPr>
            <w:tcW w:w="13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79"/>
              </w:rPr>
              <w:t>6</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159,613</w:t>
            </w:r>
          </w:p>
        </w:tc>
        <w:tc>
          <w:tcPr>
            <w:tcW w:w="26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30,943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6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Changes in working capital:</w:t>
            </w:r>
          </w:p>
        </w:tc>
        <w:tc>
          <w:tcPr>
            <w:tcW w:w="134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60" w:type="dxa"/>
            <w:vAlign w:val="bottom"/>
          </w:tcPr>
          <w:p>
            <w:pPr>
              <w:spacing w:after="0"/>
              <w:rPr>
                <w:sz w:val="20"/>
                <w:szCs w:val="20"/>
                <w:color w:val="auto"/>
              </w:rPr>
            </w:pPr>
            <w:r>
              <w:rPr>
                <w:rFonts w:ascii="Arial" w:cs="Arial" w:eastAsia="Arial" w:hAnsi="Arial"/>
                <w:sz w:val="18"/>
                <w:szCs w:val="18"/>
                <w:color w:val="auto"/>
              </w:rPr>
              <w:t>Decrease/(Increase) in receivables</w:t>
            </w:r>
          </w:p>
        </w:tc>
        <w:tc>
          <w:tcPr>
            <w:tcW w:w="1340" w:type="dxa"/>
            <w:vAlign w:val="bottom"/>
          </w:tcPr>
          <w:p>
            <w:pPr>
              <w:spacing w:after="0"/>
              <w:rPr>
                <w:sz w:val="21"/>
                <w:szCs w:val="21"/>
                <w:color w:val="auto"/>
              </w:rPr>
            </w:pP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(143,187)</w:t>
            </w:r>
          </w:p>
        </w:tc>
        <w:tc>
          <w:tcPr>
            <w:tcW w:w="1400" w:type="dxa"/>
            <w:vAlign w:val="bottom"/>
          </w:tcPr>
          <w:p>
            <w:pPr>
              <w:jc w:val="right"/>
              <w:spacing w:after="0"/>
              <w:rPr>
                <w:sz w:val="20"/>
                <w:szCs w:val="20"/>
                <w:color w:val="auto"/>
              </w:rPr>
            </w:pPr>
            <w:r>
              <w:rPr>
                <w:rFonts w:ascii="Arial" w:cs="Arial" w:eastAsia="Arial" w:hAnsi="Arial"/>
                <w:sz w:val="18"/>
                <w:szCs w:val="18"/>
                <w:color w:val="auto"/>
              </w:rPr>
              <w:t>149,093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60" w:type="dxa"/>
            <w:vAlign w:val="bottom"/>
            <w:shd w:val="clear" w:color="auto" w:fill="CFF0FC"/>
          </w:tcPr>
          <w:p>
            <w:pPr>
              <w:spacing w:after="0"/>
              <w:rPr>
                <w:sz w:val="20"/>
                <w:szCs w:val="20"/>
                <w:color w:val="auto"/>
              </w:rPr>
            </w:pPr>
            <w:r>
              <w:rPr>
                <w:rFonts w:ascii="Arial" w:cs="Arial" w:eastAsia="Arial" w:hAnsi="Arial"/>
                <w:sz w:val="18"/>
                <w:szCs w:val="18"/>
                <w:color w:val="auto"/>
              </w:rPr>
              <w:t>Decrease in other current assets</w:t>
            </w:r>
          </w:p>
        </w:tc>
        <w:tc>
          <w:tcPr>
            <w:tcW w:w="1340" w:type="dxa"/>
            <w:vAlign w:val="bottom"/>
            <w:shd w:val="clear" w:color="auto" w:fill="CFF0FC"/>
          </w:tcPr>
          <w:p>
            <w:pPr>
              <w:spacing w:after="0"/>
              <w:rPr>
                <w:sz w:val="21"/>
                <w:szCs w:val="21"/>
                <w:color w:val="auto"/>
              </w:rPr>
            </w:pPr>
          </w:p>
        </w:tc>
        <w:tc>
          <w:tcPr>
            <w:tcW w:w="16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(3,919,580)</w:t>
            </w:r>
          </w:p>
        </w:tc>
        <w:tc>
          <w:tcPr>
            <w:tcW w:w="15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(462,575)</w:t>
            </w:r>
          </w:p>
        </w:tc>
        <w:tc>
          <w:tcPr>
            <w:tcW w:w="0" w:type="dxa"/>
            <w:vAlign w:val="bottom"/>
          </w:tcPr>
          <w:p>
            <w:pPr>
              <w:spacing w:after="0"/>
              <w:rPr>
                <w:sz w:val="1"/>
                <w:szCs w:val="1"/>
                <w:color w:val="auto"/>
              </w:rPr>
            </w:pPr>
          </w:p>
        </w:tc>
      </w:tr>
      <w:tr>
        <w:trPr>
          <w:trHeight w:val="243"/>
        </w:trPr>
        <w:tc>
          <w:tcPr>
            <w:tcW w:w="6760" w:type="dxa"/>
            <w:vAlign w:val="bottom"/>
          </w:tcPr>
          <w:p>
            <w:pPr>
              <w:spacing w:after="0"/>
              <w:rPr>
                <w:sz w:val="20"/>
                <w:szCs w:val="20"/>
                <w:color w:val="auto"/>
              </w:rPr>
            </w:pPr>
            <w:r>
              <w:rPr>
                <w:rFonts w:ascii="Arial" w:cs="Arial" w:eastAsia="Arial" w:hAnsi="Arial"/>
                <w:sz w:val="18"/>
                <w:szCs w:val="18"/>
                <w:color w:val="auto"/>
              </w:rPr>
              <w:t>Increase in trade and other payables</w:t>
            </w:r>
          </w:p>
        </w:tc>
        <w:tc>
          <w:tcPr>
            <w:tcW w:w="13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2,367,811</w:t>
            </w:r>
          </w:p>
        </w:tc>
        <w:tc>
          <w:tcPr>
            <w:tcW w:w="2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2,591,199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60" w:type="dxa"/>
            <w:vAlign w:val="bottom"/>
            <w:shd w:val="clear" w:color="auto" w:fill="CFF0FC"/>
          </w:tcPr>
          <w:p>
            <w:pPr>
              <w:spacing w:after="0"/>
              <w:rPr>
                <w:sz w:val="20"/>
                <w:szCs w:val="20"/>
                <w:color w:val="auto"/>
              </w:rPr>
            </w:pPr>
            <w:r>
              <w:rPr>
                <w:rFonts w:ascii="Arial" w:cs="Arial" w:eastAsia="Arial" w:hAnsi="Arial"/>
                <w:sz w:val="18"/>
                <w:szCs w:val="18"/>
                <w:color w:val="auto"/>
              </w:rPr>
              <w:t>Increase in accrued liabilities</w:t>
            </w:r>
          </w:p>
        </w:tc>
        <w:tc>
          <w:tcPr>
            <w:tcW w:w="134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481,628</w:t>
            </w:r>
          </w:p>
        </w:tc>
        <w:tc>
          <w:tcPr>
            <w:tcW w:w="26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99,996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60" w:type="dxa"/>
            <w:vAlign w:val="bottom"/>
          </w:tcPr>
          <w:p>
            <w:pPr>
              <w:spacing w:after="0"/>
              <w:rPr>
                <w:sz w:val="20"/>
                <w:szCs w:val="20"/>
                <w:color w:val="auto"/>
              </w:rPr>
            </w:pPr>
            <w:r>
              <w:rPr>
                <w:rFonts w:ascii="Arial" w:cs="Arial" w:eastAsia="Arial" w:hAnsi="Arial"/>
                <w:sz w:val="18"/>
                <w:szCs w:val="18"/>
                <w:color w:val="auto"/>
              </w:rPr>
              <w:t>Paid interest</w:t>
            </w:r>
          </w:p>
        </w:tc>
        <w:tc>
          <w:tcPr>
            <w:tcW w:w="1340" w:type="dxa"/>
            <w:vAlign w:val="bottom"/>
          </w:tcPr>
          <w:p>
            <w:pPr>
              <w:spacing w:after="0"/>
              <w:rPr>
                <w:sz w:val="21"/>
                <w:szCs w:val="21"/>
                <w:color w:val="auto"/>
              </w:rPr>
            </w:pP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(134,418)</w:t>
            </w:r>
          </w:p>
        </w:tc>
        <w:tc>
          <w:tcPr>
            <w:tcW w:w="1500" w:type="dxa"/>
            <w:vAlign w:val="bottom"/>
            <w:gridSpan w:val="2"/>
          </w:tcPr>
          <w:p>
            <w:pPr>
              <w:jc w:val="right"/>
              <w:ind w:right="40"/>
              <w:spacing w:after="0"/>
              <w:rPr>
                <w:sz w:val="20"/>
                <w:szCs w:val="20"/>
                <w:color w:val="auto"/>
              </w:rPr>
            </w:pPr>
            <w:r>
              <w:rPr>
                <w:rFonts w:ascii="Arial" w:cs="Arial" w:eastAsia="Arial" w:hAnsi="Arial"/>
                <w:sz w:val="18"/>
                <w:szCs w:val="18"/>
                <w:color w:val="auto"/>
              </w:rPr>
              <w:t>(33,972)</w:t>
            </w:r>
          </w:p>
        </w:tc>
        <w:tc>
          <w:tcPr>
            <w:tcW w:w="0" w:type="dxa"/>
            <w:vAlign w:val="bottom"/>
          </w:tcPr>
          <w:p>
            <w:pPr>
              <w:spacing w:after="0"/>
              <w:rPr>
                <w:sz w:val="1"/>
                <w:szCs w:val="1"/>
                <w:color w:val="auto"/>
              </w:rPr>
            </w:pPr>
          </w:p>
        </w:tc>
      </w:tr>
      <w:tr>
        <w:trPr>
          <w:trHeight w:val="243"/>
        </w:trPr>
        <w:tc>
          <w:tcPr>
            <w:tcW w:w="6760" w:type="dxa"/>
            <w:vAlign w:val="bottom"/>
            <w:shd w:val="clear" w:color="auto" w:fill="CFF0FC"/>
          </w:tcPr>
          <w:p>
            <w:pPr>
              <w:spacing w:after="0"/>
              <w:rPr>
                <w:sz w:val="20"/>
                <w:szCs w:val="20"/>
                <w:color w:val="auto"/>
              </w:rPr>
            </w:pPr>
            <w:r>
              <w:rPr>
                <w:rFonts w:ascii="Arial" w:cs="Arial" w:eastAsia="Arial" w:hAnsi="Arial"/>
                <w:sz w:val="18"/>
                <w:szCs w:val="18"/>
                <w:color w:val="auto"/>
              </w:rPr>
              <w:t>Taxes paid</w:t>
            </w:r>
          </w:p>
        </w:tc>
        <w:tc>
          <w:tcPr>
            <w:tcW w:w="1340" w:type="dxa"/>
            <w:vAlign w:val="bottom"/>
            <w:shd w:val="clear" w:color="auto" w:fill="CFF0FC"/>
          </w:tcPr>
          <w:p>
            <w:pPr>
              <w:spacing w:after="0"/>
              <w:rPr>
                <w:sz w:val="21"/>
                <w:szCs w:val="21"/>
                <w:color w:val="auto"/>
              </w:rPr>
            </w:pPr>
          </w:p>
        </w:tc>
        <w:tc>
          <w:tcPr>
            <w:tcW w:w="16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(27,095)</w:t>
            </w:r>
          </w:p>
        </w:tc>
        <w:tc>
          <w:tcPr>
            <w:tcW w:w="15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760" w:type="dxa"/>
            <w:vAlign w:val="bottom"/>
            <w:vMerge w:val="restart"/>
          </w:tcPr>
          <w:p>
            <w:pPr>
              <w:spacing w:after="0"/>
              <w:rPr>
                <w:sz w:val="20"/>
                <w:szCs w:val="20"/>
                <w:color w:val="auto"/>
              </w:rPr>
            </w:pPr>
            <w:r>
              <w:rPr>
                <w:rFonts w:ascii="Arial" w:cs="Arial" w:eastAsia="Arial" w:hAnsi="Arial"/>
                <w:sz w:val="18"/>
                <w:szCs w:val="18"/>
                <w:b w:val="1"/>
                <w:bCs w:val="1"/>
                <w:color w:val="auto"/>
              </w:rPr>
              <w:t>Net cash flows used in operating activities</w:t>
            </w:r>
          </w:p>
        </w:tc>
        <w:tc>
          <w:tcPr>
            <w:tcW w:w="134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6760" w:type="dxa"/>
            <w:vAlign w:val="bottom"/>
            <w:vMerge w:val="continue"/>
          </w:tcPr>
          <w:p>
            <w:pPr>
              <w:spacing w:after="0"/>
              <w:rPr>
                <w:sz w:val="24"/>
                <w:szCs w:val="24"/>
                <w:color w:val="auto"/>
              </w:rPr>
            </w:pPr>
          </w:p>
        </w:tc>
        <w:tc>
          <w:tcPr>
            <w:tcW w:w="1340" w:type="dxa"/>
            <w:vAlign w:val="bottom"/>
          </w:tcPr>
          <w:p>
            <w:pPr>
              <w:spacing w:after="0"/>
              <w:rPr>
                <w:sz w:val="24"/>
                <w:szCs w:val="24"/>
                <w:color w:val="auto"/>
              </w:rPr>
            </w:pP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(22,058,913)</w:t>
            </w:r>
          </w:p>
        </w:tc>
        <w:tc>
          <w:tcPr>
            <w:tcW w:w="1500" w:type="dxa"/>
            <w:vAlign w:val="bottom"/>
            <w:gridSpan w:val="2"/>
          </w:tcPr>
          <w:p>
            <w:pPr>
              <w:jc w:val="right"/>
              <w:ind w:right="40"/>
              <w:spacing w:after="0"/>
              <w:rPr>
                <w:sz w:val="20"/>
                <w:szCs w:val="20"/>
                <w:color w:val="auto"/>
              </w:rPr>
            </w:pPr>
            <w:r>
              <w:rPr>
                <w:rFonts w:ascii="Arial" w:cs="Arial" w:eastAsia="Arial" w:hAnsi="Arial"/>
                <w:sz w:val="18"/>
                <w:szCs w:val="18"/>
                <w:color w:val="auto"/>
              </w:rPr>
              <w:t>(5,965,159)</w:t>
            </w:r>
          </w:p>
        </w:tc>
        <w:tc>
          <w:tcPr>
            <w:tcW w:w="0" w:type="dxa"/>
            <w:vAlign w:val="bottom"/>
          </w:tcPr>
          <w:p>
            <w:pPr>
              <w:spacing w:after="0"/>
              <w:rPr>
                <w:sz w:val="1"/>
                <w:szCs w:val="1"/>
                <w:color w:val="auto"/>
              </w:rPr>
            </w:pPr>
          </w:p>
        </w:tc>
      </w:tr>
      <w:tr>
        <w:trPr>
          <w:trHeight w:val="223"/>
        </w:trPr>
        <w:tc>
          <w:tcPr>
            <w:tcW w:w="6760" w:type="dxa"/>
            <w:vAlign w:val="bottom"/>
            <w:tcBorders>
              <w:top w:val="single" w:sz="8" w:color="CFF0FC"/>
            </w:tcBorders>
            <w:shd w:val="clear" w:color="auto" w:fill="CFF0FC"/>
          </w:tcPr>
          <w:p>
            <w:pPr>
              <w:spacing w:after="0"/>
              <w:rPr>
                <w:sz w:val="19"/>
                <w:szCs w:val="19"/>
                <w:color w:val="auto"/>
              </w:rPr>
            </w:pPr>
          </w:p>
        </w:tc>
        <w:tc>
          <w:tcPr>
            <w:tcW w:w="1340" w:type="dxa"/>
            <w:vAlign w:val="bottom"/>
            <w:tcBorders>
              <w:top w:val="single" w:sz="8" w:color="CFF0FC"/>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76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13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60" w:type="dxa"/>
            <w:vAlign w:val="bottom"/>
            <w:shd w:val="clear" w:color="auto" w:fill="CFF0FC"/>
          </w:tcPr>
          <w:p>
            <w:pPr>
              <w:spacing w:after="0"/>
              <w:rPr>
                <w:sz w:val="20"/>
                <w:szCs w:val="20"/>
                <w:color w:val="auto"/>
              </w:rPr>
            </w:pPr>
            <w:r>
              <w:rPr>
                <w:rFonts w:ascii="Arial" w:cs="Arial" w:eastAsia="Arial" w:hAnsi="Arial"/>
                <w:sz w:val="18"/>
                <w:szCs w:val="18"/>
                <w:color w:val="auto"/>
              </w:rPr>
              <w:t>Purchase of property, plant and equipment</w:t>
            </w:r>
          </w:p>
        </w:tc>
        <w:tc>
          <w:tcPr>
            <w:tcW w:w="13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79"/>
              </w:rPr>
              <w:t>8</w:t>
            </w:r>
          </w:p>
        </w:tc>
        <w:tc>
          <w:tcPr>
            <w:tcW w:w="16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(33,554)</w:t>
            </w:r>
          </w:p>
        </w:tc>
        <w:tc>
          <w:tcPr>
            <w:tcW w:w="15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(18,429)</w:t>
            </w:r>
          </w:p>
        </w:tc>
        <w:tc>
          <w:tcPr>
            <w:tcW w:w="0" w:type="dxa"/>
            <w:vAlign w:val="bottom"/>
          </w:tcPr>
          <w:p>
            <w:pPr>
              <w:spacing w:after="0"/>
              <w:rPr>
                <w:sz w:val="1"/>
                <w:szCs w:val="1"/>
                <w:color w:val="auto"/>
              </w:rPr>
            </w:pPr>
          </w:p>
        </w:tc>
      </w:tr>
      <w:tr>
        <w:trPr>
          <w:trHeight w:val="20"/>
        </w:trPr>
        <w:tc>
          <w:tcPr>
            <w:tcW w:w="6760" w:type="dxa"/>
            <w:vAlign w:val="bottom"/>
            <w:vMerge w:val="restart"/>
          </w:tcPr>
          <w:p>
            <w:pPr>
              <w:spacing w:after="0"/>
              <w:rPr>
                <w:sz w:val="20"/>
                <w:szCs w:val="20"/>
                <w:color w:val="auto"/>
              </w:rPr>
            </w:pPr>
            <w:r>
              <w:rPr>
                <w:rFonts w:ascii="Arial" w:cs="Arial" w:eastAsia="Arial" w:hAnsi="Arial"/>
                <w:sz w:val="18"/>
                <w:szCs w:val="18"/>
                <w:b w:val="1"/>
                <w:bCs w:val="1"/>
                <w:color w:val="auto"/>
              </w:rPr>
              <w:t>Net cash flows used in investing activities</w:t>
            </w:r>
          </w:p>
        </w:tc>
        <w:tc>
          <w:tcPr>
            <w:tcW w:w="134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6760" w:type="dxa"/>
            <w:vAlign w:val="bottom"/>
            <w:vMerge w:val="continue"/>
          </w:tcPr>
          <w:p>
            <w:pPr>
              <w:spacing w:after="0"/>
              <w:rPr>
                <w:sz w:val="24"/>
                <w:szCs w:val="24"/>
                <w:color w:val="auto"/>
              </w:rPr>
            </w:pPr>
          </w:p>
        </w:tc>
        <w:tc>
          <w:tcPr>
            <w:tcW w:w="1340" w:type="dxa"/>
            <w:vAlign w:val="bottom"/>
          </w:tcPr>
          <w:p>
            <w:pPr>
              <w:spacing w:after="0"/>
              <w:rPr>
                <w:sz w:val="24"/>
                <w:szCs w:val="24"/>
                <w:color w:val="auto"/>
              </w:rPr>
            </w:pP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(33,554)</w:t>
            </w:r>
          </w:p>
        </w:tc>
        <w:tc>
          <w:tcPr>
            <w:tcW w:w="1500" w:type="dxa"/>
            <w:vAlign w:val="bottom"/>
            <w:gridSpan w:val="2"/>
          </w:tcPr>
          <w:p>
            <w:pPr>
              <w:jc w:val="right"/>
              <w:ind w:right="40"/>
              <w:spacing w:after="0"/>
              <w:rPr>
                <w:sz w:val="20"/>
                <w:szCs w:val="20"/>
                <w:color w:val="auto"/>
              </w:rPr>
            </w:pPr>
            <w:r>
              <w:rPr>
                <w:rFonts w:ascii="Arial" w:cs="Arial" w:eastAsia="Arial" w:hAnsi="Arial"/>
                <w:sz w:val="18"/>
                <w:szCs w:val="18"/>
                <w:color w:val="auto"/>
              </w:rPr>
              <w:t>(18,429)</w:t>
            </w:r>
          </w:p>
        </w:tc>
        <w:tc>
          <w:tcPr>
            <w:tcW w:w="0" w:type="dxa"/>
            <w:vAlign w:val="bottom"/>
          </w:tcPr>
          <w:p>
            <w:pPr>
              <w:spacing w:after="0"/>
              <w:rPr>
                <w:sz w:val="1"/>
                <w:szCs w:val="1"/>
                <w:color w:val="auto"/>
              </w:rPr>
            </w:pPr>
          </w:p>
        </w:tc>
      </w:tr>
      <w:tr>
        <w:trPr>
          <w:trHeight w:val="223"/>
        </w:trPr>
        <w:tc>
          <w:tcPr>
            <w:tcW w:w="6760" w:type="dxa"/>
            <w:vAlign w:val="bottom"/>
            <w:tcBorders>
              <w:top w:val="single" w:sz="8" w:color="CFF0FC"/>
            </w:tcBorders>
            <w:shd w:val="clear" w:color="auto" w:fill="CFF0FC"/>
          </w:tcPr>
          <w:p>
            <w:pPr>
              <w:spacing w:after="0"/>
              <w:rPr>
                <w:sz w:val="19"/>
                <w:szCs w:val="19"/>
                <w:color w:val="auto"/>
              </w:rPr>
            </w:pPr>
          </w:p>
        </w:tc>
        <w:tc>
          <w:tcPr>
            <w:tcW w:w="1340" w:type="dxa"/>
            <w:vAlign w:val="bottom"/>
            <w:tcBorders>
              <w:top w:val="single" w:sz="8" w:color="CFF0FC"/>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76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13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60" w:type="dxa"/>
            <w:vAlign w:val="bottom"/>
            <w:shd w:val="clear" w:color="auto" w:fill="CFF0FC"/>
          </w:tcPr>
          <w:p>
            <w:pPr>
              <w:spacing w:after="0"/>
              <w:rPr>
                <w:sz w:val="20"/>
                <w:szCs w:val="20"/>
                <w:color w:val="auto"/>
              </w:rPr>
            </w:pPr>
            <w:r>
              <w:rPr>
                <w:rFonts w:ascii="Arial" w:cs="Arial" w:eastAsia="Arial" w:hAnsi="Arial"/>
                <w:sz w:val="18"/>
                <w:szCs w:val="18"/>
                <w:color w:val="auto"/>
              </w:rPr>
              <w:t>Proceeds from issue of shares</w:t>
            </w:r>
          </w:p>
        </w:tc>
        <w:tc>
          <w:tcPr>
            <w:tcW w:w="13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13</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157,236,819</w:t>
            </w:r>
          </w:p>
        </w:tc>
        <w:tc>
          <w:tcPr>
            <w:tcW w:w="26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760" w:type="dxa"/>
            <w:vAlign w:val="bottom"/>
          </w:tcPr>
          <w:p>
            <w:pPr>
              <w:spacing w:after="0"/>
              <w:rPr>
                <w:sz w:val="20"/>
                <w:szCs w:val="20"/>
                <w:color w:val="auto"/>
              </w:rPr>
            </w:pPr>
            <w:r>
              <w:rPr>
                <w:rFonts w:ascii="Arial" w:cs="Arial" w:eastAsia="Arial" w:hAnsi="Arial"/>
                <w:sz w:val="18"/>
                <w:szCs w:val="18"/>
                <w:color w:val="auto"/>
              </w:rPr>
              <w:t>Transaction costs on issue of shares</w:t>
            </w:r>
          </w:p>
        </w:tc>
        <w:tc>
          <w:tcPr>
            <w:tcW w:w="1340" w:type="dxa"/>
            <w:vAlign w:val="bottom"/>
          </w:tcPr>
          <w:p>
            <w:pPr>
              <w:spacing w:after="0"/>
              <w:rPr>
                <w:sz w:val="21"/>
                <w:szCs w:val="21"/>
                <w:color w:val="auto"/>
              </w:rPr>
            </w:pP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(12,925,547)</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7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(5,012)</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67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Net cash flows provided by financing activities</w:t>
            </w:r>
          </w:p>
        </w:tc>
        <w:tc>
          <w:tcPr>
            <w:tcW w:w="1340" w:type="dxa"/>
            <w:vAlign w:val="bottom"/>
            <w:tcBorders>
              <w:top w:val="single" w:sz="8" w:color="CFF0FC"/>
              <w:bottom w:val="single" w:sz="8" w:color="CFF0FC"/>
            </w:tcBorders>
            <w:shd w:val="clear" w:color="auto" w:fill="CFF0FC"/>
          </w:tcPr>
          <w:p>
            <w:pPr>
              <w:spacing w:after="0"/>
              <w:rPr>
                <w:sz w:val="20"/>
                <w:szCs w:val="20"/>
                <w:color w:val="auto"/>
              </w:rPr>
            </w:pP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144,306,260</w:t>
            </w:r>
          </w:p>
        </w:tc>
        <w:tc>
          <w:tcPr>
            <w:tcW w:w="260" w:type="dxa"/>
            <w:vAlign w:val="bottom"/>
            <w:tcBorders>
              <w:top w:val="single" w:sz="8" w:color="CFF0FC"/>
              <w:bottom w:val="single" w:sz="8" w:color="CFF0FC"/>
            </w:tcBorders>
            <w:shd w:val="clear" w:color="auto" w:fill="CFF0FC"/>
          </w:tcPr>
          <w:p>
            <w:pPr>
              <w:spacing w:after="0"/>
              <w:rPr>
                <w:sz w:val="20"/>
                <w:szCs w:val="20"/>
                <w:color w:val="auto"/>
              </w:rPr>
            </w:pP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7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760" w:type="dxa"/>
            <w:vAlign w:val="bottom"/>
            <w:shd w:val="clear" w:color="auto" w:fill="CFF0FC"/>
          </w:tcPr>
          <w:p>
            <w:pPr>
              <w:spacing w:after="0"/>
              <w:rPr>
                <w:sz w:val="20"/>
                <w:szCs w:val="20"/>
                <w:color w:val="auto"/>
              </w:rPr>
            </w:pPr>
            <w:r>
              <w:rPr>
                <w:rFonts w:ascii="Arial" w:cs="Arial" w:eastAsia="Arial" w:hAnsi="Arial"/>
                <w:sz w:val="18"/>
                <w:szCs w:val="18"/>
                <w:color w:val="auto"/>
              </w:rPr>
              <w:t>Net increase (decrease) in cash and cash equivalents</w:t>
            </w:r>
          </w:p>
        </w:tc>
        <w:tc>
          <w:tcPr>
            <w:tcW w:w="134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122,213,793</w:t>
            </w:r>
          </w:p>
        </w:tc>
        <w:tc>
          <w:tcPr>
            <w:tcW w:w="26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(5,983,588)</w:t>
            </w:r>
          </w:p>
        </w:tc>
        <w:tc>
          <w:tcPr>
            <w:tcW w:w="0" w:type="dxa"/>
            <w:vAlign w:val="bottom"/>
          </w:tcPr>
          <w:p>
            <w:pPr>
              <w:spacing w:after="0"/>
              <w:rPr>
                <w:sz w:val="1"/>
                <w:szCs w:val="1"/>
                <w:color w:val="auto"/>
              </w:rPr>
            </w:pPr>
          </w:p>
        </w:tc>
      </w:tr>
      <w:tr>
        <w:trPr>
          <w:trHeight w:val="243"/>
        </w:trPr>
        <w:tc>
          <w:tcPr>
            <w:tcW w:w="6760" w:type="dxa"/>
            <w:vAlign w:val="bottom"/>
          </w:tcPr>
          <w:p>
            <w:pPr>
              <w:spacing w:after="0"/>
              <w:rPr>
                <w:sz w:val="20"/>
                <w:szCs w:val="20"/>
                <w:color w:val="auto"/>
              </w:rPr>
            </w:pPr>
            <w:r>
              <w:rPr>
                <w:rFonts w:ascii="Arial" w:cs="Arial" w:eastAsia="Arial" w:hAnsi="Arial"/>
                <w:sz w:val="18"/>
                <w:szCs w:val="18"/>
                <w:color w:val="auto"/>
              </w:rPr>
              <w:t>Cash and cash equivalents at the beginning of the period</w:t>
            </w:r>
          </w:p>
        </w:tc>
        <w:tc>
          <w:tcPr>
            <w:tcW w:w="13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98,628,871</w:t>
            </w:r>
          </w:p>
        </w:tc>
        <w:tc>
          <w:tcPr>
            <w:tcW w:w="2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20,326,372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60" w:type="dxa"/>
            <w:vAlign w:val="bottom"/>
            <w:shd w:val="clear" w:color="auto" w:fill="CFF0FC"/>
          </w:tcPr>
          <w:p>
            <w:pPr>
              <w:spacing w:after="0"/>
              <w:rPr>
                <w:sz w:val="20"/>
                <w:szCs w:val="20"/>
                <w:color w:val="auto"/>
              </w:rPr>
            </w:pPr>
            <w:r>
              <w:rPr>
                <w:rFonts w:ascii="Arial" w:cs="Arial" w:eastAsia="Arial" w:hAnsi="Arial"/>
                <w:sz w:val="18"/>
                <w:szCs w:val="18"/>
                <w:color w:val="auto"/>
              </w:rPr>
              <w:t>Effect of exchange rate changes</w:t>
            </w:r>
          </w:p>
        </w:tc>
        <w:tc>
          <w:tcPr>
            <w:tcW w:w="134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3,475,076</w:t>
            </w:r>
          </w:p>
        </w:tc>
        <w:tc>
          <w:tcPr>
            <w:tcW w:w="26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(14,306)</w:t>
            </w:r>
          </w:p>
        </w:tc>
        <w:tc>
          <w:tcPr>
            <w:tcW w:w="0" w:type="dxa"/>
            <w:vAlign w:val="bottom"/>
          </w:tcPr>
          <w:p>
            <w:pPr>
              <w:spacing w:after="0"/>
              <w:rPr>
                <w:sz w:val="1"/>
                <w:szCs w:val="1"/>
                <w:color w:val="auto"/>
              </w:rPr>
            </w:pPr>
          </w:p>
        </w:tc>
      </w:tr>
      <w:tr>
        <w:trPr>
          <w:trHeight w:val="237"/>
        </w:trPr>
        <w:tc>
          <w:tcPr>
            <w:tcW w:w="6760" w:type="dxa"/>
            <w:vAlign w:val="bottom"/>
          </w:tcPr>
          <w:p>
            <w:pPr>
              <w:spacing w:after="0"/>
              <w:rPr>
                <w:sz w:val="20"/>
                <w:szCs w:val="20"/>
                <w:color w:val="auto"/>
              </w:rPr>
            </w:pPr>
            <w:r>
              <w:rPr>
                <w:rFonts w:ascii="Arial" w:cs="Arial" w:eastAsia="Arial" w:hAnsi="Arial"/>
                <w:sz w:val="18"/>
                <w:szCs w:val="18"/>
                <w:b w:val="1"/>
                <w:bCs w:val="1"/>
                <w:color w:val="auto"/>
              </w:rPr>
              <w:t>Cash and cash equivalents at the end of the period</w:t>
            </w:r>
          </w:p>
        </w:tc>
        <w:tc>
          <w:tcPr>
            <w:tcW w:w="1340" w:type="dxa"/>
            <w:vAlign w:val="bottom"/>
          </w:tcPr>
          <w:p>
            <w:pPr>
              <w:jc w:val="center"/>
              <w:spacing w:after="0"/>
              <w:rPr>
                <w:sz w:val="20"/>
                <w:szCs w:val="20"/>
                <w:color w:val="auto"/>
              </w:rPr>
            </w:pPr>
            <w:r>
              <w:rPr>
                <w:rFonts w:ascii="Arial" w:cs="Arial" w:eastAsia="Arial" w:hAnsi="Arial"/>
                <w:sz w:val="18"/>
                <w:szCs w:val="18"/>
                <w:color w:val="auto"/>
                <w:w w:val="89"/>
              </w:rPr>
              <w:t>12</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224,317,740</w:t>
            </w:r>
          </w:p>
        </w:tc>
        <w:tc>
          <w:tcPr>
            <w:tcW w:w="260" w:type="dxa"/>
            <w:vAlign w:val="bottom"/>
          </w:tcPr>
          <w:p>
            <w:pPr>
              <w:spacing w:after="0"/>
              <w:rPr>
                <w:sz w:val="20"/>
                <w:szCs w:val="20"/>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14,328,478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unaudited condensed consolidated interim financial statements</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679" w:right="339" w:bottom="1440" w:gutter="0" w:footer="0" w:header="0"/>
        </w:sectPr>
      </w:pPr>
    </w:p>
    <w:bookmarkStart w:id="27" w:name="page28"/>
    <w:bookmarkEnd w:id="27"/>
    <w:p>
      <w:pPr>
        <w:spacing w:after="0"/>
        <w:rPr>
          <w:sz w:val="20"/>
          <w:szCs w:val="20"/>
          <w:color w:val="auto"/>
        </w:rPr>
      </w:pPr>
      <w:r>
        <w:rPr>
          <w:rFonts w:ascii="Arial" w:cs="Arial" w:eastAsia="Arial" w:hAnsi="Arial"/>
          <w:sz w:val="20"/>
          <w:szCs w:val="20"/>
          <w:b w:val="1"/>
          <w:bCs w:val="1"/>
          <w:color w:val="auto"/>
        </w:rPr>
        <w:t>Notes to the unaudited condensed consolidated interim financial statements</w:t>
      </w:r>
    </w:p>
    <w:p>
      <w:pPr>
        <w:spacing w:after="0" w:line="17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1</w:t>
      </w:r>
      <w:r>
        <w:rPr>
          <w:rFonts w:ascii="Arial" w:cs="Arial" w:eastAsia="Arial" w:hAnsi="Arial"/>
          <w:sz w:val="21"/>
          <w:szCs w:val="21"/>
          <w:b w:val="1"/>
          <w:bCs w:val="1"/>
          <w:color w:val="auto"/>
        </w:rPr>
        <w:t>. Corporate and Group information</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This section provides general corporate and group information about Pharvaris N.V. (formerly Pharvaris B.V.) and its subsidiaries.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Corporate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Pharvaris N.V. was incorporated on September 30, 2015 and is based in Leiden, the Netherlands.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The address of its registered office is J.H. Oortweg 21, Leiden. It has been registered at the Chamber of Commerce under file number 64239411.</w:t>
      </w:r>
    </w:p>
    <w:p>
      <w:pPr>
        <w:spacing w:after="0" w:line="196"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Pharvaris is a clinical-stage biopharmaceutical company focused on the development and commercialization of innovative therapies for rare diseases with significant unmet need, initially focused on angioedema and other bradykinin-mediated diseases.</w:t>
      </w:r>
    </w:p>
    <w:p>
      <w:pPr>
        <w:spacing w:after="0" w:line="143" w:lineRule="exact"/>
        <w:rPr>
          <w:sz w:val="20"/>
          <w:szCs w:val="20"/>
          <w:color w:val="auto"/>
        </w:rPr>
      </w:pPr>
    </w:p>
    <w:p>
      <w:pPr>
        <w:ind w:right="540"/>
        <w:spacing w:after="0" w:line="263" w:lineRule="auto"/>
        <w:rPr>
          <w:sz w:val="20"/>
          <w:szCs w:val="20"/>
          <w:color w:val="auto"/>
        </w:rPr>
      </w:pPr>
      <w:r>
        <w:rPr>
          <w:rFonts w:ascii="Arial" w:cs="Arial" w:eastAsia="Arial" w:hAnsi="Arial"/>
          <w:sz w:val="18"/>
          <w:szCs w:val="18"/>
          <w:color w:val="auto"/>
        </w:rPr>
        <w:t>The unaudited condensed consolidated interim financial statements of Pharvaris N.V. (the “Company” or “Pharvaris”) and its subsidiaries (collectively, “The Group”) as at June 30, 2021 and December 31, 2020, and for the three and six months ended June 30, 2021 and 2020 were authorised for issue in accordance with a resolution of the directors on July 30, 2021.</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Group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Subsidiaries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unaudited condensed consolidated interim financial statements of the Group include:</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520" w:type="dxa"/>
            <w:vAlign w:val="bottom"/>
            <w:gridSpan w:val="5"/>
          </w:tcPr>
          <w:p>
            <w:pPr>
              <w:jc w:val="center"/>
              <w:ind w:right="120"/>
              <w:spacing w:after="0"/>
              <w:rPr>
                <w:sz w:val="20"/>
                <w:szCs w:val="20"/>
                <w:color w:val="auto"/>
              </w:rPr>
            </w:pPr>
            <w:r>
              <w:rPr>
                <w:rFonts w:ascii="Arial" w:cs="Arial" w:eastAsia="Arial" w:hAnsi="Arial"/>
                <w:sz w:val="18"/>
                <w:szCs w:val="18"/>
                <w:color w:val="auto"/>
                <w:w w:val="94"/>
              </w:rPr>
              <w:t>% of equity interest as</w:t>
            </w:r>
          </w:p>
        </w:tc>
      </w:tr>
      <w:tr>
        <w:trPr>
          <w:trHeight w:val="230"/>
        </w:trPr>
        <w:tc>
          <w:tcPr>
            <w:tcW w:w="3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0" w:type="dxa"/>
            <w:vAlign w:val="bottom"/>
            <w:gridSpan w:val="2"/>
          </w:tcPr>
          <w:p>
            <w:pPr>
              <w:spacing w:after="0"/>
              <w:rPr>
                <w:sz w:val="20"/>
                <w:szCs w:val="20"/>
                <w:color w:val="auto"/>
              </w:rPr>
            </w:pPr>
            <w:r>
              <w:rPr>
                <w:rFonts w:ascii="Arial" w:cs="Arial" w:eastAsia="Arial" w:hAnsi="Arial"/>
                <w:sz w:val="18"/>
                <w:szCs w:val="18"/>
                <w:color w:val="auto"/>
              </w:rPr>
              <w:t>Country of</w:t>
            </w:r>
          </w:p>
        </w:tc>
        <w:tc>
          <w:tcPr>
            <w:tcW w:w="1180" w:type="dxa"/>
            <w:vAlign w:val="bottom"/>
          </w:tcPr>
          <w:p>
            <w:pPr>
              <w:spacing w:after="0"/>
              <w:rPr>
                <w:sz w:val="20"/>
                <w:szCs w:val="20"/>
                <w:color w:val="auto"/>
              </w:rPr>
            </w:pPr>
          </w:p>
        </w:tc>
        <w:tc>
          <w:tcPr>
            <w:tcW w:w="2340" w:type="dxa"/>
            <w:vAlign w:val="bottom"/>
            <w:gridSpan w:val="4"/>
          </w:tcPr>
          <w:p>
            <w:pPr>
              <w:jc w:val="center"/>
              <w:ind w:right="1320"/>
              <w:spacing w:after="0"/>
              <w:rPr>
                <w:sz w:val="20"/>
                <w:szCs w:val="20"/>
                <w:color w:val="auto"/>
              </w:rPr>
            </w:pPr>
            <w:r>
              <w:rPr>
                <w:rFonts w:ascii="Arial" w:cs="Arial" w:eastAsia="Arial" w:hAnsi="Arial"/>
                <w:sz w:val="18"/>
                <w:szCs w:val="18"/>
                <w:color w:val="auto"/>
                <w:w w:val="89"/>
              </w:rPr>
              <w:t>June 30,</w:t>
            </w:r>
          </w:p>
        </w:tc>
      </w:tr>
      <w:tr>
        <w:trPr>
          <w:trHeight w:val="237"/>
        </w:trPr>
        <w:tc>
          <w:tcPr>
            <w:tcW w:w="3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Name</w:t>
            </w:r>
          </w:p>
        </w:tc>
        <w:tc>
          <w:tcPr>
            <w:tcW w:w="180" w:type="dxa"/>
            <w:vAlign w:val="bottom"/>
            <w:tcBorders>
              <w:bottom w:val="single" w:sz="8" w:color="CFF0FC"/>
            </w:tcBorders>
          </w:tcPr>
          <w:p>
            <w:pPr>
              <w:spacing w:after="0"/>
              <w:rPr>
                <w:sz w:val="20"/>
                <w:szCs w:val="20"/>
                <w:color w:val="auto"/>
              </w:rPr>
            </w:pPr>
          </w:p>
        </w:tc>
        <w:tc>
          <w:tcPr>
            <w:tcW w:w="1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Legal seat</w:t>
            </w:r>
          </w:p>
        </w:tc>
        <w:tc>
          <w:tcPr>
            <w:tcW w:w="180" w:type="dxa"/>
            <w:vAlign w:val="bottom"/>
            <w:tcBorders>
              <w:bottom w:val="single" w:sz="8" w:color="CFF0FC"/>
            </w:tcBorders>
          </w:tcPr>
          <w:p>
            <w:pPr>
              <w:spacing w:after="0"/>
              <w:rPr>
                <w:sz w:val="20"/>
                <w:szCs w:val="20"/>
                <w:color w:val="auto"/>
              </w:rPr>
            </w:pPr>
          </w:p>
        </w:tc>
        <w:tc>
          <w:tcPr>
            <w:tcW w:w="2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incorporation</w:t>
            </w:r>
          </w:p>
        </w:tc>
        <w:tc>
          <w:tcPr>
            <w:tcW w:w="180" w:type="dxa"/>
            <w:vAlign w:val="bottom"/>
            <w:tcBorders>
              <w:bottom w:val="single" w:sz="8" w:color="CFF0FC"/>
            </w:tcBorders>
          </w:tcPr>
          <w:p>
            <w:pPr>
              <w:spacing w:after="0"/>
              <w:rPr>
                <w:sz w:val="20"/>
                <w:szCs w:val="20"/>
                <w:color w:val="auto"/>
              </w:rPr>
            </w:pPr>
          </w:p>
        </w:tc>
        <w:tc>
          <w:tcPr>
            <w:tcW w:w="1180" w:type="dxa"/>
            <w:vAlign w:val="bottom"/>
            <w:tcBorders>
              <w:top w:val="single" w:sz="8" w:color="auto"/>
              <w:bottom w:val="single" w:sz="8" w:color="auto"/>
            </w:tcBorders>
          </w:tcPr>
          <w:p>
            <w:pPr>
              <w:jc w:val="center"/>
              <w:ind w:left="270"/>
              <w:spacing w:after="0"/>
              <w:rPr>
                <w:sz w:val="20"/>
                <w:szCs w:val="20"/>
                <w:color w:val="auto"/>
              </w:rPr>
            </w:pPr>
            <w:r>
              <w:rPr>
                <w:rFonts w:ascii="Arial" w:cs="Arial" w:eastAsia="Arial" w:hAnsi="Arial"/>
                <w:sz w:val="18"/>
                <w:szCs w:val="18"/>
                <w:color w:val="auto"/>
                <w:w w:val="94"/>
              </w:rPr>
              <w:t>2021</w:t>
            </w:r>
          </w:p>
        </w:tc>
        <w:tc>
          <w:tcPr>
            <w:tcW w:w="380" w:type="dxa"/>
            <w:vAlign w:val="bottom"/>
            <w:tcBorders>
              <w:top w:val="single" w:sz="8" w:color="auto"/>
              <w:bottom w:val="single" w:sz="8" w:color="auto"/>
            </w:tcBorders>
          </w:tcPr>
          <w:p>
            <w:pPr>
              <w:spacing w:after="0"/>
              <w:rPr>
                <w:sz w:val="20"/>
                <w:szCs w:val="20"/>
                <w:color w:val="auto"/>
              </w:rPr>
            </w:pPr>
          </w:p>
        </w:tc>
        <w:tc>
          <w:tcPr>
            <w:tcW w:w="280" w:type="dxa"/>
            <w:vAlign w:val="bottom"/>
            <w:tcBorders>
              <w:top w:val="single" w:sz="8" w:color="auto"/>
              <w:bottom w:val="single" w:sz="8" w:color="CFF0FC"/>
            </w:tcBorders>
          </w:tcPr>
          <w:p>
            <w:pPr>
              <w:spacing w:after="0"/>
              <w:rPr>
                <w:sz w:val="20"/>
                <w:szCs w:val="20"/>
                <w:color w:val="auto"/>
              </w:rPr>
            </w:pPr>
          </w:p>
        </w:tc>
        <w:tc>
          <w:tcPr>
            <w:tcW w:w="15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9"/>
              </w:rPr>
              <w:t>2020</w:t>
            </w:r>
          </w:p>
        </w:tc>
        <w:tc>
          <w:tcPr>
            <w:tcW w:w="100" w:type="dxa"/>
            <w:vAlign w:val="bottom"/>
            <w:tcBorders>
              <w:bottom w:val="single" w:sz="8" w:color="CFF0FC"/>
            </w:tcBorders>
          </w:tcPr>
          <w:p>
            <w:pPr>
              <w:spacing w:after="0"/>
              <w:rPr>
                <w:sz w:val="20"/>
                <w:szCs w:val="20"/>
                <w:color w:val="auto"/>
              </w:rPr>
            </w:pPr>
          </w:p>
        </w:tc>
      </w:tr>
      <w:tr>
        <w:trPr>
          <w:trHeight w:val="237"/>
        </w:trPr>
        <w:tc>
          <w:tcPr>
            <w:tcW w:w="3080" w:type="dxa"/>
            <w:vAlign w:val="bottom"/>
            <w:shd w:val="clear" w:color="auto" w:fill="CFF0FC"/>
          </w:tcPr>
          <w:p>
            <w:pPr>
              <w:spacing w:after="0"/>
              <w:rPr>
                <w:sz w:val="20"/>
                <w:szCs w:val="20"/>
                <w:color w:val="auto"/>
              </w:rPr>
            </w:pPr>
            <w:r>
              <w:rPr>
                <w:rFonts w:ascii="Arial" w:cs="Arial" w:eastAsia="Arial" w:hAnsi="Arial"/>
                <w:sz w:val="18"/>
                <w:szCs w:val="18"/>
                <w:color w:val="auto"/>
              </w:rPr>
              <w:t>Pharvaris Holdings B.V.</w:t>
            </w:r>
          </w:p>
        </w:tc>
        <w:tc>
          <w:tcPr>
            <w:tcW w:w="2040" w:type="dxa"/>
            <w:vAlign w:val="bottom"/>
            <w:gridSpan w:val="3"/>
            <w:shd w:val="clear" w:color="auto" w:fill="CFF0FC"/>
          </w:tcPr>
          <w:p>
            <w:pPr>
              <w:ind w:left="180"/>
              <w:spacing w:after="0"/>
              <w:rPr>
                <w:sz w:val="20"/>
                <w:szCs w:val="20"/>
                <w:color w:val="auto"/>
              </w:rPr>
            </w:pPr>
            <w:r>
              <w:rPr>
                <w:rFonts w:ascii="Arial" w:cs="Arial" w:eastAsia="Arial" w:hAnsi="Arial"/>
                <w:sz w:val="18"/>
                <w:szCs w:val="18"/>
                <w:color w:val="auto"/>
              </w:rPr>
              <w:t>Leiden</w:t>
            </w:r>
          </w:p>
        </w:tc>
        <w:tc>
          <w:tcPr>
            <w:tcW w:w="26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The Netherlands</w:t>
            </w:r>
          </w:p>
        </w:tc>
        <w:tc>
          <w:tcPr>
            <w:tcW w:w="1180" w:type="dxa"/>
            <w:vAlign w:val="bottom"/>
            <w:shd w:val="clear" w:color="auto" w:fill="CFF0FC"/>
          </w:tcPr>
          <w:p>
            <w:pPr>
              <w:jc w:val="center"/>
              <w:ind w:left="270"/>
              <w:spacing w:after="0"/>
              <w:rPr>
                <w:sz w:val="20"/>
                <w:szCs w:val="20"/>
                <w:color w:val="auto"/>
              </w:rPr>
            </w:pPr>
            <w:r>
              <w:rPr>
                <w:rFonts w:ascii="Arial" w:cs="Arial" w:eastAsia="Arial" w:hAnsi="Arial"/>
                <w:sz w:val="18"/>
                <w:szCs w:val="18"/>
                <w:color w:val="auto"/>
                <w:w w:val="91"/>
              </w:rPr>
              <w:t>100%</w:t>
            </w:r>
          </w:p>
        </w:tc>
        <w:tc>
          <w:tcPr>
            <w:tcW w:w="2240" w:type="dxa"/>
            <w:vAlign w:val="bottom"/>
            <w:gridSpan w:val="3"/>
            <w:shd w:val="clear" w:color="auto" w:fill="CFF0FC"/>
          </w:tcPr>
          <w:p>
            <w:pPr>
              <w:jc w:val="center"/>
              <w:ind w:left="550"/>
              <w:spacing w:after="0"/>
              <w:rPr>
                <w:sz w:val="20"/>
                <w:szCs w:val="20"/>
                <w:color w:val="auto"/>
              </w:rPr>
            </w:pPr>
            <w:r>
              <w:rPr>
                <w:rFonts w:ascii="Arial" w:cs="Arial" w:eastAsia="Arial" w:hAnsi="Arial"/>
                <w:sz w:val="18"/>
                <w:szCs w:val="18"/>
                <w:color w:val="auto"/>
                <w:w w:val="95"/>
              </w:rPr>
              <w:t>100%</w:t>
            </w:r>
          </w:p>
        </w:tc>
        <w:tc>
          <w:tcPr>
            <w:tcW w:w="100" w:type="dxa"/>
            <w:vAlign w:val="bottom"/>
            <w:shd w:val="clear" w:color="auto" w:fill="CFF0FC"/>
          </w:tcPr>
          <w:p>
            <w:pPr>
              <w:spacing w:after="0"/>
              <w:rPr>
                <w:sz w:val="20"/>
                <w:szCs w:val="20"/>
                <w:color w:val="auto"/>
              </w:rPr>
            </w:pPr>
          </w:p>
        </w:tc>
      </w:tr>
      <w:tr>
        <w:trPr>
          <w:trHeight w:val="243"/>
        </w:trPr>
        <w:tc>
          <w:tcPr>
            <w:tcW w:w="3080" w:type="dxa"/>
            <w:vAlign w:val="bottom"/>
          </w:tcPr>
          <w:p>
            <w:pPr>
              <w:spacing w:after="0"/>
              <w:rPr>
                <w:sz w:val="20"/>
                <w:szCs w:val="20"/>
                <w:color w:val="auto"/>
              </w:rPr>
            </w:pPr>
            <w:r>
              <w:rPr>
                <w:rFonts w:ascii="Arial" w:cs="Arial" w:eastAsia="Arial" w:hAnsi="Arial"/>
                <w:sz w:val="18"/>
                <w:szCs w:val="18"/>
                <w:color w:val="auto"/>
              </w:rPr>
              <w:t>Pharvaris Netherlands B.V.</w:t>
            </w:r>
          </w:p>
        </w:tc>
        <w:tc>
          <w:tcPr>
            <w:tcW w:w="2040" w:type="dxa"/>
            <w:vAlign w:val="bottom"/>
            <w:gridSpan w:val="3"/>
          </w:tcPr>
          <w:p>
            <w:pPr>
              <w:ind w:left="180"/>
              <w:spacing w:after="0"/>
              <w:rPr>
                <w:sz w:val="20"/>
                <w:szCs w:val="20"/>
                <w:color w:val="auto"/>
              </w:rPr>
            </w:pPr>
            <w:r>
              <w:rPr>
                <w:rFonts w:ascii="Arial" w:cs="Arial" w:eastAsia="Arial" w:hAnsi="Arial"/>
                <w:sz w:val="18"/>
                <w:szCs w:val="18"/>
                <w:color w:val="auto"/>
              </w:rPr>
              <w:t>Leiden</w:t>
            </w:r>
          </w:p>
        </w:tc>
        <w:tc>
          <w:tcPr>
            <w:tcW w:w="2600" w:type="dxa"/>
            <w:vAlign w:val="bottom"/>
            <w:gridSpan w:val="2"/>
          </w:tcPr>
          <w:p>
            <w:pPr>
              <w:spacing w:after="0"/>
              <w:rPr>
                <w:sz w:val="20"/>
                <w:szCs w:val="20"/>
                <w:color w:val="auto"/>
              </w:rPr>
            </w:pPr>
            <w:r>
              <w:rPr>
                <w:rFonts w:ascii="Arial" w:cs="Arial" w:eastAsia="Arial" w:hAnsi="Arial"/>
                <w:sz w:val="18"/>
                <w:szCs w:val="18"/>
                <w:color w:val="auto"/>
              </w:rPr>
              <w:t>The Netherlands</w:t>
            </w:r>
          </w:p>
        </w:tc>
        <w:tc>
          <w:tcPr>
            <w:tcW w:w="1180" w:type="dxa"/>
            <w:vAlign w:val="bottom"/>
          </w:tcPr>
          <w:p>
            <w:pPr>
              <w:jc w:val="center"/>
              <w:ind w:left="270"/>
              <w:spacing w:after="0"/>
              <w:rPr>
                <w:sz w:val="20"/>
                <w:szCs w:val="20"/>
                <w:color w:val="auto"/>
              </w:rPr>
            </w:pPr>
            <w:r>
              <w:rPr>
                <w:rFonts w:ascii="Arial" w:cs="Arial" w:eastAsia="Arial" w:hAnsi="Arial"/>
                <w:sz w:val="18"/>
                <w:szCs w:val="18"/>
                <w:color w:val="auto"/>
                <w:w w:val="91"/>
              </w:rPr>
              <w:t>100%</w:t>
            </w:r>
          </w:p>
        </w:tc>
        <w:tc>
          <w:tcPr>
            <w:tcW w:w="2240" w:type="dxa"/>
            <w:vAlign w:val="bottom"/>
            <w:gridSpan w:val="3"/>
          </w:tcPr>
          <w:p>
            <w:pPr>
              <w:jc w:val="center"/>
              <w:ind w:left="550"/>
              <w:spacing w:after="0"/>
              <w:rPr>
                <w:sz w:val="20"/>
                <w:szCs w:val="20"/>
                <w:color w:val="auto"/>
              </w:rPr>
            </w:pPr>
            <w:r>
              <w:rPr>
                <w:rFonts w:ascii="Arial" w:cs="Arial" w:eastAsia="Arial" w:hAnsi="Arial"/>
                <w:sz w:val="18"/>
                <w:szCs w:val="18"/>
                <w:color w:val="auto"/>
                <w:w w:val="95"/>
              </w:rPr>
              <w:t>100%</w:t>
            </w:r>
          </w:p>
        </w:tc>
        <w:tc>
          <w:tcPr>
            <w:tcW w:w="100" w:type="dxa"/>
            <w:vAlign w:val="bottom"/>
          </w:tcPr>
          <w:p>
            <w:pPr>
              <w:spacing w:after="0"/>
              <w:rPr>
                <w:sz w:val="21"/>
                <w:szCs w:val="21"/>
                <w:color w:val="auto"/>
              </w:rPr>
            </w:pPr>
          </w:p>
        </w:tc>
      </w:tr>
      <w:tr>
        <w:trPr>
          <w:trHeight w:val="243"/>
        </w:trPr>
        <w:tc>
          <w:tcPr>
            <w:tcW w:w="3080" w:type="dxa"/>
            <w:vAlign w:val="bottom"/>
            <w:shd w:val="clear" w:color="auto" w:fill="CFF0FC"/>
          </w:tcPr>
          <w:p>
            <w:pPr>
              <w:spacing w:after="0"/>
              <w:rPr>
                <w:sz w:val="20"/>
                <w:szCs w:val="20"/>
                <w:color w:val="auto"/>
              </w:rPr>
            </w:pPr>
            <w:r>
              <w:rPr>
                <w:rFonts w:ascii="Arial" w:cs="Arial" w:eastAsia="Arial" w:hAnsi="Arial"/>
                <w:sz w:val="18"/>
                <w:szCs w:val="18"/>
                <w:color w:val="auto"/>
              </w:rPr>
              <w:t>Pharvaris GmbH</w:t>
            </w:r>
          </w:p>
        </w:tc>
        <w:tc>
          <w:tcPr>
            <w:tcW w:w="2040" w:type="dxa"/>
            <w:vAlign w:val="bottom"/>
            <w:gridSpan w:val="3"/>
            <w:shd w:val="clear" w:color="auto" w:fill="CFF0FC"/>
          </w:tcPr>
          <w:p>
            <w:pPr>
              <w:ind w:left="180"/>
              <w:spacing w:after="0"/>
              <w:rPr>
                <w:sz w:val="20"/>
                <w:szCs w:val="20"/>
                <w:color w:val="auto"/>
              </w:rPr>
            </w:pPr>
            <w:r>
              <w:rPr>
                <w:rFonts w:ascii="Arial" w:cs="Arial" w:eastAsia="Arial" w:hAnsi="Arial"/>
                <w:sz w:val="18"/>
                <w:szCs w:val="18"/>
                <w:color w:val="auto"/>
              </w:rPr>
              <w:t>Zug</w:t>
            </w:r>
          </w:p>
        </w:tc>
        <w:tc>
          <w:tcPr>
            <w:tcW w:w="26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Switzerland</w:t>
            </w:r>
          </w:p>
        </w:tc>
        <w:tc>
          <w:tcPr>
            <w:tcW w:w="1180" w:type="dxa"/>
            <w:vAlign w:val="bottom"/>
            <w:shd w:val="clear" w:color="auto" w:fill="CFF0FC"/>
          </w:tcPr>
          <w:p>
            <w:pPr>
              <w:jc w:val="center"/>
              <w:ind w:left="270"/>
              <w:spacing w:after="0"/>
              <w:rPr>
                <w:sz w:val="20"/>
                <w:szCs w:val="20"/>
                <w:color w:val="auto"/>
              </w:rPr>
            </w:pPr>
            <w:r>
              <w:rPr>
                <w:rFonts w:ascii="Arial" w:cs="Arial" w:eastAsia="Arial" w:hAnsi="Arial"/>
                <w:sz w:val="18"/>
                <w:szCs w:val="18"/>
                <w:color w:val="auto"/>
                <w:w w:val="91"/>
              </w:rPr>
              <w:t>100%</w:t>
            </w:r>
          </w:p>
        </w:tc>
        <w:tc>
          <w:tcPr>
            <w:tcW w:w="2240" w:type="dxa"/>
            <w:vAlign w:val="bottom"/>
            <w:gridSpan w:val="3"/>
            <w:shd w:val="clear" w:color="auto" w:fill="CFF0FC"/>
          </w:tcPr>
          <w:p>
            <w:pPr>
              <w:jc w:val="center"/>
              <w:ind w:left="550"/>
              <w:spacing w:after="0"/>
              <w:rPr>
                <w:sz w:val="20"/>
                <w:szCs w:val="20"/>
                <w:color w:val="auto"/>
              </w:rPr>
            </w:pPr>
            <w:r>
              <w:rPr>
                <w:rFonts w:ascii="Arial" w:cs="Arial" w:eastAsia="Arial" w:hAnsi="Arial"/>
                <w:sz w:val="18"/>
                <w:szCs w:val="18"/>
                <w:color w:val="auto"/>
                <w:w w:val="95"/>
              </w:rPr>
              <w:t>100%</w:t>
            </w:r>
          </w:p>
        </w:tc>
        <w:tc>
          <w:tcPr>
            <w:tcW w:w="100" w:type="dxa"/>
            <w:vAlign w:val="bottom"/>
            <w:shd w:val="clear" w:color="auto" w:fill="CFF0FC"/>
          </w:tcPr>
          <w:p>
            <w:pPr>
              <w:spacing w:after="0"/>
              <w:rPr>
                <w:sz w:val="21"/>
                <w:szCs w:val="21"/>
                <w:color w:val="auto"/>
              </w:rPr>
            </w:pPr>
          </w:p>
        </w:tc>
      </w:tr>
      <w:tr>
        <w:trPr>
          <w:trHeight w:val="243"/>
        </w:trPr>
        <w:tc>
          <w:tcPr>
            <w:tcW w:w="3080" w:type="dxa"/>
            <w:vAlign w:val="bottom"/>
          </w:tcPr>
          <w:p>
            <w:pPr>
              <w:spacing w:after="0"/>
              <w:rPr>
                <w:sz w:val="20"/>
                <w:szCs w:val="20"/>
                <w:color w:val="auto"/>
              </w:rPr>
            </w:pPr>
            <w:r>
              <w:rPr>
                <w:rFonts w:ascii="Arial" w:cs="Arial" w:eastAsia="Arial" w:hAnsi="Arial"/>
                <w:sz w:val="18"/>
                <w:szCs w:val="18"/>
                <w:color w:val="auto"/>
              </w:rPr>
              <w:t>Pharvaris, Inc.</w:t>
            </w:r>
          </w:p>
        </w:tc>
        <w:tc>
          <w:tcPr>
            <w:tcW w:w="2040" w:type="dxa"/>
            <w:vAlign w:val="bottom"/>
            <w:gridSpan w:val="3"/>
          </w:tcPr>
          <w:p>
            <w:pPr>
              <w:ind w:left="180"/>
              <w:spacing w:after="0"/>
              <w:rPr>
                <w:sz w:val="20"/>
                <w:szCs w:val="20"/>
                <w:color w:val="auto"/>
              </w:rPr>
            </w:pPr>
            <w:r>
              <w:rPr>
                <w:rFonts w:ascii="Arial" w:cs="Arial" w:eastAsia="Arial" w:hAnsi="Arial"/>
                <w:sz w:val="18"/>
                <w:szCs w:val="18"/>
                <w:color w:val="auto"/>
              </w:rPr>
              <w:t>Delaware</w:t>
            </w:r>
          </w:p>
        </w:tc>
        <w:tc>
          <w:tcPr>
            <w:tcW w:w="2600" w:type="dxa"/>
            <w:vAlign w:val="bottom"/>
            <w:gridSpan w:val="2"/>
          </w:tcPr>
          <w:p>
            <w:pPr>
              <w:spacing w:after="0"/>
              <w:rPr>
                <w:sz w:val="20"/>
                <w:szCs w:val="20"/>
                <w:color w:val="auto"/>
              </w:rPr>
            </w:pPr>
            <w:r>
              <w:rPr>
                <w:rFonts w:ascii="Arial" w:cs="Arial" w:eastAsia="Arial" w:hAnsi="Arial"/>
                <w:sz w:val="18"/>
                <w:szCs w:val="18"/>
                <w:color w:val="auto"/>
              </w:rPr>
              <w:t>United States of America</w:t>
            </w:r>
          </w:p>
        </w:tc>
        <w:tc>
          <w:tcPr>
            <w:tcW w:w="1180" w:type="dxa"/>
            <w:vAlign w:val="bottom"/>
          </w:tcPr>
          <w:p>
            <w:pPr>
              <w:jc w:val="center"/>
              <w:ind w:left="270"/>
              <w:spacing w:after="0"/>
              <w:rPr>
                <w:sz w:val="20"/>
                <w:szCs w:val="20"/>
                <w:color w:val="auto"/>
              </w:rPr>
            </w:pPr>
            <w:r>
              <w:rPr>
                <w:rFonts w:ascii="Arial" w:cs="Arial" w:eastAsia="Arial" w:hAnsi="Arial"/>
                <w:sz w:val="18"/>
                <w:szCs w:val="18"/>
                <w:color w:val="auto"/>
                <w:w w:val="91"/>
              </w:rPr>
              <w:t>100%</w:t>
            </w:r>
          </w:p>
        </w:tc>
        <w:tc>
          <w:tcPr>
            <w:tcW w:w="2240" w:type="dxa"/>
            <w:vAlign w:val="bottom"/>
            <w:gridSpan w:val="3"/>
          </w:tcPr>
          <w:p>
            <w:pPr>
              <w:jc w:val="center"/>
              <w:ind w:left="550"/>
              <w:spacing w:after="0"/>
              <w:rPr>
                <w:sz w:val="20"/>
                <w:szCs w:val="20"/>
                <w:color w:val="auto"/>
              </w:rPr>
            </w:pPr>
            <w:r>
              <w:rPr>
                <w:rFonts w:ascii="Arial" w:cs="Arial" w:eastAsia="Arial" w:hAnsi="Arial"/>
                <w:sz w:val="18"/>
                <w:szCs w:val="18"/>
                <w:color w:val="auto"/>
                <w:w w:val="95"/>
              </w:rPr>
              <w:t>100%</w:t>
            </w:r>
          </w:p>
        </w:tc>
        <w:tc>
          <w:tcPr>
            <w:tcW w:w="100" w:type="dxa"/>
            <w:vAlign w:val="bottom"/>
          </w:tcPr>
          <w:p>
            <w:pPr>
              <w:spacing w:after="0"/>
              <w:rPr>
                <w:sz w:val="21"/>
                <w:szCs w:val="2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ultimate parent company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ultimate parent company of the Group is Pharvaris N.V., which is based in the Netherlands.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Major developments during the six months ended June 30, 2021</w:t>
      </w:r>
    </w:p>
    <w:p>
      <w:pPr>
        <w:spacing w:after="0" w:line="18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On May 1, 2021 Dr. R. Gaster resigned as member of the Board of Directors.</w:t>
      </w:r>
    </w:p>
    <w:p>
      <w:pPr>
        <w:spacing w:after="0" w:line="185" w:lineRule="exact"/>
        <w:rPr>
          <w:sz w:val="20"/>
          <w:szCs w:val="20"/>
          <w:color w:val="auto"/>
        </w:rPr>
      </w:pPr>
    </w:p>
    <w:p>
      <w:pPr>
        <w:ind w:right="520" w:firstLine="319"/>
        <w:spacing w:after="0" w:line="277" w:lineRule="auto"/>
        <w:rPr>
          <w:sz w:val="20"/>
          <w:szCs w:val="20"/>
          <w:color w:val="auto"/>
        </w:rPr>
      </w:pPr>
      <w:r>
        <w:rPr>
          <w:rFonts w:ascii="Arial" w:cs="Arial" w:eastAsia="Arial" w:hAnsi="Arial"/>
          <w:sz w:val="18"/>
          <w:szCs w:val="18"/>
          <w:color w:val="auto"/>
        </w:rPr>
        <w:t>On May 12, 2021, the Company announced the expansion of their leadership team through the appointment of Dr W. Souverijns, as Chief Community Engagement &amp; Commercial Officer.</w:t>
      </w:r>
    </w:p>
    <w:p>
      <w:pPr>
        <w:spacing w:after="0" w:line="143" w:lineRule="exact"/>
        <w:rPr>
          <w:sz w:val="20"/>
          <w:szCs w:val="20"/>
          <w:color w:val="auto"/>
        </w:rPr>
      </w:pPr>
    </w:p>
    <w:p>
      <w:pPr>
        <w:ind w:right="200" w:firstLine="319"/>
        <w:spacing w:after="0" w:line="277" w:lineRule="auto"/>
        <w:rPr>
          <w:sz w:val="20"/>
          <w:szCs w:val="20"/>
          <w:color w:val="auto"/>
        </w:rPr>
      </w:pPr>
      <w:r>
        <w:rPr>
          <w:rFonts w:ascii="Arial" w:cs="Arial" w:eastAsia="Arial" w:hAnsi="Arial"/>
          <w:sz w:val="18"/>
          <w:szCs w:val="18"/>
          <w:color w:val="auto"/>
        </w:rPr>
        <w:t>On June 29, 2021, the Company's general meeting of shareholders appointed Ms. Viviane Monges as Non-Executive Director and on June 30, 2021 the Board of Directors elected Ms. Monges as chair of the 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-293370</wp:posOffset>
            </wp:positionV>
            <wp:extent cx="7132320" cy="2743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28" w:name="page29"/>
    <w:bookmarkEnd w:id="28"/>
    <w:p>
      <w:pPr>
        <w:spacing w:after="0"/>
        <w:rPr>
          <w:sz w:val="20"/>
          <w:szCs w:val="20"/>
          <w:color w:val="auto"/>
        </w:rPr>
      </w:pPr>
      <w:r>
        <w:rPr>
          <w:rFonts w:ascii="Arial" w:cs="Arial" w:eastAsia="Arial" w:hAnsi="Arial"/>
          <w:sz w:val="22"/>
          <w:szCs w:val="22"/>
          <w:b w:val="1"/>
          <w:bCs w:val="1"/>
          <w:color w:val="auto"/>
        </w:rPr>
        <w:t>2. Summary of significant accounting policies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Basis of preparation</w:t>
      </w:r>
    </w:p>
    <w:p>
      <w:pPr>
        <w:spacing w:after="0" w:line="202"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unaudited condensed consolidated interim financial statements of the Group have been prepared in accordance with International Financial Reporting Standards (IFRS) as issued by the International Accounting Standards Board (IASB).</w:t>
      </w:r>
    </w:p>
    <w:p>
      <w:pPr>
        <w:spacing w:after="0" w:line="13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unaudited condensed consolidated interim financial statements have been prepared in accordance with IAS 34 Interim Financial Reporting and should be read in conjunction with the Group’s annual consolidated financial statements as at and for the year ended December 31, 2020 (“last annual financial statements”). These unaudited condensed consolidated interim financial statements do not include all the information required for a complete set financial statements prepared in accordance with IFRS as issued by the IASB. However, selected explanatory notes are included to explain events and transactions that are significant to an understanding of the changes in the Group’s financial position and performance since the last annual financial statements.</w:t>
      </w:r>
    </w:p>
    <w:p>
      <w:pPr>
        <w:spacing w:after="0" w:line="152"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The unaudited condensed consolidated interim financial statements have been prepared on a historical cost basis. Unless otherwise stated, the unaudited condensed consolidated interim financial statements are presented in euros and all values are rounded to the nearest EUR (€), except per share amounts.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 Going concern</w:t>
      </w:r>
    </w:p>
    <w:p>
      <w:pPr>
        <w:spacing w:after="0" w:line="189"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Pharvaris is a clinical-stage biopharmaceutical company focused on the development and commercialization of innovative therapies for rare diseases with significant unmet need, initially focused on angioedema and other bradykinin-mediated diseases. These therapies will need to go through clinical development trials to achieve regulatory approval for commercialization. Therefore, Pharvaris is incurring annual research and development and other operating costs and has no revenues to date (as is typical in the biotech industry for development stage and early commercial stage companies). As such, Pharvaris anticipates on-going negative operating cash flows for several years before the company has a product candidate ready for commercialization, if proven successful. This makes the Group dependent on external capital sources, debt capital and equity capital. The Group is currently fully financed by equity capital.</w:t>
      </w:r>
    </w:p>
    <w:p>
      <w:pPr>
        <w:spacing w:after="0" w:line="15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June 30, 2021 and December 31, 2020 the Group had cash of €224.3 million and €98.6 million, respectively. The Group incurred net losses of €21.2 million in the six months ended June 30, 2021 and €9.0 million in the same period in 2020 and negative operating cash flows of €22.1 million and €6.0 million in the six months ended June 30, 2021 and the six months ended June 30, 2020 respectively.</w:t>
      </w:r>
    </w:p>
    <w:p>
      <w:pPr>
        <w:spacing w:after="0" w:line="157" w:lineRule="exact"/>
        <w:rPr>
          <w:sz w:val="20"/>
          <w:szCs w:val="20"/>
          <w:color w:val="auto"/>
        </w:rPr>
      </w:pPr>
    </w:p>
    <w:p>
      <w:pPr>
        <w:ind w:right="160"/>
        <w:spacing w:after="0" w:line="275" w:lineRule="auto"/>
        <w:rPr>
          <w:sz w:val="20"/>
          <w:szCs w:val="20"/>
          <w:color w:val="auto"/>
        </w:rPr>
      </w:pPr>
      <w:r>
        <w:rPr>
          <w:rFonts w:ascii="Arial" w:cs="Arial" w:eastAsia="Arial" w:hAnsi="Arial"/>
          <w:sz w:val="17"/>
          <w:szCs w:val="17"/>
          <w:color w:val="auto"/>
        </w:rPr>
        <w:t>The Group does not expect positive operating cash flows in the foreseeable future and remains dependent on additional financings to fund its research and development expenses, general and administrative expenses and financing costs. However, the Group believes that the available cash balances are sufficient to execute the Group’s operating plan and strategies and to meet the anticipated working capital requirements and settle all expected liabilities for a period of at least twelve months after the signing date of these unaudited condensed consolidated interim financial statements. Accordingly, unaudited condensed consolidated interim financial statements have been prepared on a going concern basis.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Impact of COVID-19</w:t>
      </w:r>
    </w:p>
    <w:p>
      <w:pPr>
        <w:spacing w:after="0" w:line="23" w:lineRule="exact"/>
        <w:rPr>
          <w:sz w:val="20"/>
          <w:szCs w:val="20"/>
          <w:color w:val="auto"/>
        </w:rPr>
      </w:pPr>
    </w:p>
    <w:p>
      <w:pPr>
        <w:jc w:val="both"/>
        <w:ind w:right="600"/>
        <w:spacing w:after="0" w:line="255" w:lineRule="auto"/>
        <w:rPr>
          <w:sz w:val="20"/>
          <w:szCs w:val="20"/>
          <w:color w:val="auto"/>
        </w:rPr>
      </w:pPr>
      <w:r>
        <w:rPr>
          <w:rFonts w:ascii="Arial" w:cs="Arial" w:eastAsia="Arial" w:hAnsi="Arial"/>
          <w:sz w:val="18"/>
          <w:szCs w:val="18"/>
          <w:color w:val="auto"/>
        </w:rPr>
        <w:t>The outbreak of a novel strain of the coronavirus, specifically identified as “COVID-19”, has spread globally. COVID-19 is a virus causing potentially deadly respiratory tract infections and has impacted the global economy. In March 2020, the World Health Organization declared COVID-19 a pandemic.</w:t>
      </w:r>
    </w:p>
    <w:p>
      <w:pPr>
        <w:spacing w:after="0" w:line="149"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Group has taken appropriate measures to protect the safety of the employees and continuously monitors and evaluates the situation regarding COVID-19. The COVID-19 outbreak has delayed, and may continue to delay, enrollment in our clinical trials. The Group experienced an approximate two-month delay in starting the enrollment of our now completed Phase 1 multiple ascending dose study of PHA121 in healthy volunteers as a result of COVID-19.</w:t>
      </w:r>
    </w:p>
    <w:p>
      <w:pPr>
        <w:spacing w:after="0" w:line="20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679" w:right="379" w:bottom="1440" w:gutter="0" w:footer="0" w:header="0"/>
        </w:sectPr>
      </w:pPr>
    </w:p>
    <w:bookmarkStart w:id="29" w:name="page30"/>
    <w:bookmarkEnd w:id="29"/>
    <w:p>
      <w:pPr>
        <w:spacing w:after="0" w:line="255" w:lineRule="auto"/>
        <w:rPr>
          <w:sz w:val="20"/>
          <w:szCs w:val="20"/>
          <w:color w:val="auto"/>
        </w:rPr>
      </w:pPr>
      <w:r>
        <w:rPr>
          <w:rFonts w:ascii="Arial" w:cs="Arial" w:eastAsia="Arial" w:hAnsi="Arial"/>
          <w:sz w:val="18"/>
          <w:szCs w:val="18"/>
          <w:color w:val="auto"/>
        </w:rPr>
        <w:t>The spread of an infectious disease, including COVID-19, may also result in the inability of our suppliers to deliver components or raw materials, and the inability of our CDMOs to provide supplies of our product candidates for our planned clinical trials, on a timely basis or at all. Further, it may impact the ability of our CROs, including non-clinical CROs, to provide services to support our clinical program. The extent to which the COVID-19 pandemic impacts our business will depend on future developments, which are uncertain and cannot be predicted, including new information which may emerge concerning the severity of the COVID-19 pandemic and the actions to contain COVID-19 or treat its impact, among others. If we are unable to meet our milestones it might jeopardize our funding opportunities.</w:t>
      </w:r>
    </w:p>
    <w:p>
      <w:pPr>
        <w:spacing w:after="0" w:line="165"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In addition, the COVID-19 pandemic has already caused, and is likely to result in further, significant disruptions and uncertainties in global financial markets, which may reduce our ability to access capital on favorable terms or at all. A recession, depression or other sustained adverse market event resulting from the spread of COVID-19 could also materially and adversely affect our business and the value of our ordinary shares.</w:t>
      </w:r>
    </w:p>
    <w:p>
      <w:pPr>
        <w:spacing w:after="0" w:line="125"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The Group continuously monitors the situation regarding COVID-19, and the possible impact on the CROs, contract manufacturing organizations and clinical sites performing research and development activities for the Group. All efforts are made to develop alternatives to limit the impact of COVID-19 going forward.</w:t>
      </w:r>
    </w:p>
    <w:p>
      <w:pPr>
        <w:spacing w:after="0" w:line="143"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 ultimate impact of the COVID-19 pandemic is uncertain and subject to change. Management does not expect that COVID-19 will have a material adverse effect on the financial condition or liquidity of the Company.</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 Use of judgements and estimates</w:t>
      </w:r>
    </w:p>
    <w:p>
      <w:pPr>
        <w:spacing w:after="0" w:line="189"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In preparing these unaudited condensed consolidated interim financial statements, management has made judgements and estimates that affect the application of accounting policies and the reported amounts of assets and liabilities, income and expense. Actual results may differ from these estimates.</w:t>
      </w:r>
    </w:p>
    <w:p>
      <w:pPr>
        <w:spacing w:after="0" w:line="143"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The significant judgements made by management in applying the Group’s accounting policies and the key sources of estimation uncertainty were the same as those described in the last annual financial statements, except for the share options granted, refer to note 18.</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2.4 Change in significant accounting policies</w:t>
      </w:r>
    </w:p>
    <w:p>
      <w:pPr>
        <w:spacing w:after="0" w:line="18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accounting policies applied in these unaudited condensed consolidated interim financial statements are the same as those applied in the consolidated financial statements as at and for the year ended December 31, 2020, except for:</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IFRS 16 Leases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Lease policies and disclosure are related to leases entered into in the second quarter of 2021.</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All leases are accounted for by recognizing a right-of-use asset and a lease liability except for:</w:t>
      </w:r>
    </w:p>
    <w:p>
      <w:pPr>
        <w:spacing w:after="0" w:line="23" w:lineRule="exact"/>
        <w:rPr>
          <w:sz w:val="20"/>
          <w:szCs w:val="20"/>
          <w:color w:val="auto"/>
        </w:rPr>
      </w:pPr>
    </w:p>
    <w:p>
      <w:pPr>
        <w:ind w:left="960" w:hanging="318"/>
        <w:spacing w:after="0"/>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leases of low value assets; and</w:t>
      </w:r>
    </w:p>
    <w:p>
      <w:pPr>
        <w:spacing w:after="0" w:line="35" w:lineRule="exact"/>
        <w:rPr>
          <w:rFonts w:ascii="Arial" w:cs="Arial" w:eastAsia="Arial" w:hAnsi="Arial"/>
          <w:sz w:val="18"/>
          <w:szCs w:val="18"/>
          <w:color w:val="auto"/>
        </w:rPr>
      </w:pPr>
    </w:p>
    <w:p>
      <w:pPr>
        <w:ind w:left="960" w:hanging="318"/>
        <w:spacing w:after="0"/>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leases with a duration of 12 months or less.</w:t>
      </w:r>
    </w:p>
    <w:p>
      <w:pPr>
        <w:spacing w:after="0" w:line="266" w:lineRule="exact"/>
        <w:rPr>
          <w:sz w:val="20"/>
          <w:szCs w:val="20"/>
          <w:color w:val="auto"/>
        </w:rPr>
      </w:pPr>
    </w:p>
    <w:p>
      <w:pPr>
        <w:ind w:right="220"/>
        <w:spacing w:after="0" w:line="266" w:lineRule="auto"/>
        <w:rPr>
          <w:sz w:val="20"/>
          <w:szCs w:val="20"/>
          <w:color w:val="auto"/>
        </w:rPr>
      </w:pPr>
      <w:r>
        <w:rPr>
          <w:rFonts w:ascii="Arial" w:cs="Arial" w:eastAsia="Arial" w:hAnsi="Arial"/>
          <w:sz w:val="18"/>
          <w:szCs w:val="18"/>
          <w:color w:val="auto"/>
        </w:rPr>
        <w:t>Lease liabilities are measured at the present value of the contractual payments due to the lessor over the lease term, with the Group’s incremental borrowing rate on commencement of the lease used.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On initial recognition, the carrying value of the lease liability also includes:</w:t>
      </w:r>
    </w:p>
    <w:p>
      <w:pPr>
        <w:spacing w:after="0" w:line="23" w:lineRule="exact"/>
        <w:rPr>
          <w:sz w:val="20"/>
          <w:szCs w:val="20"/>
          <w:color w:val="auto"/>
        </w:rPr>
      </w:pPr>
    </w:p>
    <w:p>
      <w:pPr>
        <w:ind w:left="960" w:right="380" w:hanging="318"/>
        <w:spacing w:after="0" w:line="260" w:lineRule="auto"/>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penalties payable for terminating the lease, if the term of the lease has been estimated on the basis of termination option being exercised.</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Right of use assets are initially measured at the amount of the lease liability, reduced for any lease incentives received, and increased for:</w:t>
      </w:r>
    </w:p>
    <w:p>
      <w:pPr>
        <w:spacing w:after="0" w:line="23" w:lineRule="exact"/>
        <w:rPr>
          <w:sz w:val="20"/>
          <w:szCs w:val="20"/>
          <w:color w:val="auto"/>
        </w:rPr>
      </w:pPr>
    </w:p>
    <w:p>
      <w:pPr>
        <w:ind w:left="960" w:hanging="318"/>
        <w:spacing w:after="0"/>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lease payments made at or before commencement of the lease;</w:t>
      </w:r>
    </w:p>
    <w:p>
      <w:pPr>
        <w:spacing w:after="0" w:line="35" w:lineRule="exact"/>
        <w:rPr>
          <w:rFonts w:ascii="Arial" w:cs="Arial" w:eastAsia="Arial" w:hAnsi="Arial"/>
          <w:sz w:val="18"/>
          <w:szCs w:val="18"/>
          <w:color w:val="auto"/>
        </w:rPr>
      </w:pPr>
    </w:p>
    <w:p>
      <w:pPr>
        <w:ind w:left="960" w:hanging="318"/>
        <w:spacing w:after="0"/>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initial direct costs incurred; and</w:t>
      </w:r>
    </w:p>
    <w:p>
      <w:pPr>
        <w:spacing w:after="0" w:line="2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638" w:right="399" w:bottom="1440" w:gutter="0" w:footer="0" w:header="0"/>
        </w:sectPr>
      </w:pPr>
    </w:p>
    <w:bookmarkStart w:id="30" w:name="page31"/>
    <w:bookmarkEnd w:id="30"/>
    <w:p>
      <w:pPr>
        <w:ind w:left="960" w:hanging="318"/>
        <w:spacing w:after="0"/>
        <w:tabs>
          <w:tab w:leader="none" w:pos="9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amount of any provision recognized where the Group is contractually required to dismantle, remove or restore the leased asset.</w:t>
      </w:r>
    </w:p>
    <w:p>
      <w:pPr>
        <w:spacing w:after="0" w:line="277" w:lineRule="exact"/>
        <w:rPr>
          <w:sz w:val="20"/>
          <w:szCs w:val="20"/>
          <w:color w:val="auto"/>
        </w:rPr>
      </w:pPr>
    </w:p>
    <w:p>
      <w:pPr>
        <w:ind w:right="540"/>
        <w:spacing w:after="0" w:line="324" w:lineRule="auto"/>
        <w:rPr>
          <w:sz w:val="20"/>
          <w:szCs w:val="20"/>
          <w:color w:val="auto"/>
        </w:rPr>
      </w:pPr>
      <w:r>
        <w:rPr>
          <w:rFonts w:ascii="Arial" w:cs="Arial" w:eastAsia="Arial" w:hAnsi="Arial"/>
          <w:sz w:val="17"/>
          <w:szCs w:val="17"/>
          <w:color w:val="auto"/>
        </w:rPr>
        <w:t>Subsequent to initial measurement lease liabilities increase as a result of interest charged at a constant rate on the balance outstanding and are reduced for lease payments made. Right-of-use assets are amortised on a straight-line basis over the remaining term of the lease.</w:t>
      </w:r>
    </w:p>
    <w:p>
      <w:pPr>
        <w:spacing w:after="0" w:line="161" w:lineRule="exact"/>
        <w:rPr>
          <w:sz w:val="20"/>
          <w:szCs w:val="20"/>
          <w:color w:val="auto"/>
        </w:rPr>
      </w:pPr>
    </w:p>
    <w:p>
      <w:pPr>
        <w:ind w:right="360"/>
        <w:spacing w:after="0" w:line="293" w:lineRule="auto"/>
        <w:rPr>
          <w:sz w:val="20"/>
          <w:szCs w:val="20"/>
          <w:color w:val="auto"/>
        </w:rPr>
      </w:pPr>
      <w:r>
        <w:rPr>
          <w:rFonts w:ascii="Arial" w:cs="Arial" w:eastAsia="Arial" w:hAnsi="Arial"/>
          <w:sz w:val="18"/>
          <w:szCs w:val="18"/>
          <w:color w:val="auto"/>
        </w:rPr>
        <w:t>When the Group revises its estimate of the term of any lease, it adjusts the carrying amount of the lease liability to reflect the payments to make over the revised term, which are discounted using a revised discount rate.</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Research and development expenses</w:t>
      </w: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40" w:type="dxa"/>
            <w:vAlign w:val="bottom"/>
          </w:tcPr>
          <w:p>
            <w:pPr>
              <w:spacing w:after="0"/>
              <w:rPr>
                <w:sz w:val="20"/>
                <w:szCs w:val="20"/>
                <w:color w:val="auto"/>
              </w:rPr>
            </w:pPr>
          </w:p>
        </w:tc>
        <w:tc>
          <w:tcPr>
            <w:tcW w:w="3060" w:type="dxa"/>
            <w:vAlign w:val="bottom"/>
            <w:gridSpan w:val="5"/>
          </w:tcPr>
          <w:p>
            <w:pPr>
              <w:ind w:left="60"/>
              <w:spacing w:after="0"/>
              <w:rPr>
                <w:sz w:val="20"/>
                <w:szCs w:val="20"/>
                <w:color w:val="auto"/>
              </w:rPr>
            </w:pPr>
            <w:r>
              <w:rPr>
                <w:rFonts w:ascii="Arial" w:cs="Arial" w:eastAsia="Arial" w:hAnsi="Arial"/>
                <w:sz w:val="18"/>
                <w:szCs w:val="18"/>
                <w:color w:val="auto"/>
              </w:rPr>
              <w:t>For the three months ended June 30</w:t>
            </w:r>
          </w:p>
        </w:tc>
        <w:tc>
          <w:tcPr>
            <w:tcW w:w="2940" w:type="dxa"/>
            <w:vAlign w:val="bottom"/>
            <w:gridSpan w:val="5"/>
          </w:tcPr>
          <w:p>
            <w:pPr>
              <w:jc w:val="right"/>
              <w:ind w:right="280"/>
              <w:spacing w:after="0"/>
              <w:rPr>
                <w:sz w:val="20"/>
                <w:szCs w:val="20"/>
                <w:color w:val="auto"/>
              </w:rPr>
            </w:pPr>
            <w:r>
              <w:rPr>
                <w:rFonts w:ascii="Arial" w:cs="Arial" w:eastAsia="Arial" w:hAnsi="Arial"/>
                <w:sz w:val="18"/>
                <w:szCs w:val="18"/>
                <w:color w:val="auto"/>
                <w:w w:val="96"/>
              </w:rPr>
              <w:t>For the six months ended June 30</w:t>
            </w:r>
          </w:p>
        </w:tc>
      </w:tr>
      <w:tr>
        <w:trPr>
          <w:trHeight w:val="250"/>
        </w:trPr>
        <w:tc>
          <w:tcPr>
            <w:tcW w:w="5240" w:type="dxa"/>
            <w:vAlign w:val="bottom"/>
          </w:tcPr>
          <w:p>
            <w:pPr>
              <w:spacing w:after="0"/>
              <w:rPr>
                <w:sz w:val="21"/>
                <w:szCs w:val="21"/>
                <w:color w:val="auto"/>
              </w:rPr>
            </w:pPr>
          </w:p>
        </w:tc>
        <w:tc>
          <w:tcPr>
            <w:tcW w:w="138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color w:val="auto"/>
              </w:rPr>
              <w:t>2021</w:t>
            </w:r>
          </w:p>
        </w:tc>
        <w:tc>
          <w:tcPr>
            <w:tcW w:w="26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rPr>
              <w:t>2021</w:t>
            </w:r>
          </w:p>
        </w:tc>
        <w:tc>
          <w:tcPr>
            <w:tcW w:w="120" w:type="dxa"/>
            <w:vAlign w:val="bottom"/>
            <w:tcBorders>
              <w:top w:val="single" w:sz="8" w:color="auto"/>
              <w:bottom w:val="single" w:sz="8" w:color="auto"/>
            </w:tcBorders>
          </w:tcPr>
          <w:p>
            <w:pPr>
              <w:spacing w:after="0"/>
              <w:rPr>
                <w:sz w:val="21"/>
                <w:szCs w:val="21"/>
                <w:color w:val="auto"/>
              </w:rPr>
            </w:pPr>
          </w:p>
        </w:tc>
        <w:tc>
          <w:tcPr>
            <w:tcW w:w="1520" w:type="dxa"/>
            <w:vAlign w:val="bottom"/>
            <w:tcBorders>
              <w:top w:val="single" w:sz="8" w:color="auto"/>
              <w:bottom w:val="single" w:sz="8" w:color="auto"/>
            </w:tcBorders>
            <w:gridSpan w:val="2"/>
          </w:tcPr>
          <w:p>
            <w:pPr>
              <w:jc w:val="right"/>
              <w:ind w:right="43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1"/>
                <w:szCs w:val="21"/>
                <w:color w:val="auto"/>
              </w:rPr>
            </w:pPr>
          </w:p>
        </w:tc>
      </w:tr>
      <w:tr>
        <w:trPr>
          <w:trHeight w:val="237"/>
        </w:trPr>
        <w:tc>
          <w:tcPr>
            <w:tcW w:w="5240" w:type="dxa"/>
            <w:vAlign w:val="bottom"/>
          </w:tcPr>
          <w:p>
            <w:pPr>
              <w:spacing w:after="0"/>
              <w:rPr>
                <w:sz w:val="20"/>
                <w:szCs w:val="20"/>
                <w:color w:val="auto"/>
              </w:rPr>
            </w:pP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gridSpan w:val="3"/>
          </w:tcPr>
          <w:p>
            <w:pPr>
              <w:jc w:val="right"/>
              <w:ind w:right="1500"/>
              <w:spacing w:after="0"/>
              <w:rPr>
                <w:sz w:val="20"/>
                <w:szCs w:val="20"/>
                <w:color w:val="auto"/>
              </w:rPr>
            </w:pPr>
            <w:r>
              <w:rPr>
                <w:rFonts w:ascii="Arial" w:cs="Arial" w:eastAsia="Arial" w:hAnsi="Arial"/>
                <w:sz w:val="18"/>
                <w:szCs w:val="18"/>
                <w:color w:val="auto"/>
              </w:rPr>
              <w:t>€</w:t>
            </w:r>
          </w:p>
        </w:tc>
      </w:tr>
      <w:tr>
        <w:trPr>
          <w:trHeight w:val="270"/>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Personnel expenses (Note 5)</w:t>
            </w:r>
          </w:p>
        </w:tc>
        <w:tc>
          <w:tcPr>
            <w:tcW w:w="16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(1,759,669)</w:t>
            </w: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(449,846)</w:t>
            </w:r>
          </w:p>
        </w:tc>
        <w:tc>
          <w:tcPr>
            <w:tcW w:w="160" w:type="dxa"/>
            <w:vAlign w:val="bottom"/>
            <w:shd w:val="clear" w:color="auto" w:fill="CFF0FC"/>
          </w:tcPr>
          <w:p>
            <w:pPr>
              <w:spacing w:after="0"/>
              <w:rPr>
                <w:sz w:val="23"/>
                <w:szCs w:val="23"/>
                <w:color w:val="auto"/>
              </w:rPr>
            </w:pPr>
          </w:p>
        </w:tc>
        <w:tc>
          <w:tcPr>
            <w:tcW w:w="13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(3,768,165)</w:t>
            </w:r>
          </w:p>
        </w:tc>
        <w:tc>
          <w:tcPr>
            <w:tcW w:w="164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(906,234)</w:t>
            </w:r>
          </w:p>
        </w:tc>
      </w:tr>
      <w:tr>
        <w:trPr>
          <w:trHeight w:val="256"/>
        </w:trPr>
        <w:tc>
          <w:tcPr>
            <w:tcW w:w="5240" w:type="dxa"/>
            <w:vAlign w:val="bottom"/>
          </w:tcPr>
          <w:p>
            <w:pPr>
              <w:spacing w:after="0"/>
              <w:rPr>
                <w:sz w:val="20"/>
                <w:szCs w:val="20"/>
                <w:color w:val="auto"/>
              </w:rPr>
            </w:pPr>
            <w:r>
              <w:rPr>
                <w:rFonts w:ascii="Arial" w:cs="Arial" w:eastAsia="Arial" w:hAnsi="Arial"/>
                <w:sz w:val="18"/>
                <w:szCs w:val="18"/>
                <w:color w:val="auto"/>
              </w:rPr>
              <w:t>Clinical expenses</w:t>
            </w: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(3,496,223)</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(1,517,962)</w:t>
            </w:r>
          </w:p>
        </w:tc>
        <w:tc>
          <w:tcPr>
            <w:tcW w:w="160" w:type="dxa"/>
            <w:vAlign w:val="bottom"/>
          </w:tcPr>
          <w:p>
            <w:pPr>
              <w:spacing w:after="0"/>
              <w:rPr>
                <w:sz w:val="22"/>
                <w:szCs w:val="22"/>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(6,761,928)</w:t>
            </w:r>
          </w:p>
        </w:tc>
        <w:tc>
          <w:tcPr>
            <w:tcW w:w="1640" w:type="dxa"/>
            <w:vAlign w:val="bottom"/>
            <w:gridSpan w:val="3"/>
          </w:tcPr>
          <w:p>
            <w:pPr>
              <w:jc w:val="right"/>
              <w:ind w:right="60"/>
              <w:spacing w:after="0"/>
              <w:rPr>
                <w:sz w:val="20"/>
                <w:szCs w:val="20"/>
                <w:color w:val="auto"/>
              </w:rPr>
            </w:pPr>
            <w:r>
              <w:rPr>
                <w:rFonts w:ascii="Arial" w:cs="Arial" w:eastAsia="Arial" w:hAnsi="Arial"/>
                <w:sz w:val="18"/>
                <w:szCs w:val="18"/>
                <w:color w:val="auto"/>
              </w:rPr>
              <w:t>(2,697,525)</w:t>
            </w:r>
          </w:p>
        </w:tc>
      </w:tr>
      <w:tr>
        <w:trPr>
          <w:trHeight w:val="270"/>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Non-clinical expenses</w:t>
            </w:r>
          </w:p>
        </w:tc>
        <w:tc>
          <w:tcPr>
            <w:tcW w:w="16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(1,181,660)</w:t>
            </w: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(789,610)</w:t>
            </w:r>
          </w:p>
        </w:tc>
        <w:tc>
          <w:tcPr>
            <w:tcW w:w="160" w:type="dxa"/>
            <w:vAlign w:val="bottom"/>
            <w:shd w:val="clear" w:color="auto" w:fill="CFF0FC"/>
          </w:tcPr>
          <w:p>
            <w:pPr>
              <w:spacing w:after="0"/>
              <w:rPr>
                <w:sz w:val="23"/>
                <w:szCs w:val="23"/>
                <w:color w:val="auto"/>
              </w:rPr>
            </w:pPr>
          </w:p>
        </w:tc>
        <w:tc>
          <w:tcPr>
            <w:tcW w:w="13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(2,143,713)</w:t>
            </w:r>
          </w:p>
        </w:tc>
        <w:tc>
          <w:tcPr>
            <w:tcW w:w="164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(1,144,499)</w:t>
            </w:r>
          </w:p>
        </w:tc>
      </w:tr>
      <w:tr>
        <w:trPr>
          <w:trHeight w:val="257"/>
        </w:trPr>
        <w:tc>
          <w:tcPr>
            <w:tcW w:w="5240" w:type="dxa"/>
            <w:vAlign w:val="bottom"/>
          </w:tcPr>
          <w:p>
            <w:pPr>
              <w:spacing w:after="0"/>
              <w:rPr>
                <w:sz w:val="20"/>
                <w:szCs w:val="20"/>
                <w:color w:val="auto"/>
              </w:rPr>
            </w:pPr>
            <w:r>
              <w:rPr>
                <w:rFonts w:ascii="Arial" w:cs="Arial" w:eastAsia="Arial" w:hAnsi="Arial"/>
                <w:sz w:val="18"/>
                <w:szCs w:val="18"/>
                <w:color w:val="auto"/>
              </w:rPr>
              <w:t>Manufacturing costs</w:t>
            </w: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(1,601,980)</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(1,495,580)</w:t>
            </w:r>
          </w:p>
        </w:tc>
        <w:tc>
          <w:tcPr>
            <w:tcW w:w="160" w:type="dxa"/>
            <w:vAlign w:val="bottom"/>
          </w:tcPr>
          <w:p>
            <w:pPr>
              <w:spacing w:after="0"/>
              <w:rPr>
                <w:sz w:val="22"/>
                <w:szCs w:val="22"/>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(2,920,172)</w:t>
            </w:r>
          </w:p>
        </w:tc>
        <w:tc>
          <w:tcPr>
            <w:tcW w:w="1640" w:type="dxa"/>
            <w:vAlign w:val="bottom"/>
            <w:gridSpan w:val="3"/>
          </w:tcPr>
          <w:p>
            <w:pPr>
              <w:jc w:val="right"/>
              <w:ind w:right="60"/>
              <w:spacing w:after="0"/>
              <w:rPr>
                <w:sz w:val="20"/>
                <w:szCs w:val="20"/>
                <w:color w:val="auto"/>
              </w:rPr>
            </w:pPr>
            <w:r>
              <w:rPr>
                <w:rFonts w:ascii="Arial" w:cs="Arial" w:eastAsia="Arial" w:hAnsi="Arial"/>
                <w:sz w:val="18"/>
                <w:szCs w:val="18"/>
                <w:color w:val="auto"/>
              </w:rPr>
              <w:t>(1,907,267)</w:t>
            </w:r>
          </w:p>
        </w:tc>
      </w:tr>
      <w:tr>
        <w:trPr>
          <w:trHeight w:val="270"/>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License costs</w:t>
            </w:r>
          </w:p>
        </w:tc>
        <w:tc>
          <w:tcPr>
            <w:tcW w:w="16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420" w:type="dxa"/>
            <w:vAlign w:val="bottom"/>
            <w:gridSpan w:val="3"/>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(500,000)</w:t>
            </w:r>
          </w:p>
        </w:tc>
        <w:tc>
          <w:tcPr>
            <w:tcW w:w="120" w:type="dxa"/>
            <w:vAlign w:val="bottom"/>
            <w:shd w:val="clear" w:color="auto" w:fill="CFF0FC"/>
          </w:tcPr>
          <w:p>
            <w:pPr>
              <w:spacing w:after="0"/>
              <w:rPr>
                <w:sz w:val="23"/>
                <w:szCs w:val="23"/>
                <w:color w:val="auto"/>
              </w:rPr>
            </w:pPr>
          </w:p>
        </w:tc>
        <w:tc>
          <w:tcPr>
            <w:tcW w:w="15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57"/>
        </w:trPr>
        <w:tc>
          <w:tcPr>
            <w:tcW w:w="5240" w:type="dxa"/>
            <w:vAlign w:val="bottom"/>
          </w:tcPr>
          <w:p>
            <w:pPr>
              <w:spacing w:after="0"/>
              <w:rPr>
                <w:sz w:val="20"/>
                <w:szCs w:val="20"/>
                <w:color w:val="auto"/>
              </w:rPr>
            </w:pPr>
            <w:r>
              <w:rPr>
                <w:rFonts w:ascii="Arial" w:cs="Arial" w:eastAsia="Arial" w:hAnsi="Arial"/>
                <w:sz w:val="18"/>
                <w:szCs w:val="18"/>
                <w:color w:val="auto"/>
              </w:rPr>
              <w:t>Intellectual Property costs</w:t>
            </w: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(21,067)</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(78,845)</w:t>
            </w:r>
          </w:p>
        </w:tc>
        <w:tc>
          <w:tcPr>
            <w:tcW w:w="160" w:type="dxa"/>
            <w:vAlign w:val="bottom"/>
          </w:tcPr>
          <w:p>
            <w:pPr>
              <w:spacing w:after="0"/>
              <w:rPr>
                <w:sz w:val="22"/>
                <w:szCs w:val="22"/>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(38,075)</w:t>
            </w:r>
          </w:p>
        </w:tc>
        <w:tc>
          <w:tcPr>
            <w:tcW w:w="1640" w:type="dxa"/>
            <w:vAlign w:val="bottom"/>
            <w:gridSpan w:val="3"/>
          </w:tcPr>
          <w:p>
            <w:pPr>
              <w:jc w:val="right"/>
              <w:ind w:right="60"/>
              <w:spacing w:after="0"/>
              <w:rPr>
                <w:sz w:val="20"/>
                <w:szCs w:val="20"/>
                <w:color w:val="auto"/>
              </w:rPr>
            </w:pPr>
            <w:r>
              <w:rPr>
                <w:rFonts w:ascii="Arial" w:cs="Arial" w:eastAsia="Arial" w:hAnsi="Arial"/>
                <w:sz w:val="18"/>
                <w:szCs w:val="18"/>
                <w:color w:val="auto"/>
              </w:rPr>
              <w:t>(79,720)</w:t>
            </w:r>
          </w:p>
        </w:tc>
      </w:tr>
      <w:tr>
        <w:trPr>
          <w:trHeight w:val="20"/>
        </w:trPr>
        <w:tc>
          <w:tcPr>
            <w:tcW w:w="524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7"/>
        </w:trPr>
        <w:tc>
          <w:tcPr>
            <w:tcW w:w="5240" w:type="dxa"/>
            <w:vAlign w:val="bottom"/>
          </w:tcPr>
          <w:p>
            <w:pPr>
              <w:spacing w:after="0"/>
              <w:rPr>
                <w:sz w:val="20"/>
                <w:szCs w:val="20"/>
                <w:color w:val="auto"/>
              </w:rPr>
            </w:pP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(8,060,599)</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(4,331,843)</w:t>
            </w:r>
          </w:p>
        </w:tc>
        <w:tc>
          <w:tcPr>
            <w:tcW w:w="160" w:type="dxa"/>
            <w:vAlign w:val="bottom"/>
          </w:tcPr>
          <w:p>
            <w:pPr>
              <w:spacing w:after="0"/>
              <w:rPr>
                <w:sz w:val="20"/>
                <w:szCs w:val="20"/>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(16,132,053)</w:t>
            </w:r>
          </w:p>
        </w:tc>
        <w:tc>
          <w:tcPr>
            <w:tcW w:w="1640" w:type="dxa"/>
            <w:vAlign w:val="bottom"/>
            <w:gridSpan w:val="3"/>
          </w:tcPr>
          <w:p>
            <w:pPr>
              <w:jc w:val="right"/>
              <w:ind w:right="60"/>
              <w:spacing w:after="0"/>
              <w:rPr>
                <w:sz w:val="20"/>
                <w:szCs w:val="20"/>
                <w:color w:val="auto"/>
              </w:rPr>
            </w:pPr>
            <w:r>
              <w:rPr>
                <w:rFonts w:ascii="Arial" w:cs="Arial" w:eastAsia="Arial" w:hAnsi="Arial"/>
                <w:sz w:val="18"/>
                <w:szCs w:val="18"/>
                <w:color w:val="auto"/>
              </w:rPr>
              <w:t>(6,735,245)</w:t>
            </w:r>
          </w:p>
        </w:tc>
      </w:tr>
      <w:tr>
        <w:trPr>
          <w:trHeight w:val="20"/>
        </w:trPr>
        <w:tc>
          <w:tcPr>
            <w:tcW w:w="524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Development expenses are currently not capitalized but are recorded in the unaudited condensed consolidated statements of profit or loss and other comprehensive income because the recognition criteria for capitalization are not met.</w:t>
      </w:r>
    </w:p>
    <w:p>
      <w:pPr>
        <w:spacing w:after="0" w:line="13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Clinical expenses include costs of conducting and managing our sponsored clinical trials, including clinical investigator cost, costs of clinical sites, and costs for CRO’s assisting with our clinical development programs.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Non-clinical expenses include costs of our outsourced discovery, medicinal chemistry, preclinical and nonclinical development studies.</w:t>
      </w:r>
    </w:p>
    <w:p>
      <w:pPr>
        <w:spacing w:after="0" w:line="239" w:lineRule="exact"/>
        <w:rPr>
          <w:sz w:val="20"/>
          <w:szCs w:val="20"/>
          <w:color w:val="auto"/>
        </w:rPr>
      </w:pPr>
    </w:p>
    <w:p>
      <w:pPr>
        <w:ind w:right="140"/>
        <w:spacing w:after="0" w:line="293" w:lineRule="auto"/>
        <w:rPr>
          <w:sz w:val="20"/>
          <w:szCs w:val="20"/>
          <w:color w:val="auto"/>
        </w:rPr>
      </w:pPr>
      <w:r>
        <w:rPr>
          <w:rFonts w:ascii="Arial" w:cs="Arial" w:eastAsia="Arial" w:hAnsi="Arial"/>
          <w:sz w:val="18"/>
          <w:szCs w:val="18"/>
          <w:color w:val="auto"/>
        </w:rPr>
        <w:t>Manufacturing expenses include costs related to manufacturing of active pharmaceutical ingredients and manufacturing of the products used in our clinical trials and research and development activities.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License costs consist of a milestone payment of €500,000 which was paid to AnalytiCon upon commencement of Phase 2 development.</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34"/>
        </w:trPr>
        <w:tc>
          <w:tcPr>
            <w:tcW w:w="5300" w:type="dxa"/>
            <w:vAlign w:val="bottom"/>
          </w:tcPr>
          <w:p>
            <w:pPr>
              <w:spacing w:after="0"/>
              <w:rPr>
                <w:sz w:val="20"/>
                <w:szCs w:val="20"/>
                <w:color w:val="auto"/>
              </w:rPr>
            </w:pPr>
            <w:r>
              <w:rPr>
                <w:rFonts w:ascii="Arial" w:cs="Arial" w:eastAsia="Arial" w:hAnsi="Arial"/>
                <w:sz w:val="18"/>
                <w:szCs w:val="18"/>
                <w:b w:val="1"/>
                <w:bCs w:val="1"/>
                <w:color w:val="auto"/>
              </w:rPr>
              <w:t>4. General and administrative expenses</w:t>
            </w:r>
          </w:p>
        </w:tc>
        <w:tc>
          <w:tcPr>
            <w:tcW w:w="1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59"/>
        </w:trPr>
        <w:tc>
          <w:tcPr>
            <w:tcW w:w="5300" w:type="dxa"/>
            <w:vAlign w:val="bottom"/>
          </w:tcPr>
          <w:p>
            <w:pPr>
              <w:spacing w:after="0"/>
              <w:rPr>
                <w:sz w:val="24"/>
                <w:szCs w:val="24"/>
                <w:color w:val="auto"/>
              </w:rPr>
            </w:pPr>
          </w:p>
        </w:tc>
        <w:tc>
          <w:tcPr>
            <w:tcW w:w="3020" w:type="dxa"/>
            <w:vAlign w:val="bottom"/>
            <w:gridSpan w:val="5"/>
          </w:tcPr>
          <w:p>
            <w:pPr>
              <w:jc w:val="center"/>
              <w:ind w:right="260"/>
              <w:spacing w:after="0"/>
              <w:rPr>
                <w:sz w:val="20"/>
                <w:szCs w:val="20"/>
                <w:color w:val="auto"/>
              </w:rPr>
            </w:pPr>
            <w:r>
              <w:rPr>
                <w:rFonts w:ascii="Arial" w:cs="Arial" w:eastAsia="Arial" w:hAnsi="Arial"/>
                <w:sz w:val="18"/>
                <w:szCs w:val="18"/>
                <w:color w:val="auto"/>
                <w:w w:val="92"/>
              </w:rPr>
              <w:t>For the three months ended June 30</w:t>
            </w:r>
          </w:p>
        </w:tc>
        <w:tc>
          <w:tcPr>
            <w:tcW w:w="2920" w:type="dxa"/>
            <w:vAlign w:val="bottom"/>
            <w:gridSpan w:val="5"/>
          </w:tcPr>
          <w:p>
            <w:pPr>
              <w:jc w:val="right"/>
              <w:ind w:right="260"/>
              <w:spacing w:after="0"/>
              <w:rPr>
                <w:sz w:val="20"/>
                <w:szCs w:val="20"/>
                <w:color w:val="auto"/>
              </w:rPr>
            </w:pPr>
            <w:r>
              <w:rPr>
                <w:rFonts w:ascii="Arial" w:cs="Arial" w:eastAsia="Arial" w:hAnsi="Arial"/>
                <w:sz w:val="18"/>
                <w:szCs w:val="18"/>
                <w:color w:val="auto"/>
                <w:w w:val="96"/>
              </w:rPr>
              <w:t>For the six months ended June 30</w:t>
            </w:r>
          </w:p>
        </w:tc>
      </w:tr>
      <w:tr>
        <w:trPr>
          <w:trHeight w:val="237"/>
        </w:trPr>
        <w:tc>
          <w:tcPr>
            <w:tcW w:w="5300" w:type="dxa"/>
            <w:vAlign w:val="bottom"/>
          </w:tcPr>
          <w:p>
            <w:pPr>
              <w:spacing w:after="0"/>
              <w:rPr>
                <w:sz w:val="20"/>
                <w:szCs w:val="20"/>
                <w:color w:val="auto"/>
              </w:rPr>
            </w:pPr>
          </w:p>
        </w:tc>
        <w:tc>
          <w:tcPr>
            <w:tcW w:w="13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rPr>
              <w:t>2021</w:t>
            </w:r>
          </w:p>
        </w:tc>
        <w:tc>
          <w:tcPr>
            <w:tcW w:w="1400" w:type="dxa"/>
            <w:vAlign w:val="bottom"/>
            <w:tcBorders>
              <w:top w:val="single" w:sz="8" w:color="auto"/>
              <w:bottom w:val="single" w:sz="8" w:color="auto"/>
            </w:tcBorders>
            <w:gridSpan w:val="2"/>
          </w:tcPr>
          <w:p>
            <w:pPr>
              <w:jc w:val="right"/>
              <w:ind w:right="35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rPr>
              <w:t>2021</w:t>
            </w:r>
          </w:p>
        </w:tc>
        <w:tc>
          <w:tcPr>
            <w:tcW w:w="60" w:type="dxa"/>
            <w:vAlign w:val="bottom"/>
            <w:tcBorders>
              <w:top w:val="single" w:sz="8" w:color="auto"/>
              <w:bottom w:val="single" w:sz="8" w:color="auto"/>
            </w:tcBorders>
          </w:tcPr>
          <w:p>
            <w:pPr>
              <w:spacing w:after="0"/>
              <w:rPr>
                <w:sz w:val="20"/>
                <w:szCs w:val="20"/>
                <w:color w:val="auto"/>
              </w:rPr>
            </w:pPr>
          </w:p>
        </w:tc>
        <w:tc>
          <w:tcPr>
            <w:tcW w:w="1460" w:type="dxa"/>
            <w:vAlign w:val="bottom"/>
            <w:tcBorders>
              <w:top w:val="single" w:sz="8" w:color="auto"/>
              <w:bottom w:val="single" w:sz="8" w:color="auto"/>
            </w:tcBorders>
            <w:gridSpan w:val="2"/>
          </w:tcPr>
          <w:p>
            <w:pPr>
              <w:jc w:val="right"/>
              <w:ind w:right="46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0"/>
                <w:szCs w:val="20"/>
                <w:color w:val="auto"/>
              </w:rPr>
            </w:pPr>
          </w:p>
        </w:tc>
      </w:tr>
      <w:tr>
        <w:trPr>
          <w:trHeight w:val="236"/>
        </w:trPr>
        <w:tc>
          <w:tcPr>
            <w:tcW w:w="53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660" w:type="dxa"/>
            <w:vAlign w:val="bottom"/>
            <w:gridSpan w:val="4"/>
          </w:tcPr>
          <w:p>
            <w:pPr>
              <w:jc w:val="center"/>
              <w:ind w:right="1600"/>
              <w:spacing w:after="0"/>
              <w:rPr>
                <w:sz w:val="20"/>
                <w:szCs w:val="20"/>
                <w:color w:val="auto"/>
              </w:rPr>
            </w:pPr>
            <w:r>
              <w:rPr>
                <w:rFonts w:ascii="Arial" w:cs="Arial" w:eastAsia="Arial" w:hAnsi="Arial"/>
                <w:sz w:val="15"/>
                <w:szCs w:val="15"/>
                <w:color w:val="auto"/>
                <w:w w:val="71"/>
              </w:rPr>
              <w:t>€</w:t>
            </w:r>
          </w:p>
        </w:tc>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80" w:type="dxa"/>
            <w:vAlign w:val="bottom"/>
            <w:gridSpan w:val="3"/>
          </w:tcPr>
          <w:p>
            <w:pPr>
              <w:jc w:val="right"/>
              <w:ind w:right="1480"/>
              <w:spacing w:after="0"/>
              <w:rPr>
                <w:sz w:val="20"/>
                <w:szCs w:val="20"/>
                <w:color w:val="auto"/>
              </w:rPr>
            </w:pPr>
            <w:r>
              <w:rPr>
                <w:rFonts w:ascii="Arial" w:cs="Arial" w:eastAsia="Arial" w:hAnsi="Arial"/>
                <w:sz w:val="18"/>
                <w:szCs w:val="18"/>
                <w:color w:val="auto"/>
                <w:w w:val="79"/>
              </w:rPr>
              <w:t>€</w:t>
            </w:r>
          </w:p>
        </w:tc>
      </w:tr>
      <w:tr>
        <w:trPr>
          <w:trHeight w:val="243"/>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Personnel expenses (Note 5)</w:t>
            </w:r>
          </w:p>
        </w:tc>
        <w:tc>
          <w:tcPr>
            <w:tcW w:w="13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(1,795,721)</w:t>
            </w:r>
          </w:p>
        </w:tc>
        <w:tc>
          <w:tcPr>
            <w:tcW w:w="152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(453,479)</w:t>
            </w:r>
          </w:p>
        </w:tc>
        <w:tc>
          <w:tcPr>
            <w:tcW w:w="14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(3,036,786)</w:t>
            </w:r>
          </w:p>
        </w:tc>
        <w:tc>
          <w:tcPr>
            <w:tcW w:w="158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(611,927)</w:t>
            </w:r>
          </w:p>
        </w:tc>
      </w:tr>
      <w:tr>
        <w:trPr>
          <w:trHeight w:val="243"/>
        </w:trPr>
        <w:tc>
          <w:tcPr>
            <w:tcW w:w="5300" w:type="dxa"/>
            <w:vAlign w:val="bottom"/>
          </w:tcPr>
          <w:p>
            <w:pPr>
              <w:spacing w:after="0"/>
              <w:rPr>
                <w:sz w:val="20"/>
                <w:szCs w:val="20"/>
                <w:color w:val="auto"/>
              </w:rPr>
            </w:pPr>
            <w:r>
              <w:rPr>
                <w:rFonts w:ascii="Arial" w:cs="Arial" w:eastAsia="Arial" w:hAnsi="Arial"/>
                <w:sz w:val="18"/>
                <w:szCs w:val="18"/>
                <w:color w:val="auto"/>
              </w:rPr>
              <w:t>Consulting fees</w:t>
            </w:r>
          </w:p>
        </w:tc>
        <w:tc>
          <w:tcPr>
            <w:tcW w:w="1360" w:type="dxa"/>
            <w:vAlign w:val="bottom"/>
          </w:tcPr>
          <w:p>
            <w:pPr>
              <w:jc w:val="right"/>
              <w:spacing w:after="0"/>
              <w:rPr>
                <w:sz w:val="20"/>
                <w:szCs w:val="20"/>
                <w:color w:val="auto"/>
              </w:rPr>
            </w:pPr>
            <w:r>
              <w:rPr>
                <w:rFonts w:ascii="Arial" w:cs="Arial" w:eastAsia="Arial" w:hAnsi="Arial"/>
                <w:sz w:val="18"/>
                <w:szCs w:val="18"/>
                <w:color w:val="auto"/>
              </w:rPr>
              <w:t>(161,559)</w:t>
            </w:r>
          </w:p>
        </w:tc>
        <w:tc>
          <w:tcPr>
            <w:tcW w:w="1520" w:type="dxa"/>
            <w:vAlign w:val="bottom"/>
            <w:gridSpan w:val="3"/>
          </w:tcPr>
          <w:p>
            <w:pPr>
              <w:jc w:val="right"/>
              <w:ind w:right="60"/>
              <w:spacing w:after="0"/>
              <w:rPr>
                <w:sz w:val="20"/>
                <w:szCs w:val="20"/>
                <w:color w:val="auto"/>
              </w:rPr>
            </w:pPr>
            <w:r>
              <w:rPr>
                <w:rFonts w:ascii="Arial" w:cs="Arial" w:eastAsia="Arial" w:hAnsi="Arial"/>
                <w:sz w:val="18"/>
                <w:szCs w:val="18"/>
                <w:color w:val="auto"/>
              </w:rPr>
              <w:t>(221,307)</w:t>
            </w:r>
          </w:p>
        </w:tc>
        <w:tc>
          <w:tcPr>
            <w:tcW w:w="140" w:type="dxa"/>
            <w:vAlign w:val="bottom"/>
          </w:tcPr>
          <w:p>
            <w:pPr>
              <w:spacing w:after="0"/>
              <w:rPr>
                <w:sz w:val="21"/>
                <w:szCs w:val="21"/>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(390,872)</w:t>
            </w:r>
          </w:p>
        </w:tc>
        <w:tc>
          <w:tcPr>
            <w:tcW w:w="1580" w:type="dxa"/>
            <w:vAlign w:val="bottom"/>
            <w:gridSpan w:val="3"/>
          </w:tcPr>
          <w:p>
            <w:pPr>
              <w:jc w:val="right"/>
              <w:ind w:right="60"/>
              <w:spacing w:after="0"/>
              <w:rPr>
                <w:sz w:val="20"/>
                <w:szCs w:val="20"/>
                <w:color w:val="auto"/>
              </w:rPr>
            </w:pPr>
            <w:r>
              <w:rPr>
                <w:rFonts w:ascii="Arial" w:cs="Arial" w:eastAsia="Arial" w:hAnsi="Arial"/>
                <w:sz w:val="18"/>
                <w:szCs w:val="18"/>
                <w:color w:val="auto"/>
              </w:rPr>
              <w:t>(478,700)</w:t>
            </w:r>
          </w:p>
        </w:tc>
      </w:tr>
      <w:tr>
        <w:trPr>
          <w:trHeight w:val="243"/>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Professional fees</w:t>
            </w:r>
          </w:p>
        </w:tc>
        <w:tc>
          <w:tcPr>
            <w:tcW w:w="13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(324,793)</w:t>
            </w:r>
          </w:p>
        </w:tc>
        <w:tc>
          <w:tcPr>
            <w:tcW w:w="152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(249,065)</w:t>
            </w:r>
          </w:p>
        </w:tc>
        <w:tc>
          <w:tcPr>
            <w:tcW w:w="14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(1,132,706)</w:t>
            </w:r>
          </w:p>
        </w:tc>
        <w:tc>
          <w:tcPr>
            <w:tcW w:w="158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(379,183)</w:t>
            </w:r>
          </w:p>
        </w:tc>
      </w:tr>
      <w:tr>
        <w:trPr>
          <w:trHeight w:val="243"/>
        </w:trPr>
        <w:tc>
          <w:tcPr>
            <w:tcW w:w="5300" w:type="dxa"/>
            <w:vAlign w:val="bottom"/>
          </w:tcPr>
          <w:p>
            <w:pPr>
              <w:spacing w:after="0"/>
              <w:rPr>
                <w:sz w:val="20"/>
                <w:szCs w:val="20"/>
                <w:color w:val="auto"/>
              </w:rPr>
            </w:pPr>
            <w:r>
              <w:rPr>
                <w:rFonts w:ascii="Arial" w:cs="Arial" w:eastAsia="Arial" w:hAnsi="Arial"/>
                <w:sz w:val="18"/>
                <w:szCs w:val="18"/>
                <w:color w:val="auto"/>
              </w:rPr>
              <w:t>Accounting, tax and auditing fees</w:t>
            </w:r>
          </w:p>
        </w:tc>
        <w:tc>
          <w:tcPr>
            <w:tcW w:w="1360" w:type="dxa"/>
            <w:vAlign w:val="bottom"/>
          </w:tcPr>
          <w:p>
            <w:pPr>
              <w:jc w:val="right"/>
              <w:spacing w:after="0"/>
              <w:rPr>
                <w:sz w:val="20"/>
                <w:szCs w:val="20"/>
                <w:color w:val="auto"/>
              </w:rPr>
            </w:pPr>
            <w:r>
              <w:rPr>
                <w:rFonts w:ascii="Arial" w:cs="Arial" w:eastAsia="Arial" w:hAnsi="Arial"/>
                <w:sz w:val="18"/>
                <w:szCs w:val="18"/>
                <w:color w:val="auto"/>
              </w:rPr>
              <w:t>(648,626)</w:t>
            </w:r>
          </w:p>
        </w:tc>
        <w:tc>
          <w:tcPr>
            <w:tcW w:w="1520" w:type="dxa"/>
            <w:vAlign w:val="bottom"/>
            <w:gridSpan w:val="3"/>
          </w:tcPr>
          <w:p>
            <w:pPr>
              <w:jc w:val="right"/>
              <w:ind w:right="60"/>
              <w:spacing w:after="0"/>
              <w:rPr>
                <w:sz w:val="20"/>
                <w:szCs w:val="20"/>
                <w:color w:val="auto"/>
              </w:rPr>
            </w:pPr>
            <w:r>
              <w:rPr>
                <w:rFonts w:ascii="Arial" w:cs="Arial" w:eastAsia="Arial" w:hAnsi="Arial"/>
                <w:sz w:val="18"/>
                <w:szCs w:val="18"/>
                <w:color w:val="auto"/>
              </w:rPr>
              <w:t>(320,271)</w:t>
            </w:r>
          </w:p>
        </w:tc>
        <w:tc>
          <w:tcPr>
            <w:tcW w:w="140" w:type="dxa"/>
            <w:vAlign w:val="bottom"/>
          </w:tcPr>
          <w:p>
            <w:pPr>
              <w:spacing w:after="0"/>
              <w:rPr>
                <w:sz w:val="21"/>
                <w:szCs w:val="21"/>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(1,086,756)</w:t>
            </w:r>
          </w:p>
        </w:tc>
        <w:tc>
          <w:tcPr>
            <w:tcW w:w="1580" w:type="dxa"/>
            <w:vAlign w:val="bottom"/>
            <w:gridSpan w:val="3"/>
          </w:tcPr>
          <w:p>
            <w:pPr>
              <w:jc w:val="right"/>
              <w:ind w:right="60"/>
              <w:spacing w:after="0"/>
              <w:rPr>
                <w:sz w:val="20"/>
                <w:szCs w:val="20"/>
                <w:color w:val="auto"/>
              </w:rPr>
            </w:pPr>
            <w:r>
              <w:rPr>
                <w:rFonts w:ascii="Arial" w:cs="Arial" w:eastAsia="Arial" w:hAnsi="Arial"/>
                <w:sz w:val="18"/>
                <w:szCs w:val="18"/>
                <w:color w:val="auto"/>
              </w:rPr>
              <w:t>(403,599)</w:t>
            </w:r>
          </w:p>
        </w:tc>
      </w:tr>
      <w:tr>
        <w:trPr>
          <w:trHeight w:val="243"/>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Facilities, communication &amp; office expenses</w:t>
            </w:r>
          </w:p>
        </w:tc>
        <w:tc>
          <w:tcPr>
            <w:tcW w:w="13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(1,510,566)</w:t>
            </w:r>
          </w:p>
        </w:tc>
        <w:tc>
          <w:tcPr>
            <w:tcW w:w="152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(131,709)</w:t>
            </w:r>
          </w:p>
        </w:tc>
        <w:tc>
          <w:tcPr>
            <w:tcW w:w="14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(2,462,147)</w:t>
            </w:r>
          </w:p>
        </w:tc>
        <w:tc>
          <w:tcPr>
            <w:tcW w:w="158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(234,696)</w:t>
            </w:r>
          </w:p>
        </w:tc>
      </w:tr>
      <w:tr>
        <w:trPr>
          <w:trHeight w:val="243"/>
        </w:trPr>
        <w:tc>
          <w:tcPr>
            <w:tcW w:w="5300" w:type="dxa"/>
            <w:vAlign w:val="bottom"/>
          </w:tcPr>
          <w:p>
            <w:pPr>
              <w:spacing w:after="0"/>
              <w:rPr>
                <w:sz w:val="20"/>
                <w:szCs w:val="20"/>
                <w:color w:val="auto"/>
              </w:rPr>
            </w:pPr>
            <w:r>
              <w:rPr>
                <w:rFonts w:ascii="Arial" w:cs="Arial" w:eastAsia="Arial" w:hAnsi="Arial"/>
                <w:sz w:val="18"/>
                <w:szCs w:val="18"/>
                <w:color w:val="auto"/>
              </w:rPr>
              <w:t>Travel expenses</w:t>
            </w:r>
          </w:p>
        </w:tc>
        <w:tc>
          <w:tcPr>
            <w:tcW w:w="1360" w:type="dxa"/>
            <w:vAlign w:val="bottom"/>
          </w:tcPr>
          <w:p>
            <w:pPr>
              <w:jc w:val="right"/>
              <w:spacing w:after="0"/>
              <w:rPr>
                <w:sz w:val="20"/>
                <w:szCs w:val="20"/>
                <w:color w:val="auto"/>
              </w:rPr>
            </w:pPr>
            <w:r>
              <w:rPr>
                <w:rFonts w:ascii="Arial" w:cs="Arial" w:eastAsia="Arial" w:hAnsi="Arial"/>
                <w:sz w:val="18"/>
                <w:szCs w:val="18"/>
                <w:color w:val="auto"/>
              </w:rPr>
              <w:t>(2,563)</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742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(3,357)</w:t>
            </w:r>
          </w:p>
        </w:tc>
        <w:tc>
          <w:tcPr>
            <w:tcW w:w="1580" w:type="dxa"/>
            <w:vAlign w:val="bottom"/>
            <w:gridSpan w:val="3"/>
          </w:tcPr>
          <w:p>
            <w:pPr>
              <w:jc w:val="right"/>
              <w:ind w:right="60"/>
              <w:spacing w:after="0"/>
              <w:rPr>
                <w:sz w:val="20"/>
                <w:szCs w:val="20"/>
                <w:color w:val="auto"/>
              </w:rPr>
            </w:pPr>
            <w:r>
              <w:rPr>
                <w:rFonts w:ascii="Arial" w:cs="Arial" w:eastAsia="Arial" w:hAnsi="Arial"/>
                <w:sz w:val="18"/>
                <w:szCs w:val="18"/>
                <w:color w:val="auto"/>
              </w:rPr>
              <w:t>(22,044)</w:t>
            </w:r>
          </w:p>
        </w:tc>
      </w:tr>
      <w:tr>
        <w:trPr>
          <w:trHeight w:val="243"/>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Other expenses</w:t>
            </w:r>
          </w:p>
        </w:tc>
        <w:tc>
          <w:tcPr>
            <w:tcW w:w="13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(220,898)</w:t>
            </w:r>
          </w:p>
        </w:tc>
        <w:tc>
          <w:tcPr>
            <w:tcW w:w="16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(18,801)</w:t>
            </w:r>
          </w:p>
        </w:tc>
        <w:tc>
          <w:tcPr>
            <w:tcW w:w="14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(323,791)</w:t>
            </w:r>
          </w:p>
        </w:tc>
        <w:tc>
          <w:tcPr>
            <w:tcW w:w="158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(106,301)</w:t>
            </w:r>
          </w:p>
        </w:tc>
      </w:tr>
      <w:tr>
        <w:trPr>
          <w:trHeight w:val="20"/>
        </w:trPr>
        <w:tc>
          <w:tcPr>
            <w:tcW w:w="5300" w:type="dxa"/>
            <w:vAlign w:val="bottom"/>
          </w:tcPr>
          <w:p>
            <w:pPr>
              <w:spacing w:after="0" w:line="20" w:lineRule="exact"/>
              <w:rPr>
                <w:sz w:val="1"/>
                <w:szCs w:val="1"/>
                <w:color w:val="auto"/>
              </w:rPr>
            </w:pPr>
          </w:p>
        </w:tc>
        <w:tc>
          <w:tcPr>
            <w:tcW w:w="136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7"/>
        </w:trPr>
        <w:tc>
          <w:tcPr>
            <w:tcW w:w="53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(4,664,726)</w:t>
            </w:r>
          </w:p>
        </w:tc>
        <w:tc>
          <w:tcPr>
            <w:tcW w:w="160" w:type="dxa"/>
            <w:vAlign w:val="bottom"/>
          </w:tcPr>
          <w:p>
            <w:pPr>
              <w:spacing w:after="0"/>
              <w:rPr>
                <w:sz w:val="20"/>
                <w:szCs w:val="20"/>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(1,393,890)</w:t>
            </w:r>
          </w:p>
        </w:tc>
        <w:tc>
          <w:tcPr>
            <w:tcW w:w="140" w:type="dxa"/>
            <w:vAlign w:val="bottom"/>
          </w:tcPr>
          <w:p>
            <w:pPr>
              <w:spacing w:after="0"/>
              <w:rPr>
                <w:sz w:val="20"/>
                <w:szCs w:val="20"/>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(8,436,415)</w:t>
            </w:r>
          </w:p>
        </w:tc>
        <w:tc>
          <w:tcPr>
            <w:tcW w:w="1580" w:type="dxa"/>
            <w:vAlign w:val="bottom"/>
            <w:gridSpan w:val="3"/>
          </w:tcPr>
          <w:p>
            <w:pPr>
              <w:jc w:val="right"/>
              <w:ind w:right="60"/>
              <w:spacing w:after="0"/>
              <w:rPr>
                <w:sz w:val="20"/>
                <w:szCs w:val="20"/>
                <w:color w:val="auto"/>
              </w:rPr>
            </w:pPr>
            <w:r>
              <w:rPr>
                <w:rFonts w:ascii="Arial" w:cs="Arial" w:eastAsia="Arial" w:hAnsi="Arial"/>
                <w:sz w:val="18"/>
                <w:szCs w:val="18"/>
                <w:color w:val="auto"/>
              </w:rPr>
              <w:t>(2,236,450)</w:t>
            </w:r>
          </w:p>
        </w:tc>
      </w:tr>
      <w:tr>
        <w:trPr>
          <w:trHeight w:val="20"/>
        </w:trPr>
        <w:tc>
          <w:tcPr>
            <w:tcW w:w="530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In 2021 the Group entered into a number of lease arrangements, which were assessed to be short-term leases (with a lease term of 12 months equaling its non-cancellable period). The total outflow for the leases in the first six months of 2021 was €98,565 (2020: €66,914) and is included in the Facilities, communication &amp; office expenses line. The total outflow for the leases in the second quarter of 2021 amounts to €55,913 (2020: €29,792).</w:t>
      </w:r>
    </w:p>
    <w:p>
      <w:pPr>
        <w:spacing w:after="0" w:line="2"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Depreciation expense of €15,048 (2020: €2,663) related to property, plant and equipment and leases and is included in the other expenses line for the six months ended June 30, 2021. For the second quarter of 2021 a total of €11,987 (2020: €1,558) depreciation charge was included in Other expenses.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20" w:type="dxa"/>
            <w:vAlign w:val="bottom"/>
          </w:tcPr>
          <w:p>
            <w:pPr>
              <w:spacing w:after="0"/>
              <w:rPr>
                <w:sz w:val="20"/>
                <w:szCs w:val="20"/>
                <w:color w:val="auto"/>
              </w:rPr>
            </w:pPr>
            <w:r>
              <w:rPr>
                <w:rFonts w:ascii="Arial" w:cs="Arial" w:eastAsia="Arial" w:hAnsi="Arial"/>
                <w:sz w:val="18"/>
                <w:szCs w:val="18"/>
                <w:b w:val="1"/>
                <w:bCs w:val="1"/>
                <w:color w:val="auto"/>
              </w:rPr>
              <w:t>5. Personnel expenses</w:t>
            </w:r>
          </w:p>
        </w:tc>
        <w:tc>
          <w:tcPr>
            <w:tcW w:w="1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59"/>
        </w:trPr>
        <w:tc>
          <w:tcPr>
            <w:tcW w:w="4220" w:type="dxa"/>
            <w:vAlign w:val="bottom"/>
          </w:tcPr>
          <w:p>
            <w:pPr>
              <w:spacing w:after="0"/>
              <w:rPr>
                <w:sz w:val="24"/>
                <w:szCs w:val="24"/>
                <w:color w:val="auto"/>
              </w:rPr>
            </w:pPr>
          </w:p>
        </w:tc>
        <w:tc>
          <w:tcPr>
            <w:tcW w:w="3680" w:type="dxa"/>
            <w:vAlign w:val="bottom"/>
            <w:gridSpan w:val="5"/>
          </w:tcPr>
          <w:p>
            <w:pPr>
              <w:jc w:val="center"/>
              <w:ind w:right="260"/>
              <w:spacing w:after="0"/>
              <w:rPr>
                <w:sz w:val="20"/>
                <w:szCs w:val="20"/>
                <w:color w:val="auto"/>
              </w:rPr>
            </w:pPr>
            <w:r>
              <w:rPr>
                <w:rFonts w:ascii="Arial" w:cs="Arial" w:eastAsia="Arial" w:hAnsi="Arial"/>
                <w:sz w:val="18"/>
                <w:szCs w:val="18"/>
                <w:color w:val="auto"/>
                <w:w w:val="92"/>
              </w:rPr>
              <w:t>For the three months ended June 30</w:t>
            </w:r>
          </w:p>
        </w:tc>
        <w:tc>
          <w:tcPr>
            <w:tcW w:w="3340" w:type="dxa"/>
            <w:vAlign w:val="bottom"/>
            <w:gridSpan w:val="4"/>
          </w:tcPr>
          <w:p>
            <w:pPr>
              <w:jc w:val="center"/>
              <w:ind w:right="140"/>
              <w:spacing w:after="0"/>
              <w:rPr>
                <w:sz w:val="20"/>
                <w:szCs w:val="20"/>
                <w:color w:val="auto"/>
              </w:rPr>
            </w:pPr>
            <w:r>
              <w:rPr>
                <w:rFonts w:ascii="Arial" w:cs="Arial" w:eastAsia="Arial" w:hAnsi="Arial"/>
                <w:sz w:val="18"/>
                <w:szCs w:val="18"/>
                <w:color w:val="auto"/>
                <w:w w:val="92"/>
              </w:rPr>
              <w:t>For the six months ended June 30</w:t>
            </w:r>
          </w:p>
        </w:tc>
      </w:tr>
      <w:tr>
        <w:trPr>
          <w:trHeight w:val="236"/>
        </w:trPr>
        <w:tc>
          <w:tcPr>
            <w:tcW w:w="4220" w:type="dxa"/>
            <w:vAlign w:val="bottom"/>
          </w:tcPr>
          <w:p>
            <w:pPr>
              <w:spacing w:after="0"/>
              <w:rPr>
                <w:sz w:val="20"/>
                <w:szCs w:val="20"/>
                <w:color w:val="auto"/>
              </w:rPr>
            </w:pPr>
          </w:p>
        </w:tc>
        <w:tc>
          <w:tcPr>
            <w:tcW w:w="166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color w:val="auto"/>
              </w:rPr>
              <w:t>2021</w:t>
            </w:r>
          </w:p>
        </w:tc>
        <w:tc>
          <w:tcPr>
            <w:tcW w:w="1780" w:type="dxa"/>
            <w:vAlign w:val="bottom"/>
            <w:tcBorders>
              <w:top w:val="single" w:sz="8" w:color="auto"/>
              <w:bottom w:val="single" w:sz="8" w:color="auto"/>
            </w:tcBorders>
            <w:gridSpan w:val="2"/>
          </w:tcPr>
          <w:p>
            <w:pPr>
              <w:jc w:val="right"/>
              <w:ind w:right="53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700" w:type="dxa"/>
            <w:vAlign w:val="bottom"/>
            <w:tcBorders>
              <w:top w:val="single" w:sz="8" w:color="auto"/>
              <w:bottom w:val="single" w:sz="8" w:color="auto"/>
            </w:tcBorders>
          </w:tcPr>
          <w:p>
            <w:pPr>
              <w:jc w:val="right"/>
              <w:ind w:right="630"/>
              <w:spacing w:after="0"/>
              <w:rPr>
                <w:sz w:val="20"/>
                <w:szCs w:val="20"/>
                <w:color w:val="auto"/>
              </w:rPr>
            </w:pPr>
            <w:r>
              <w:rPr>
                <w:rFonts w:ascii="Arial" w:cs="Arial" w:eastAsia="Arial" w:hAnsi="Arial"/>
                <w:sz w:val="18"/>
                <w:szCs w:val="18"/>
                <w:color w:val="auto"/>
              </w:rPr>
              <w:t>2021</w:t>
            </w:r>
          </w:p>
        </w:tc>
        <w:tc>
          <w:tcPr>
            <w:tcW w:w="120" w:type="dxa"/>
            <w:vAlign w:val="bottom"/>
            <w:tcBorders>
              <w:top w:val="single" w:sz="8" w:color="auto"/>
              <w:bottom w:val="single" w:sz="8" w:color="auto"/>
            </w:tcBorders>
          </w:tcPr>
          <w:p>
            <w:pPr>
              <w:spacing w:after="0"/>
              <w:rPr>
                <w:sz w:val="20"/>
                <w:szCs w:val="20"/>
                <w:color w:val="auto"/>
              </w:rPr>
            </w:pPr>
          </w:p>
        </w:tc>
        <w:tc>
          <w:tcPr>
            <w:tcW w:w="140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0"/>
                <w:szCs w:val="20"/>
                <w:color w:val="auto"/>
              </w:rPr>
            </w:pPr>
          </w:p>
        </w:tc>
      </w:tr>
      <w:tr>
        <w:trPr>
          <w:trHeight w:val="237"/>
        </w:trPr>
        <w:tc>
          <w:tcPr>
            <w:tcW w:w="42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020" w:type="dxa"/>
            <w:vAlign w:val="bottom"/>
            <w:gridSpan w:val="4"/>
          </w:tcPr>
          <w:p>
            <w:pPr>
              <w:jc w:val="center"/>
              <w:ind w:right="1920"/>
              <w:spacing w:after="0"/>
              <w:rPr>
                <w:sz w:val="20"/>
                <w:szCs w:val="20"/>
                <w:color w:val="auto"/>
              </w:rPr>
            </w:pPr>
            <w:r>
              <w:rPr>
                <w:rFonts w:ascii="Arial" w:cs="Arial" w:eastAsia="Arial" w:hAnsi="Arial"/>
                <w:sz w:val="18"/>
                <w:szCs w:val="18"/>
                <w:color w:val="auto"/>
                <w:w w:val="99"/>
              </w:rPr>
              <w:t>€</w:t>
            </w:r>
          </w:p>
        </w:tc>
        <w:tc>
          <w:tcPr>
            <w:tcW w:w="1820" w:type="dxa"/>
            <w:vAlign w:val="bottom"/>
            <w:gridSpan w:val="2"/>
          </w:tcPr>
          <w:p>
            <w:pPr>
              <w:jc w:val="center"/>
              <w:ind w:left="1290"/>
              <w:spacing w:after="0"/>
              <w:rPr>
                <w:sz w:val="20"/>
                <w:szCs w:val="20"/>
                <w:color w:val="auto"/>
              </w:rPr>
            </w:pPr>
            <w:r>
              <w:rPr>
                <w:rFonts w:ascii="Arial" w:cs="Arial" w:eastAsia="Arial" w:hAnsi="Arial"/>
                <w:sz w:val="18"/>
                <w:szCs w:val="18"/>
                <w:color w:val="auto"/>
                <w:w w:val="79"/>
              </w:rPr>
              <w:t>€</w:t>
            </w: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43"/>
        </w:trPr>
        <w:tc>
          <w:tcPr>
            <w:tcW w:w="4220" w:type="dxa"/>
            <w:vAlign w:val="bottom"/>
            <w:shd w:val="clear" w:color="auto" w:fill="CFF0FC"/>
          </w:tcPr>
          <w:p>
            <w:pPr>
              <w:spacing w:after="0"/>
              <w:rPr>
                <w:sz w:val="20"/>
                <w:szCs w:val="20"/>
                <w:color w:val="auto"/>
              </w:rPr>
            </w:pPr>
            <w:r>
              <w:rPr>
                <w:rFonts w:ascii="Arial" w:cs="Arial" w:eastAsia="Arial" w:hAnsi="Arial"/>
                <w:sz w:val="18"/>
                <w:szCs w:val="18"/>
                <w:color w:val="auto"/>
              </w:rPr>
              <w:t>Wages and salaries</w:t>
            </w: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(1,606,969)</w:t>
            </w:r>
          </w:p>
        </w:tc>
        <w:tc>
          <w:tcPr>
            <w:tcW w:w="1900" w:type="dxa"/>
            <w:vAlign w:val="bottom"/>
            <w:tcBorders>
              <w:left w:val="single" w:sz="8" w:color="CFF0FC"/>
            </w:tcBorders>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(474,732)</w:t>
            </w:r>
          </w:p>
        </w:tc>
        <w:tc>
          <w:tcPr>
            <w:tcW w:w="120" w:type="dxa"/>
            <w:vAlign w:val="bottom"/>
            <w:shd w:val="clear" w:color="auto" w:fill="CFF0FC"/>
          </w:tcPr>
          <w:p>
            <w:pPr>
              <w:spacing w:after="0"/>
              <w:rPr>
                <w:sz w:val="21"/>
                <w:szCs w:val="21"/>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(2,618,645)</w:t>
            </w:r>
          </w:p>
        </w:tc>
        <w:tc>
          <w:tcPr>
            <w:tcW w:w="120" w:type="dxa"/>
            <w:vAlign w:val="bottom"/>
            <w:shd w:val="clear" w:color="auto" w:fill="CFF0FC"/>
          </w:tcPr>
          <w:p>
            <w:pPr>
              <w:spacing w:after="0"/>
              <w:rPr>
                <w:sz w:val="21"/>
                <w:szCs w:val="21"/>
                <w:color w:val="auto"/>
              </w:rPr>
            </w:pPr>
          </w:p>
        </w:tc>
        <w:tc>
          <w:tcPr>
            <w:tcW w:w="15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(752,995)</w:t>
            </w:r>
          </w:p>
        </w:tc>
      </w:tr>
      <w:tr>
        <w:trPr>
          <w:trHeight w:val="243"/>
        </w:trPr>
        <w:tc>
          <w:tcPr>
            <w:tcW w:w="4220" w:type="dxa"/>
            <w:vAlign w:val="bottom"/>
          </w:tcPr>
          <w:p>
            <w:pPr>
              <w:spacing w:after="0"/>
              <w:rPr>
                <w:sz w:val="20"/>
                <w:szCs w:val="20"/>
                <w:color w:val="auto"/>
              </w:rPr>
            </w:pPr>
            <w:r>
              <w:rPr>
                <w:rFonts w:ascii="Arial" w:cs="Arial" w:eastAsia="Arial" w:hAnsi="Arial"/>
                <w:sz w:val="18"/>
                <w:szCs w:val="18"/>
                <w:color w:val="auto"/>
              </w:rPr>
              <w:t>Pension charges</w:t>
            </w:r>
          </w:p>
        </w:tc>
        <w:tc>
          <w:tcPr>
            <w:tcW w:w="1660" w:type="dxa"/>
            <w:vAlign w:val="bottom"/>
          </w:tcPr>
          <w:p>
            <w:pPr>
              <w:jc w:val="right"/>
              <w:spacing w:after="0"/>
              <w:rPr>
                <w:sz w:val="20"/>
                <w:szCs w:val="20"/>
                <w:color w:val="auto"/>
              </w:rPr>
            </w:pPr>
            <w:r>
              <w:rPr>
                <w:rFonts w:ascii="Arial" w:cs="Arial" w:eastAsia="Arial" w:hAnsi="Arial"/>
                <w:sz w:val="18"/>
                <w:szCs w:val="18"/>
                <w:color w:val="auto"/>
              </w:rPr>
              <w:t>(51,327)</w:t>
            </w:r>
          </w:p>
        </w:tc>
        <w:tc>
          <w:tcPr>
            <w:tcW w:w="1900" w:type="dxa"/>
            <w:vAlign w:val="bottom"/>
            <w:gridSpan w:val="3"/>
          </w:tcPr>
          <w:p>
            <w:pPr>
              <w:jc w:val="right"/>
              <w:ind w:right="60"/>
              <w:spacing w:after="0"/>
              <w:rPr>
                <w:sz w:val="20"/>
                <w:szCs w:val="20"/>
                <w:color w:val="auto"/>
              </w:rPr>
            </w:pPr>
            <w:r>
              <w:rPr>
                <w:rFonts w:ascii="Arial" w:cs="Arial" w:eastAsia="Arial" w:hAnsi="Arial"/>
                <w:sz w:val="18"/>
                <w:szCs w:val="18"/>
                <w:color w:val="auto"/>
              </w:rPr>
              <w:t>(24,125)</w:t>
            </w:r>
          </w:p>
        </w:tc>
        <w:tc>
          <w:tcPr>
            <w:tcW w:w="1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(81,289)</w:t>
            </w:r>
          </w:p>
        </w:tc>
        <w:tc>
          <w:tcPr>
            <w:tcW w:w="120" w:type="dxa"/>
            <w:vAlign w:val="bottom"/>
          </w:tcPr>
          <w:p>
            <w:pPr>
              <w:spacing w:after="0"/>
              <w:rPr>
                <w:sz w:val="21"/>
                <w:szCs w:val="21"/>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(29,533)</w:t>
            </w:r>
          </w:p>
        </w:tc>
      </w:tr>
      <w:tr>
        <w:trPr>
          <w:trHeight w:val="243"/>
        </w:trPr>
        <w:tc>
          <w:tcPr>
            <w:tcW w:w="4220" w:type="dxa"/>
            <w:vAlign w:val="bottom"/>
            <w:shd w:val="clear" w:color="auto" w:fill="CFF0FC"/>
          </w:tcPr>
          <w:p>
            <w:pPr>
              <w:spacing w:after="0"/>
              <w:rPr>
                <w:sz w:val="20"/>
                <w:szCs w:val="20"/>
                <w:color w:val="auto"/>
              </w:rPr>
            </w:pPr>
            <w:r>
              <w:rPr>
                <w:rFonts w:ascii="Arial" w:cs="Arial" w:eastAsia="Arial" w:hAnsi="Arial"/>
                <w:sz w:val="18"/>
                <w:szCs w:val="18"/>
                <w:color w:val="auto"/>
              </w:rPr>
              <w:t>Other social security charges</w:t>
            </w: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(124,356)</w:t>
            </w:r>
          </w:p>
        </w:tc>
        <w:tc>
          <w:tcPr>
            <w:tcW w:w="1900" w:type="dxa"/>
            <w:vAlign w:val="bottom"/>
            <w:tcBorders>
              <w:left w:val="single" w:sz="8" w:color="CFF0FC"/>
            </w:tcBorders>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(38,053)</w:t>
            </w:r>
          </w:p>
        </w:tc>
        <w:tc>
          <w:tcPr>
            <w:tcW w:w="120" w:type="dxa"/>
            <w:vAlign w:val="bottom"/>
            <w:shd w:val="clear" w:color="auto" w:fill="CFF0FC"/>
          </w:tcPr>
          <w:p>
            <w:pPr>
              <w:spacing w:after="0"/>
              <w:rPr>
                <w:sz w:val="21"/>
                <w:szCs w:val="21"/>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(235,669)</w:t>
            </w:r>
          </w:p>
        </w:tc>
        <w:tc>
          <w:tcPr>
            <w:tcW w:w="120" w:type="dxa"/>
            <w:vAlign w:val="bottom"/>
            <w:shd w:val="clear" w:color="auto" w:fill="CFF0FC"/>
          </w:tcPr>
          <w:p>
            <w:pPr>
              <w:spacing w:after="0"/>
              <w:rPr>
                <w:sz w:val="21"/>
                <w:szCs w:val="21"/>
                <w:color w:val="auto"/>
              </w:rPr>
            </w:pPr>
          </w:p>
        </w:tc>
        <w:tc>
          <w:tcPr>
            <w:tcW w:w="15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(75,501)</w:t>
            </w:r>
          </w:p>
        </w:tc>
      </w:tr>
      <w:tr>
        <w:trPr>
          <w:trHeight w:val="243"/>
        </w:trPr>
        <w:tc>
          <w:tcPr>
            <w:tcW w:w="4220" w:type="dxa"/>
            <w:vAlign w:val="bottom"/>
          </w:tcPr>
          <w:p>
            <w:pPr>
              <w:spacing w:after="0"/>
              <w:rPr>
                <w:sz w:val="20"/>
                <w:szCs w:val="20"/>
                <w:color w:val="auto"/>
              </w:rPr>
            </w:pPr>
            <w:r>
              <w:rPr>
                <w:rFonts w:ascii="Arial" w:cs="Arial" w:eastAsia="Arial" w:hAnsi="Arial"/>
                <w:sz w:val="18"/>
                <w:szCs w:val="18"/>
                <w:color w:val="auto"/>
              </w:rPr>
              <w:t>Share-based payments</w:t>
            </w:r>
          </w:p>
        </w:tc>
        <w:tc>
          <w:tcPr>
            <w:tcW w:w="1660" w:type="dxa"/>
            <w:vAlign w:val="bottom"/>
          </w:tcPr>
          <w:p>
            <w:pPr>
              <w:jc w:val="right"/>
              <w:spacing w:after="0"/>
              <w:rPr>
                <w:sz w:val="20"/>
                <w:szCs w:val="20"/>
                <w:color w:val="auto"/>
              </w:rPr>
            </w:pPr>
            <w:r>
              <w:rPr>
                <w:rFonts w:ascii="Arial" w:cs="Arial" w:eastAsia="Arial" w:hAnsi="Arial"/>
                <w:sz w:val="18"/>
                <w:szCs w:val="18"/>
                <w:color w:val="auto"/>
              </w:rPr>
              <w:t>(1,772,738)</w:t>
            </w:r>
          </w:p>
        </w:tc>
        <w:tc>
          <w:tcPr>
            <w:tcW w:w="180" w:type="dxa"/>
            <w:vAlign w:val="bottom"/>
          </w:tcPr>
          <w:p>
            <w:pPr>
              <w:spacing w:after="0"/>
              <w:rPr>
                <w:sz w:val="21"/>
                <w:szCs w:val="21"/>
                <w:color w:val="auto"/>
              </w:rPr>
            </w:pPr>
          </w:p>
        </w:tc>
        <w:tc>
          <w:tcPr>
            <w:tcW w:w="1720" w:type="dxa"/>
            <w:vAlign w:val="bottom"/>
            <w:gridSpan w:val="2"/>
          </w:tcPr>
          <w:p>
            <w:pPr>
              <w:jc w:val="right"/>
              <w:ind w:right="60"/>
              <w:spacing w:after="0"/>
              <w:rPr>
                <w:sz w:val="20"/>
                <w:szCs w:val="20"/>
                <w:color w:val="auto"/>
              </w:rPr>
            </w:pPr>
            <w:r>
              <w:rPr>
                <w:rFonts w:ascii="Arial" w:cs="Arial" w:eastAsia="Arial" w:hAnsi="Arial"/>
                <w:sz w:val="18"/>
                <w:szCs w:val="18"/>
                <w:color w:val="auto"/>
              </w:rPr>
              <w:t>(366,415)</w:t>
            </w:r>
          </w:p>
        </w:tc>
        <w:tc>
          <w:tcPr>
            <w:tcW w:w="1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(3,869,348)</w:t>
            </w:r>
          </w:p>
        </w:tc>
        <w:tc>
          <w:tcPr>
            <w:tcW w:w="120" w:type="dxa"/>
            <w:vAlign w:val="bottom"/>
          </w:tcPr>
          <w:p>
            <w:pPr>
              <w:spacing w:after="0"/>
              <w:rPr>
                <w:sz w:val="21"/>
                <w:szCs w:val="21"/>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(660,132)</w:t>
            </w:r>
          </w:p>
        </w:tc>
      </w:tr>
      <w:tr>
        <w:trPr>
          <w:trHeight w:val="20"/>
        </w:trPr>
        <w:tc>
          <w:tcPr>
            <w:tcW w:w="4220" w:type="dxa"/>
            <w:vAlign w:val="bottom"/>
            <w:shd w:val="clear" w:color="auto" w:fill="CFF0FC"/>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CFF0FC"/>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37"/>
        </w:trPr>
        <w:tc>
          <w:tcPr>
            <w:tcW w:w="4220" w:type="dxa"/>
            <w:vAlign w:val="bottom"/>
            <w:shd w:val="clear" w:color="auto" w:fill="CFF0FC"/>
          </w:tcPr>
          <w:p>
            <w:pPr>
              <w:spacing w:after="0"/>
              <w:rPr>
                <w:sz w:val="20"/>
                <w:szCs w:val="20"/>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(3,555,390)</w:t>
            </w:r>
          </w:p>
        </w:tc>
        <w:tc>
          <w:tcPr>
            <w:tcW w:w="180" w:type="dxa"/>
            <w:vAlign w:val="bottom"/>
            <w:tcBorders>
              <w:left w:val="single" w:sz="8" w:color="CFF0FC"/>
            </w:tcBorders>
            <w:shd w:val="clear" w:color="auto" w:fill="CFF0FC"/>
          </w:tcPr>
          <w:p>
            <w:pPr>
              <w:spacing w:after="0"/>
              <w:rPr>
                <w:sz w:val="20"/>
                <w:szCs w:val="20"/>
                <w:color w:val="auto"/>
              </w:rPr>
            </w:pPr>
          </w:p>
        </w:tc>
        <w:tc>
          <w:tcPr>
            <w:tcW w:w="17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(903,325)</w:t>
            </w:r>
          </w:p>
        </w:tc>
        <w:tc>
          <w:tcPr>
            <w:tcW w:w="120" w:type="dxa"/>
            <w:vAlign w:val="bottom"/>
            <w:shd w:val="clear" w:color="auto" w:fill="CFF0FC"/>
          </w:tcPr>
          <w:p>
            <w:pPr>
              <w:spacing w:after="0"/>
              <w:rPr>
                <w:sz w:val="20"/>
                <w:szCs w:val="20"/>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(6,804,951)</w:t>
            </w:r>
          </w:p>
        </w:tc>
        <w:tc>
          <w:tcPr>
            <w:tcW w:w="120" w:type="dxa"/>
            <w:vAlign w:val="bottom"/>
            <w:shd w:val="clear" w:color="auto" w:fill="CFF0FC"/>
          </w:tcPr>
          <w:p>
            <w:pPr>
              <w:spacing w:after="0"/>
              <w:rPr>
                <w:sz w:val="20"/>
                <w:szCs w:val="20"/>
                <w:color w:val="auto"/>
              </w:rPr>
            </w:pPr>
          </w:p>
        </w:tc>
        <w:tc>
          <w:tcPr>
            <w:tcW w:w="15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(1,518,161)</w:t>
            </w:r>
          </w:p>
        </w:tc>
      </w:tr>
      <w:tr>
        <w:trPr>
          <w:trHeight w:val="20"/>
        </w:trPr>
        <w:tc>
          <w:tcPr>
            <w:tcW w:w="4220" w:type="dxa"/>
            <w:vAlign w:val="bottom"/>
            <w:tcBorders>
              <w:top w:val="single" w:sz="8" w:color="CFF0FC"/>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pacing w:after="0" w:line="202" w:lineRule="exact"/>
        <w:rPr>
          <w:sz w:val="20"/>
          <w:szCs w:val="20"/>
          <w:color w:val="auto"/>
        </w:rPr>
      </w:pPr>
    </w:p>
    <w:p>
      <w:pPr>
        <w:ind w:left="5520" w:right="2180" w:hanging="5511"/>
        <w:spacing w:after="0" w:line="527" w:lineRule="auto"/>
        <w:rPr>
          <w:sz w:val="20"/>
          <w:szCs w:val="20"/>
          <w:color w:val="auto"/>
        </w:rPr>
      </w:pPr>
      <w:r>
        <w:rPr>
          <w:rFonts w:ascii="Arial" w:cs="Arial" w:eastAsia="Arial" w:hAnsi="Arial"/>
          <w:sz w:val="18"/>
          <w:szCs w:val="18"/>
          <w:color w:val="auto"/>
        </w:rPr>
        <w:t>The average number of staff (in FTEs) employed by the Group in the six months ended June 30, 2021 was 17 (2020: 7).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-108585</wp:posOffset>
            </wp:positionV>
            <wp:extent cx="71748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783" w:right="3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34"/>
        </w:trPr>
        <w:tc>
          <w:tcPr>
            <w:tcW w:w="4340" w:type="dxa"/>
            <w:vAlign w:val="bottom"/>
          </w:tcPr>
          <w:p>
            <w:pPr>
              <w:spacing w:after="0"/>
              <w:rPr>
                <w:sz w:val="20"/>
                <w:szCs w:val="20"/>
                <w:color w:val="auto"/>
              </w:rPr>
            </w:pPr>
            <w:r>
              <w:rPr>
                <w:rFonts w:ascii="Arial" w:cs="Arial" w:eastAsia="Arial" w:hAnsi="Arial"/>
                <w:sz w:val="18"/>
                <w:szCs w:val="18"/>
                <w:b w:val="1"/>
                <w:bCs w:val="1"/>
                <w:color w:val="auto"/>
              </w:rPr>
              <w:t>6. Net foreign exchange income/(loss)</w:t>
            </w:r>
          </w:p>
        </w:tc>
        <w:tc>
          <w:tcPr>
            <w:tcW w:w="1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43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60" w:type="dxa"/>
            <w:vAlign w:val="bottom"/>
            <w:gridSpan w:val="6"/>
          </w:tcPr>
          <w:p>
            <w:pPr>
              <w:spacing w:after="0"/>
              <w:rPr>
                <w:sz w:val="20"/>
                <w:szCs w:val="20"/>
                <w:color w:val="auto"/>
              </w:rPr>
            </w:pPr>
            <w:r>
              <w:rPr>
                <w:rFonts w:ascii="Arial" w:cs="Arial" w:eastAsia="Arial" w:hAnsi="Arial"/>
                <w:sz w:val="18"/>
                <w:szCs w:val="18"/>
                <w:color w:val="auto"/>
                <w:w w:val="97"/>
              </w:rPr>
              <w:t>For the three months ended June 30</w:t>
            </w:r>
          </w:p>
        </w:tc>
        <w:tc>
          <w:tcPr>
            <w:tcW w:w="2640" w:type="dxa"/>
            <w:vAlign w:val="bottom"/>
            <w:gridSpan w:val="7"/>
          </w:tcPr>
          <w:p>
            <w:pPr>
              <w:jc w:val="right"/>
              <w:ind w:right="80"/>
              <w:spacing w:after="0"/>
              <w:rPr>
                <w:sz w:val="20"/>
                <w:szCs w:val="20"/>
                <w:color w:val="auto"/>
              </w:rPr>
            </w:pPr>
            <w:r>
              <w:rPr>
                <w:rFonts w:ascii="Arial" w:cs="Arial" w:eastAsia="Arial" w:hAnsi="Arial"/>
                <w:sz w:val="18"/>
                <w:szCs w:val="18"/>
                <w:color w:val="auto"/>
                <w:w w:val="93"/>
              </w:rPr>
              <w:t>For the six months ended June 30</w:t>
            </w:r>
          </w:p>
        </w:tc>
        <w:tc>
          <w:tcPr>
            <w:tcW w:w="0" w:type="dxa"/>
            <w:vAlign w:val="bottom"/>
          </w:tcPr>
          <w:p>
            <w:pPr>
              <w:spacing w:after="0"/>
              <w:rPr>
                <w:sz w:val="1"/>
                <w:szCs w:val="1"/>
                <w:color w:val="auto"/>
              </w:rPr>
            </w:pPr>
          </w:p>
        </w:tc>
      </w:tr>
      <w:tr>
        <w:trPr>
          <w:trHeight w:val="237"/>
        </w:trPr>
        <w:tc>
          <w:tcPr>
            <w:tcW w:w="4340" w:type="dxa"/>
            <w:vAlign w:val="bottom"/>
          </w:tcPr>
          <w:p>
            <w:pPr>
              <w:spacing w:after="0"/>
              <w:rPr>
                <w:sz w:val="20"/>
                <w:szCs w:val="20"/>
                <w:color w:val="auto"/>
              </w:rPr>
            </w:pPr>
          </w:p>
        </w:tc>
        <w:tc>
          <w:tcPr>
            <w:tcW w:w="1400" w:type="dxa"/>
            <w:vAlign w:val="bottom"/>
            <w:gridSpan w:val="2"/>
          </w:tcPr>
          <w:p>
            <w:pPr>
              <w:spacing w:after="0"/>
              <w:rPr>
                <w:sz w:val="20"/>
                <w:szCs w:val="20"/>
                <w:color w:val="auto"/>
              </w:rPr>
            </w:pPr>
          </w:p>
        </w:tc>
        <w:tc>
          <w:tcPr>
            <w:tcW w:w="12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4"/>
              </w:rPr>
              <w:t>2021</w:t>
            </w:r>
          </w:p>
        </w:tc>
        <w:tc>
          <w:tcPr>
            <w:tcW w:w="2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2021</w:t>
            </w:r>
          </w:p>
        </w:tc>
        <w:tc>
          <w:tcPr>
            <w:tcW w:w="6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60" w:type="dxa"/>
            <w:vAlign w:val="bottom"/>
            <w:tcBorders>
              <w:top w:val="single" w:sz="8" w:color="auto"/>
              <w:bottom w:val="single" w:sz="8" w:color="auto"/>
            </w:tcBorders>
            <w:gridSpan w:val="2"/>
          </w:tcPr>
          <w:p>
            <w:pPr>
              <w:jc w:val="right"/>
              <w:ind w:right="37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3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40" w:type="dxa"/>
            <w:vAlign w:val="bottom"/>
            <w:gridSpan w:val="3"/>
          </w:tcPr>
          <w:p>
            <w:pPr>
              <w:jc w:val="center"/>
              <w:ind w:right="260"/>
              <w:spacing w:after="0"/>
              <w:rPr>
                <w:sz w:val="20"/>
                <w:szCs w:val="20"/>
                <w:color w:val="auto"/>
              </w:rPr>
            </w:pPr>
            <w:r>
              <w:rPr>
                <w:rFonts w:ascii="Arial" w:cs="Arial" w:eastAsia="Arial" w:hAnsi="Arial"/>
                <w:sz w:val="18"/>
                <w:szCs w:val="18"/>
                <w:color w:val="auto"/>
                <w:w w:val="99"/>
              </w:rPr>
              <w:t>€</w:t>
            </w: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8"/>
                <w:szCs w:val="18"/>
                <w:color w:val="auto"/>
                <w:w w:val="79"/>
              </w:rPr>
              <w:t>€</w:t>
            </w:r>
          </w:p>
        </w:tc>
        <w:tc>
          <w:tcPr>
            <w:tcW w:w="0" w:type="dxa"/>
            <w:vAlign w:val="bottom"/>
          </w:tcPr>
          <w:p>
            <w:pPr>
              <w:spacing w:after="0"/>
              <w:rPr>
                <w:sz w:val="1"/>
                <w:szCs w:val="1"/>
                <w:color w:val="auto"/>
              </w:rPr>
            </w:pPr>
          </w:p>
        </w:tc>
      </w:tr>
      <w:tr>
        <w:trPr>
          <w:trHeight w:val="243"/>
        </w:trPr>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Foreign exchange differences</w:t>
            </w:r>
          </w:p>
        </w:tc>
        <w:tc>
          <w:tcPr>
            <w:tcW w:w="2820" w:type="dxa"/>
            <w:vAlign w:val="bottom"/>
            <w:gridSpan w:val="4"/>
            <w:shd w:val="clear" w:color="auto" w:fill="CFF0FC"/>
          </w:tcPr>
          <w:p>
            <w:pPr>
              <w:jc w:val="right"/>
              <w:ind w:right="160"/>
              <w:spacing w:after="0"/>
              <w:rPr>
                <w:sz w:val="20"/>
                <w:szCs w:val="20"/>
                <w:color w:val="auto"/>
              </w:rPr>
            </w:pPr>
            <w:r>
              <w:rPr>
                <w:rFonts w:ascii="Arial" w:cs="Arial" w:eastAsia="Arial" w:hAnsi="Arial"/>
                <w:sz w:val="18"/>
                <w:szCs w:val="18"/>
                <w:color w:val="auto"/>
              </w:rPr>
              <w:t>(2,401,910)</w:t>
            </w:r>
          </w:p>
        </w:tc>
        <w:tc>
          <w:tcPr>
            <w:tcW w:w="2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(211)</w:t>
            </w:r>
          </w:p>
        </w:tc>
        <w:tc>
          <w:tcPr>
            <w:tcW w:w="10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3,503,986</w:t>
            </w:r>
          </w:p>
        </w:tc>
        <w:tc>
          <w:tcPr>
            <w:tcW w:w="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36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(19,321)</w:t>
            </w:r>
          </w:p>
        </w:tc>
        <w:tc>
          <w:tcPr>
            <w:tcW w:w="0" w:type="dxa"/>
            <w:vAlign w:val="bottom"/>
          </w:tcPr>
          <w:p>
            <w:pPr>
              <w:spacing w:after="0"/>
              <w:rPr>
                <w:sz w:val="1"/>
                <w:szCs w:val="1"/>
                <w:color w:val="auto"/>
              </w:rPr>
            </w:pPr>
          </w:p>
        </w:tc>
      </w:tr>
      <w:tr>
        <w:trPr>
          <w:trHeight w:val="243"/>
        </w:trPr>
        <w:tc>
          <w:tcPr>
            <w:tcW w:w="4340" w:type="dxa"/>
            <w:vAlign w:val="bottom"/>
          </w:tcPr>
          <w:p>
            <w:pPr>
              <w:spacing w:after="0"/>
              <w:rPr>
                <w:sz w:val="20"/>
                <w:szCs w:val="20"/>
                <w:color w:val="auto"/>
              </w:rPr>
            </w:pPr>
            <w:r>
              <w:rPr>
                <w:rFonts w:ascii="Arial" w:cs="Arial" w:eastAsia="Arial" w:hAnsi="Arial"/>
                <w:sz w:val="18"/>
                <w:szCs w:val="18"/>
                <w:color w:val="auto"/>
              </w:rPr>
              <w:t>Interest expenses over bank balances</w:t>
            </w:r>
          </w:p>
        </w:tc>
        <w:tc>
          <w:tcPr>
            <w:tcW w:w="2820" w:type="dxa"/>
            <w:vAlign w:val="bottom"/>
            <w:gridSpan w:val="4"/>
          </w:tcPr>
          <w:p>
            <w:pPr>
              <w:jc w:val="right"/>
              <w:ind w:right="160"/>
              <w:spacing w:after="0"/>
              <w:rPr>
                <w:sz w:val="20"/>
                <w:szCs w:val="20"/>
                <w:color w:val="auto"/>
              </w:rPr>
            </w:pPr>
            <w:r>
              <w:rPr>
                <w:rFonts w:ascii="Arial" w:cs="Arial" w:eastAsia="Arial" w:hAnsi="Arial"/>
                <w:sz w:val="18"/>
                <w:szCs w:val="18"/>
                <w:color w:val="auto"/>
              </w:rPr>
              <w:t>(69,552)</w:t>
            </w:r>
          </w:p>
        </w:tc>
        <w:tc>
          <w:tcPr>
            <w:tcW w:w="20" w:type="dxa"/>
            <w:vAlign w:val="bottom"/>
          </w:tcPr>
          <w:p>
            <w:pPr>
              <w:spacing w:after="0"/>
              <w:rPr>
                <w:sz w:val="21"/>
                <w:szCs w:val="21"/>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(16,291)</w:t>
            </w:r>
          </w:p>
        </w:tc>
        <w:tc>
          <w:tcPr>
            <w:tcW w:w="100" w:type="dxa"/>
            <w:vAlign w:val="bottom"/>
          </w:tcPr>
          <w:p>
            <w:pPr>
              <w:spacing w:after="0"/>
              <w:rPr>
                <w:sz w:val="21"/>
                <w:szCs w:val="21"/>
                <w:color w:val="auto"/>
              </w:rPr>
            </w:pPr>
          </w:p>
        </w:tc>
        <w:tc>
          <w:tcPr>
            <w:tcW w:w="1280" w:type="dxa"/>
            <w:vAlign w:val="bottom"/>
            <w:gridSpan w:val="4"/>
          </w:tcPr>
          <w:p>
            <w:pPr>
              <w:jc w:val="right"/>
              <w:ind w:right="140"/>
              <w:spacing w:after="0"/>
              <w:rPr>
                <w:sz w:val="20"/>
                <w:szCs w:val="20"/>
                <w:color w:val="auto"/>
              </w:rPr>
            </w:pPr>
            <w:r>
              <w:rPr>
                <w:rFonts w:ascii="Arial" w:cs="Arial" w:eastAsia="Arial" w:hAnsi="Arial"/>
                <w:sz w:val="18"/>
                <w:szCs w:val="18"/>
                <w:color w:val="auto"/>
              </w:rPr>
              <w:t>(151,764)</w:t>
            </w:r>
          </w:p>
        </w:tc>
        <w:tc>
          <w:tcPr>
            <w:tcW w:w="1360" w:type="dxa"/>
            <w:vAlign w:val="bottom"/>
            <w:gridSpan w:val="3"/>
          </w:tcPr>
          <w:p>
            <w:pPr>
              <w:jc w:val="right"/>
              <w:ind w:right="40"/>
              <w:spacing w:after="0"/>
              <w:rPr>
                <w:sz w:val="20"/>
                <w:szCs w:val="20"/>
                <w:color w:val="auto"/>
              </w:rPr>
            </w:pPr>
            <w:r>
              <w:rPr>
                <w:rFonts w:ascii="Arial" w:cs="Arial" w:eastAsia="Arial" w:hAnsi="Arial"/>
                <w:sz w:val="18"/>
                <w:szCs w:val="18"/>
                <w:color w:val="auto"/>
              </w:rPr>
              <w:t>(27,433)</w:t>
            </w:r>
          </w:p>
        </w:tc>
        <w:tc>
          <w:tcPr>
            <w:tcW w:w="0" w:type="dxa"/>
            <w:vAlign w:val="bottom"/>
          </w:tcPr>
          <w:p>
            <w:pPr>
              <w:spacing w:after="0"/>
              <w:rPr>
                <w:sz w:val="1"/>
                <w:szCs w:val="1"/>
                <w:color w:val="auto"/>
              </w:rPr>
            </w:pPr>
          </w:p>
        </w:tc>
      </w:tr>
      <w:tr>
        <w:trPr>
          <w:trHeight w:val="243"/>
        </w:trPr>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Other finance expenses</w:t>
            </w:r>
          </w:p>
        </w:tc>
        <w:tc>
          <w:tcPr>
            <w:tcW w:w="1400" w:type="dxa"/>
            <w:vAlign w:val="bottom"/>
            <w:gridSpan w:val="2"/>
            <w:shd w:val="clear" w:color="auto" w:fill="CFF0FC"/>
          </w:tcPr>
          <w:p>
            <w:pPr>
              <w:spacing w:after="0"/>
              <w:rPr>
                <w:sz w:val="21"/>
                <w:szCs w:val="21"/>
                <w:color w:val="auto"/>
              </w:rPr>
            </w:pPr>
          </w:p>
        </w:tc>
        <w:tc>
          <w:tcPr>
            <w:tcW w:w="14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(3,021)</w:t>
            </w:r>
          </w:p>
        </w:tc>
        <w:tc>
          <w:tcPr>
            <w:tcW w:w="2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(3,189)</w:t>
            </w:r>
          </w:p>
        </w:tc>
        <w:tc>
          <w:tcPr>
            <w:tcW w:w="100" w:type="dxa"/>
            <w:vAlign w:val="bottom"/>
            <w:shd w:val="clear" w:color="auto" w:fill="CFF0FC"/>
          </w:tcPr>
          <w:p>
            <w:pPr>
              <w:spacing w:after="0"/>
              <w:rPr>
                <w:sz w:val="21"/>
                <w:szCs w:val="21"/>
                <w:color w:val="auto"/>
              </w:rPr>
            </w:pPr>
          </w:p>
        </w:tc>
        <w:tc>
          <w:tcPr>
            <w:tcW w:w="1280" w:type="dxa"/>
            <w:vAlign w:val="bottom"/>
            <w:gridSpan w:val="4"/>
            <w:shd w:val="clear" w:color="auto" w:fill="CFF0FC"/>
          </w:tcPr>
          <w:p>
            <w:pPr>
              <w:jc w:val="right"/>
              <w:ind w:right="140"/>
              <w:spacing w:after="0"/>
              <w:rPr>
                <w:sz w:val="20"/>
                <w:szCs w:val="20"/>
                <w:color w:val="auto"/>
              </w:rPr>
            </w:pPr>
            <w:r>
              <w:rPr>
                <w:rFonts w:ascii="Arial" w:cs="Arial" w:eastAsia="Arial" w:hAnsi="Arial"/>
                <w:sz w:val="18"/>
                <w:szCs w:val="18"/>
                <w:color w:val="auto"/>
              </w:rPr>
              <w:t>(7,849)</w:t>
            </w:r>
          </w:p>
        </w:tc>
        <w:tc>
          <w:tcPr>
            <w:tcW w:w="136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(3,510)</w:t>
            </w: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340" w:type="dxa"/>
            <w:vAlign w:val="bottom"/>
          </w:tcPr>
          <w:p>
            <w:pPr>
              <w:spacing w:after="0"/>
              <w:rPr>
                <w:sz w:val="20"/>
                <w:szCs w:val="20"/>
                <w:color w:val="auto"/>
              </w:rPr>
            </w:pPr>
          </w:p>
        </w:tc>
        <w:tc>
          <w:tcPr>
            <w:tcW w:w="1400" w:type="dxa"/>
            <w:vAlign w:val="bottom"/>
            <w:gridSpan w:val="2"/>
          </w:tcPr>
          <w:p>
            <w:pPr>
              <w:spacing w:after="0"/>
              <w:rPr>
                <w:sz w:val="20"/>
                <w:szCs w:val="20"/>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(2,474,483)</w:t>
            </w:r>
          </w:p>
        </w:tc>
        <w:tc>
          <w:tcPr>
            <w:tcW w:w="20" w:type="dxa"/>
            <w:vAlign w:val="bottom"/>
          </w:tcPr>
          <w:p>
            <w:pPr>
              <w:spacing w:after="0"/>
              <w:rPr>
                <w:sz w:val="20"/>
                <w:szCs w:val="20"/>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(19,691)</w:t>
            </w:r>
          </w:p>
        </w:tc>
        <w:tc>
          <w:tcPr>
            <w:tcW w:w="10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3,344,373</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3"/>
          </w:tcPr>
          <w:p>
            <w:pPr>
              <w:jc w:val="right"/>
              <w:ind w:right="40"/>
              <w:spacing w:after="0"/>
              <w:rPr>
                <w:sz w:val="20"/>
                <w:szCs w:val="20"/>
                <w:color w:val="auto"/>
              </w:rPr>
            </w:pPr>
            <w:r>
              <w:rPr>
                <w:rFonts w:ascii="Arial" w:cs="Arial" w:eastAsia="Arial" w:hAnsi="Arial"/>
                <w:sz w:val="18"/>
                <w:szCs w:val="18"/>
                <w:color w:val="auto"/>
              </w:rPr>
              <w:t>(50,264)</w:t>
            </w:r>
          </w:p>
        </w:tc>
        <w:tc>
          <w:tcPr>
            <w:tcW w:w="0" w:type="dxa"/>
            <w:vAlign w:val="bottom"/>
          </w:tcPr>
          <w:p>
            <w:pPr>
              <w:spacing w:after="0"/>
              <w:rPr>
                <w:sz w:val="1"/>
                <w:szCs w:val="1"/>
                <w:color w:val="auto"/>
              </w:rPr>
            </w:pPr>
          </w:p>
        </w:tc>
      </w:tr>
      <w:tr>
        <w:trPr>
          <w:trHeight w:val="20"/>
        </w:trPr>
        <w:tc>
          <w:tcPr>
            <w:tcW w:w="4340" w:type="dxa"/>
            <w:vAlign w:val="bottom"/>
            <w:vMerge w:val="restart"/>
          </w:tcPr>
          <w:p>
            <w:pPr>
              <w:spacing w:after="0"/>
              <w:rPr>
                <w:sz w:val="20"/>
                <w:szCs w:val="20"/>
                <w:color w:val="auto"/>
              </w:rPr>
            </w:pPr>
            <w:r>
              <w:rPr>
                <w:rFonts w:ascii="Arial" w:cs="Arial" w:eastAsia="Arial" w:hAnsi="Arial"/>
                <w:sz w:val="18"/>
                <w:szCs w:val="18"/>
                <w:b w:val="1"/>
                <w:bCs w:val="1"/>
                <w:color w:val="auto"/>
              </w:rPr>
              <w:t>7. Income taxes</w:t>
            </w:r>
          </w:p>
        </w:tc>
        <w:tc>
          <w:tcPr>
            <w:tcW w:w="1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4340" w:type="dxa"/>
            <w:vAlign w:val="bottom"/>
            <w:vMerge w:val="continue"/>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4340" w:type="dxa"/>
            <w:vAlign w:val="bottom"/>
          </w:tcPr>
          <w:p>
            <w:pPr>
              <w:spacing w:after="0"/>
              <w:rPr>
                <w:sz w:val="24"/>
                <w:szCs w:val="24"/>
                <w:color w:val="auto"/>
              </w:rPr>
            </w:pPr>
          </w:p>
        </w:tc>
        <w:tc>
          <w:tcPr>
            <w:tcW w:w="4260" w:type="dxa"/>
            <w:vAlign w:val="bottom"/>
            <w:gridSpan w:val="8"/>
          </w:tcPr>
          <w:p>
            <w:pPr>
              <w:ind w:left="1380"/>
              <w:spacing w:after="0"/>
              <w:rPr>
                <w:sz w:val="20"/>
                <w:szCs w:val="20"/>
                <w:color w:val="auto"/>
              </w:rPr>
            </w:pPr>
            <w:r>
              <w:rPr>
                <w:rFonts w:ascii="Arial" w:cs="Arial" w:eastAsia="Arial" w:hAnsi="Arial"/>
                <w:sz w:val="18"/>
                <w:szCs w:val="18"/>
                <w:color w:val="auto"/>
                <w:w w:val="98"/>
              </w:rPr>
              <w:t>For the three months ended June 30</w:t>
            </w:r>
          </w:p>
        </w:tc>
        <w:tc>
          <w:tcPr>
            <w:tcW w:w="2640" w:type="dxa"/>
            <w:vAlign w:val="bottom"/>
            <w:gridSpan w:val="7"/>
          </w:tcPr>
          <w:p>
            <w:pPr>
              <w:jc w:val="right"/>
              <w:ind w:right="120"/>
              <w:spacing w:after="0"/>
              <w:rPr>
                <w:sz w:val="20"/>
                <w:szCs w:val="20"/>
                <w:color w:val="auto"/>
              </w:rPr>
            </w:pPr>
            <w:r>
              <w:rPr>
                <w:rFonts w:ascii="Arial" w:cs="Arial" w:eastAsia="Arial" w:hAnsi="Arial"/>
                <w:sz w:val="18"/>
                <w:szCs w:val="18"/>
                <w:color w:val="auto"/>
                <w:w w:val="91"/>
              </w:rPr>
              <w:t>For the six months ended June 30</w:t>
            </w:r>
          </w:p>
        </w:tc>
        <w:tc>
          <w:tcPr>
            <w:tcW w:w="0" w:type="dxa"/>
            <w:vAlign w:val="bottom"/>
          </w:tcPr>
          <w:p>
            <w:pPr>
              <w:spacing w:after="0"/>
              <w:rPr>
                <w:sz w:val="1"/>
                <w:szCs w:val="1"/>
                <w:color w:val="auto"/>
              </w:rPr>
            </w:pPr>
          </w:p>
        </w:tc>
      </w:tr>
      <w:tr>
        <w:trPr>
          <w:trHeight w:val="237"/>
        </w:trPr>
        <w:tc>
          <w:tcPr>
            <w:tcW w:w="43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20" w:type="dxa"/>
            <w:vAlign w:val="bottom"/>
            <w:tcBorders>
              <w:top w:val="single" w:sz="8" w:color="auto"/>
              <w:bottom w:val="single" w:sz="8" w:color="auto"/>
            </w:tcBorders>
            <w:gridSpan w:val="2"/>
          </w:tcPr>
          <w:p>
            <w:pPr>
              <w:jc w:val="center"/>
              <w:spacing w:after="0"/>
              <w:rPr>
                <w:sz w:val="20"/>
                <w:szCs w:val="20"/>
                <w:color w:val="auto"/>
              </w:rPr>
            </w:pPr>
            <w:r>
              <w:rPr>
                <w:rFonts w:ascii="Arial" w:cs="Arial" w:eastAsia="Arial" w:hAnsi="Arial"/>
                <w:sz w:val="18"/>
                <w:szCs w:val="18"/>
                <w:color w:val="auto"/>
                <w:w w:val="89"/>
              </w:rPr>
              <w:t>2021</w:t>
            </w:r>
          </w:p>
        </w:tc>
        <w:tc>
          <w:tcPr>
            <w:tcW w:w="220" w:type="dxa"/>
            <w:vAlign w:val="bottom"/>
            <w:tcBorders>
              <w:top w:val="single" w:sz="8" w:color="auto"/>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80" w:type="dxa"/>
            <w:vAlign w:val="bottom"/>
            <w:tcBorders>
              <w:top w:val="single" w:sz="8" w:color="auto"/>
              <w:bottom w:val="single" w:sz="8" w:color="auto"/>
            </w:tcBorders>
            <w:gridSpan w:val="2"/>
          </w:tcPr>
          <w:p>
            <w:pPr>
              <w:jc w:val="right"/>
              <w:ind w:right="250"/>
              <w:spacing w:after="0"/>
              <w:rPr>
                <w:sz w:val="20"/>
                <w:szCs w:val="20"/>
                <w:color w:val="auto"/>
              </w:rPr>
            </w:pPr>
            <w:r>
              <w:rPr>
                <w:rFonts w:ascii="Arial" w:cs="Arial" w:eastAsia="Arial" w:hAnsi="Arial"/>
                <w:sz w:val="18"/>
                <w:szCs w:val="18"/>
                <w:color w:val="auto"/>
              </w:rPr>
              <w:t>2021</w:t>
            </w:r>
          </w:p>
        </w:tc>
        <w:tc>
          <w:tcPr>
            <w:tcW w:w="60" w:type="dxa"/>
            <w:vAlign w:val="bottom"/>
            <w:tcBorders>
              <w:top w:val="single" w:sz="8" w:color="auto"/>
              <w:bottom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3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40" w:type="dxa"/>
            <w:vAlign w:val="bottom"/>
            <w:gridSpan w:val="3"/>
          </w:tcPr>
          <w:p>
            <w:pPr>
              <w:jc w:val="center"/>
              <w:ind w:right="280"/>
              <w:spacing w:after="0"/>
              <w:rPr>
                <w:sz w:val="20"/>
                <w:szCs w:val="20"/>
                <w:color w:val="auto"/>
              </w:rPr>
            </w:pPr>
            <w:r>
              <w:rPr>
                <w:rFonts w:ascii="Arial" w:cs="Arial" w:eastAsia="Arial" w:hAnsi="Arial"/>
                <w:sz w:val="18"/>
                <w:szCs w:val="18"/>
                <w:color w:val="auto"/>
                <w:w w:val="79"/>
              </w:rPr>
              <w:t>€</w:t>
            </w:r>
          </w:p>
        </w:tc>
        <w:tc>
          <w:tcPr>
            <w:tcW w:w="1420" w:type="dxa"/>
            <w:vAlign w:val="bottom"/>
            <w:gridSpan w:val="3"/>
          </w:tcPr>
          <w:p>
            <w:pPr>
              <w:jc w:val="center"/>
              <w:ind w:right="240"/>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20"/>
                <w:szCs w:val="20"/>
                <w:color w:val="auto"/>
              </w:rPr>
            </w:pPr>
          </w:p>
        </w:tc>
        <w:tc>
          <w:tcPr>
            <w:tcW w:w="1240" w:type="dxa"/>
            <w:vAlign w:val="bottom"/>
            <w:gridSpan w:val="3"/>
          </w:tcPr>
          <w:p>
            <w:pPr>
              <w:jc w:val="center"/>
              <w:ind w:right="200"/>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20"/>
                <w:szCs w:val="20"/>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3"/>
        </w:trPr>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Current income tax expense</w:t>
            </w:r>
          </w:p>
        </w:tc>
        <w:tc>
          <w:tcPr>
            <w:tcW w:w="2820" w:type="dxa"/>
            <w:vAlign w:val="bottom"/>
            <w:gridSpan w:val="4"/>
            <w:shd w:val="clear" w:color="auto" w:fill="CFF0FC"/>
          </w:tcPr>
          <w:p>
            <w:pPr>
              <w:jc w:val="right"/>
              <w:ind w:right="160"/>
              <w:spacing w:after="0"/>
              <w:rPr>
                <w:sz w:val="20"/>
                <w:szCs w:val="20"/>
                <w:color w:val="auto"/>
              </w:rPr>
            </w:pPr>
            <w:r>
              <w:rPr>
                <w:rFonts w:ascii="Arial" w:cs="Arial" w:eastAsia="Arial" w:hAnsi="Arial"/>
                <w:sz w:val="18"/>
                <w:szCs w:val="18"/>
                <w:color w:val="auto"/>
              </w:rPr>
              <w:t>(13,933)</w:t>
            </w:r>
          </w:p>
        </w:tc>
        <w:tc>
          <w:tcPr>
            <w:tcW w:w="20" w:type="dxa"/>
            <w:vAlign w:val="bottom"/>
            <w:shd w:val="clear" w:color="auto" w:fill="CFF0FC"/>
          </w:tcPr>
          <w:p>
            <w:pPr>
              <w:spacing w:after="0"/>
              <w:rPr>
                <w:sz w:val="21"/>
                <w:szCs w:val="21"/>
                <w:color w:val="auto"/>
              </w:rPr>
            </w:pPr>
          </w:p>
        </w:tc>
        <w:tc>
          <w:tcPr>
            <w:tcW w:w="1420" w:type="dxa"/>
            <w:vAlign w:val="bottom"/>
            <w:gridSpan w:val="3"/>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80" w:type="dxa"/>
            <w:vAlign w:val="bottom"/>
            <w:gridSpan w:val="4"/>
            <w:shd w:val="clear" w:color="auto" w:fill="CFF0FC"/>
          </w:tcPr>
          <w:p>
            <w:pPr>
              <w:jc w:val="right"/>
              <w:ind w:right="80"/>
              <w:spacing w:after="0"/>
              <w:rPr>
                <w:sz w:val="20"/>
                <w:szCs w:val="20"/>
                <w:color w:val="auto"/>
              </w:rPr>
            </w:pPr>
            <w:r>
              <w:rPr>
                <w:rFonts w:ascii="Arial" w:cs="Arial" w:eastAsia="Arial" w:hAnsi="Arial"/>
                <w:sz w:val="18"/>
                <w:szCs w:val="18"/>
                <w:color w:val="auto"/>
              </w:rPr>
              <w:t>(32,522)</w:t>
            </w:r>
          </w:p>
        </w:tc>
        <w:tc>
          <w:tcPr>
            <w:tcW w:w="10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3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Deferred taxes</w:t>
            </w:r>
          </w:p>
        </w:tc>
        <w:tc>
          <w:tcPr>
            <w:tcW w:w="1380" w:type="dxa"/>
            <w:vAlign w:val="bottom"/>
            <w:tcBorders>
              <w:bottom w:val="single" w:sz="8" w:color="CFF0FC"/>
            </w:tcBorders>
          </w:tcPr>
          <w:p>
            <w:pPr>
              <w:spacing w:after="0"/>
              <w:rPr>
                <w:sz w:val="21"/>
                <w:szCs w:val="21"/>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10,968</w:t>
            </w:r>
          </w:p>
        </w:tc>
        <w:tc>
          <w:tcPr>
            <w:tcW w:w="220" w:type="dxa"/>
            <w:vAlign w:val="bottom"/>
            <w:tcBorders>
              <w:bottom w:val="single" w:sz="8" w:color="CFF0FC"/>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gridSpan w:val="2"/>
          </w:tcPr>
          <w:p>
            <w:pPr>
              <w:spacing w:after="0"/>
              <w:rPr>
                <w:sz w:val="21"/>
                <w:szCs w:val="21"/>
                <w:color w:val="auto"/>
              </w:rPr>
            </w:pPr>
          </w:p>
        </w:tc>
        <w:tc>
          <w:tcPr>
            <w:tcW w:w="11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10,968</w:t>
            </w:r>
          </w:p>
        </w:tc>
        <w:tc>
          <w:tcPr>
            <w:tcW w:w="14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340" w:type="dxa"/>
            <w:vAlign w:val="bottom"/>
            <w:shd w:val="clear" w:color="auto" w:fill="CFF0FC"/>
          </w:tcPr>
          <w:p>
            <w:pPr>
              <w:spacing w:after="0"/>
              <w:rPr>
                <w:sz w:val="20"/>
                <w:szCs w:val="20"/>
                <w:color w:val="auto"/>
              </w:rPr>
            </w:pPr>
          </w:p>
        </w:tc>
        <w:tc>
          <w:tcPr>
            <w:tcW w:w="2820" w:type="dxa"/>
            <w:vAlign w:val="bottom"/>
            <w:gridSpan w:val="4"/>
            <w:shd w:val="clear" w:color="auto" w:fill="CFF0FC"/>
          </w:tcPr>
          <w:p>
            <w:pPr>
              <w:jc w:val="right"/>
              <w:ind w:right="160"/>
              <w:spacing w:after="0"/>
              <w:rPr>
                <w:sz w:val="20"/>
                <w:szCs w:val="20"/>
                <w:color w:val="auto"/>
              </w:rPr>
            </w:pPr>
            <w:r>
              <w:rPr>
                <w:rFonts w:ascii="Arial" w:cs="Arial" w:eastAsia="Arial" w:hAnsi="Arial"/>
                <w:sz w:val="18"/>
                <w:szCs w:val="18"/>
                <w:color w:val="auto"/>
              </w:rPr>
              <w:t>(2,965)</w:t>
            </w:r>
          </w:p>
        </w:tc>
        <w:tc>
          <w:tcPr>
            <w:tcW w:w="20" w:type="dxa"/>
            <w:vAlign w:val="bottom"/>
            <w:shd w:val="clear" w:color="auto" w:fill="CFF0FC"/>
          </w:tcPr>
          <w:p>
            <w:pPr>
              <w:spacing w:after="0"/>
              <w:rPr>
                <w:sz w:val="20"/>
                <w:szCs w:val="20"/>
                <w:color w:val="auto"/>
              </w:rPr>
            </w:pPr>
          </w:p>
        </w:tc>
        <w:tc>
          <w:tcPr>
            <w:tcW w:w="1420" w:type="dxa"/>
            <w:vAlign w:val="bottom"/>
            <w:gridSpan w:val="3"/>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80" w:type="dxa"/>
            <w:vAlign w:val="bottom"/>
            <w:gridSpan w:val="4"/>
            <w:shd w:val="clear" w:color="auto" w:fill="CFF0FC"/>
          </w:tcPr>
          <w:p>
            <w:pPr>
              <w:jc w:val="right"/>
              <w:ind w:right="80"/>
              <w:spacing w:after="0"/>
              <w:rPr>
                <w:sz w:val="20"/>
                <w:szCs w:val="20"/>
                <w:color w:val="auto"/>
              </w:rPr>
            </w:pPr>
            <w:r>
              <w:rPr>
                <w:rFonts w:ascii="Arial" w:cs="Arial" w:eastAsia="Arial" w:hAnsi="Arial"/>
                <w:sz w:val="18"/>
                <w:szCs w:val="18"/>
                <w:color w:val="auto"/>
              </w:rPr>
              <w:t>(21,554)</w:t>
            </w:r>
          </w:p>
        </w:tc>
        <w:tc>
          <w:tcPr>
            <w:tcW w:w="10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340" w:type="dxa"/>
            <w:vAlign w:val="bottom"/>
            <w:tcBorders>
              <w:top w:val="single" w:sz="8" w:color="CFF0FC"/>
            </w:tcBorders>
          </w:tcPr>
          <w:p>
            <w:pPr>
              <w:spacing w:after="0" w:line="20" w:lineRule="exact"/>
              <w:rPr>
                <w:sz w:val="1"/>
                <w:szCs w:val="1"/>
                <w:color w:val="auto"/>
              </w:rPr>
            </w:pPr>
          </w:p>
        </w:tc>
        <w:tc>
          <w:tcPr>
            <w:tcW w:w="138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tax expenses over the six months ended June 30, 2021 relate to the Company's US subsidiary as the result of a cost-plus agreement between the US entity and Group's principal entity resulting in a taxable profit in the United States of America.</w:t>
      </w:r>
    </w:p>
    <w:p>
      <w:pPr>
        <w:spacing w:after="0" w:line="13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Reconciliation of income tax benefit at statutory tax rate and the income tax expense as reported in the unaudited condensed consolidated statement of profit or loss and other comprehensive income is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940" w:type="dxa"/>
            <w:vAlign w:val="bottom"/>
          </w:tcPr>
          <w:p>
            <w:pPr>
              <w:spacing w:after="0"/>
              <w:rPr>
                <w:sz w:val="19"/>
                <w:szCs w:val="19"/>
                <w:color w:val="auto"/>
              </w:rPr>
            </w:pPr>
          </w:p>
        </w:tc>
        <w:tc>
          <w:tcPr>
            <w:tcW w:w="2860" w:type="dxa"/>
            <w:vAlign w:val="bottom"/>
            <w:gridSpan w:val="6"/>
          </w:tcPr>
          <w:p>
            <w:pPr>
              <w:ind w:left="220"/>
              <w:spacing w:after="0"/>
              <w:rPr>
                <w:sz w:val="20"/>
                <w:szCs w:val="20"/>
                <w:color w:val="auto"/>
              </w:rPr>
            </w:pPr>
            <w:r>
              <w:rPr>
                <w:rFonts w:ascii="Arial" w:cs="Arial" w:eastAsia="Arial" w:hAnsi="Arial"/>
                <w:sz w:val="18"/>
                <w:szCs w:val="18"/>
                <w:color w:val="auto"/>
                <w:w w:val="98"/>
              </w:rPr>
              <w:t>For the three months ended June</w:t>
            </w:r>
          </w:p>
        </w:tc>
        <w:tc>
          <w:tcPr>
            <w:tcW w:w="2440" w:type="dxa"/>
            <w:vAlign w:val="bottom"/>
            <w:gridSpan w:val="4"/>
          </w:tcPr>
          <w:p>
            <w:pPr>
              <w:jc w:val="right"/>
              <w:ind w:right="140"/>
              <w:spacing w:after="0"/>
              <w:rPr>
                <w:sz w:val="20"/>
                <w:szCs w:val="20"/>
                <w:color w:val="auto"/>
              </w:rPr>
            </w:pPr>
            <w:r>
              <w:rPr>
                <w:rFonts w:ascii="Arial" w:cs="Arial" w:eastAsia="Arial" w:hAnsi="Arial"/>
                <w:sz w:val="18"/>
                <w:szCs w:val="18"/>
                <w:color w:val="auto"/>
                <w:w w:val="92"/>
              </w:rPr>
              <w:t>For the six months ended June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30</w:t>
            </w:r>
          </w:p>
        </w:tc>
        <w:tc>
          <w:tcPr>
            <w:tcW w:w="10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30</w:t>
            </w: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2021</w:t>
            </w:r>
          </w:p>
        </w:tc>
        <w:tc>
          <w:tcPr>
            <w:tcW w:w="240" w:type="dxa"/>
            <w:vAlign w:val="bottom"/>
          </w:tcPr>
          <w:p>
            <w:pPr>
              <w:spacing w:after="0"/>
              <w:rPr>
                <w:sz w:val="20"/>
                <w:szCs w:val="20"/>
                <w:color w:val="auto"/>
              </w:rPr>
            </w:pPr>
          </w:p>
        </w:tc>
        <w:tc>
          <w:tcPr>
            <w:tcW w:w="10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2021</w:t>
            </w:r>
          </w:p>
        </w:tc>
        <w:tc>
          <w:tcPr>
            <w:tcW w:w="260" w:type="dxa"/>
            <w:vAlign w:val="bottom"/>
          </w:tcPr>
          <w:p>
            <w:pPr>
              <w:spacing w:after="0"/>
              <w:rPr>
                <w:sz w:val="20"/>
                <w:szCs w:val="20"/>
                <w:color w:val="auto"/>
              </w:rPr>
            </w:pPr>
          </w:p>
        </w:tc>
        <w:tc>
          <w:tcPr>
            <w:tcW w:w="10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8"/>
                <w:szCs w:val="18"/>
                <w:color w:val="auto"/>
                <w:w w:val="79"/>
              </w:rPr>
              <w:t>€</w:t>
            </w:r>
          </w:p>
        </w:tc>
        <w:tc>
          <w:tcPr>
            <w:tcW w:w="1320" w:type="dxa"/>
            <w:vAlign w:val="bottom"/>
            <w:gridSpan w:val="3"/>
          </w:tcPr>
          <w:p>
            <w:pPr>
              <w:jc w:val="center"/>
              <w:ind w:right="24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center"/>
              <w:ind w:right="26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center"/>
              <w:ind w:right="140"/>
              <w:spacing w:after="0"/>
              <w:rPr>
                <w:sz w:val="20"/>
                <w:szCs w:val="20"/>
                <w:color w:val="auto"/>
              </w:rPr>
            </w:pPr>
            <w:r>
              <w:rPr>
                <w:rFonts w:ascii="Arial" w:cs="Arial" w:eastAsia="Arial" w:hAnsi="Arial"/>
                <w:sz w:val="18"/>
                <w:szCs w:val="18"/>
                <w:color w:val="auto"/>
                <w:w w:val="79"/>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Loss before income tax</w:t>
            </w:r>
          </w:p>
        </w:tc>
        <w:tc>
          <w:tcPr>
            <w:tcW w:w="1540" w:type="dxa"/>
            <w:vAlign w:val="bottom"/>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(15,199,807)</w:t>
            </w: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(5,745,424)</w:t>
            </w:r>
          </w:p>
        </w:tc>
        <w:tc>
          <w:tcPr>
            <w:tcW w:w="12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(21,224,095)</w:t>
            </w: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(9,021,959)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940" w:type="dxa"/>
            <w:vAlign w:val="bottom"/>
          </w:tcPr>
          <w:p>
            <w:pPr>
              <w:spacing w:after="0"/>
              <w:rPr>
                <w:sz w:val="20"/>
                <w:szCs w:val="20"/>
                <w:color w:val="auto"/>
              </w:rPr>
            </w:pPr>
            <w:r>
              <w:rPr>
                <w:rFonts w:ascii="Arial" w:cs="Arial" w:eastAsia="Arial" w:hAnsi="Arial"/>
                <w:sz w:val="18"/>
                <w:szCs w:val="18"/>
                <w:color w:val="auto"/>
              </w:rPr>
              <w:t>Income tax benefit at statutory income tax rate of 25%</w:t>
            </w:r>
          </w:p>
        </w:tc>
        <w:tc>
          <w:tcPr>
            <w:tcW w:w="1540" w:type="dxa"/>
            <w:vAlign w:val="bottom"/>
            <w:gridSpan w:val="3"/>
          </w:tcPr>
          <w:p>
            <w:pPr>
              <w:jc w:val="right"/>
              <w:ind w:right="180"/>
              <w:spacing w:after="0"/>
              <w:rPr>
                <w:sz w:val="20"/>
                <w:szCs w:val="20"/>
                <w:color w:val="auto"/>
              </w:rPr>
            </w:pPr>
            <w:r>
              <w:rPr>
                <w:rFonts w:ascii="Arial" w:cs="Arial" w:eastAsia="Arial" w:hAnsi="Arial"/>
                <w:sz w:val="18"/>
                <w:szCs w:val="18"/>
                <w:color w:val="auto"/>
              </w:rPr>
              <w:t>(3,799,952)</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(1,436,356)</w:t>
            </w:r>
          </w:p>
        </w:tc>
        <w:tc>
          <w:tcPr>
            <w:tcW w:w="12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(5,306,024)</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(2,255,490)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w w:val="98"/>
              </w:rPr>
              <w:t>Temporary differences for which no deferred tax assets/liabilities have been</w:t>
            </w:r>
          </w:p>
        </w:tc>
        <w:tc>
          <w:tcPr>
            <w:tcW w:w="22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recognized</w:t>
            </w:r>
          </w:p>
        </w:tc>
        <w:tc>
          <w:tcPr>
            <w:tcW w:w="1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184,629</w:t>
            </w:r>
          </w:p>
        </w:tc>
        <w:tc>
          <w:tcPr>
            <w:tcW w:w="24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(275,280)</w:t>
            </w:r>
          </w:p>
        </w:tc>
        <w:tc>
          <w:tcPr>
            <w:tcW w:w="12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162,580</w:t>
            </w:r>
          </w:p>
        </w:tc>
        <w:tc>
          <w:tcPr>
            <w:tcW w:w="26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211,474</w:t>
            </w:r>
          </w:p>
        </w:tc>
        <w:tc>
          <w:tcPr>
            <w:tcW w:w="10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940" w:type="dxa"/>
            <w:vAlign w:val="bottom"/>
          </w:tcPr>
          <w:p>
            <w:pPr>
              <w:spacing w:after="0"/>
              <w:rPr>
                <w:sz w:val="20"/>
                <w:szCs w:val="20"/>
                <w:color w:val="auto"/>
              </w:rPr>
            </w:pPr>
            <w:r>
              <w:rPr>
                <w:rFonts w:ascii="Arial" w:cs="Arial" w:eastAsia="Arial" w:hAnsi="Arial"/>
                <w:sz w:val="18"/>
                <w:szCs w:val="18"/>
                <w:color w:val="auto"/>
              </w:rPr>
              <w:t>Non-deductible expenses for tax purposes</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96,125</w:t>
            </w:r>
          </w:p>
        </w:tc>
        <w:tc>
          <w:tcPr>
            <w:tcW w:w="240" w:type="dxa"/>
            <w:vAlign w:val="bottom"/>
          </w:tcPr>
          <w:p>
            <w:pPr>
              <w:spacing w:after="0"/>
              <w:rPr>
                <w:sz w:val="21"/>
                <w:szCs w:val="21"/>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(70,893)</w:t>
            </w: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587</w:t>
            </w:r>
          </w:p>
        </w:tc>
        <w:tc>
          <w:tcPr>
            <w:tcW w:w="2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3,686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Current year losses for which no deferred tax asset has been recognized</w:t>
            </w:r>
          </w:p>
        </w:tc>
        <w:tc>
          <w:tcPr>
            <w:tcW w:w="1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2,361,695</w:t>
            </w:r>
          </w:p>
        </w:tc>
        <w:tc>
          <w:tcPr>
            <w:tcW w:w="240" w:type="dxa"/>
            <w:vAlign w:val="bottom"/>
            <w:shd w:val="clear" w:color="auto" w:fill="CFF0FC"/>
          </w:tcPr>
          <w:p>
            <w:pPr>
              <w:spacing w:after="0"/>
              <w:rPr>
                <w:sz w:val="22"/>
                <w:szCs w:val="22"/>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1,543,047</w:t>
            </w:r>
          </w:p>
        </w:tc>
        <w:tc>
          <w:tcPr>
            <w:tcW w:w="12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1,992,455</w:t>
            </w:r>
          </w:p>
        </w:tc>
        <w:tc>
          <w:tcPr>
            <w:tcW w:w="260" w:type="dxa"/>
            <w:vAlign w:val="bottom"/>
            <w:shd w:val="clear" w:color="auto" w:fill="CFF0FC"/>
          </w:tcPr>
          <w:p>
            <w:pPr>
              <w:spacing w:after="0"/>
              <w:rPr>
                <w:sz w:val="22"/>
                <w:szCs w:val="2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1,805,953</w:t>
            </w:r>
          </w:p>
        </w:tc>
        <w:tc>
          <w:tcPr>
            <w:tcW w:w="100" w:type="dxa"/>
            <w:vAlign w:val="bottom"/>
            <w:shd w:val="clear" w:color="auto" w:fill="CFF0FC"/>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940" w:type="dxa"/>
            <w:vAlign w:val="bottom"/>
          </w:tcPr>
          <w:p>
            <w:pPr>
              <w:spacing w:after="0"/>
              <w:rPr>
                <w:sz w:val="20"/>
                <w:szCs w:val="20"/>
                <w:color w:val="auto"/>
              </w:rPr>
            </w:pPr>
            <w:r>
              <w:rPr>
                <w:rFonts w:ascii="Arial" w:cs="Arial" w:eastAsia="Arial" w:hAnsi="Arial"/>
                <w:sz w:val="18"/>
                <w:szCs w:val="18"/>
                <w:color w:val="auto"/>
              </w:rPr>
              <w:t>Differences in overseas tax rates</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1,160,468</w:t>
            </w:r>
          </w:p>
        </w:tc>
        <w:tc>
          <w:tcPr>
            <w:tcW w:w="2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820,236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3,171,956</w:t>
            </w:r>
          </w:p>
        </w:tc>
        <w:tc>
          <w:tcPr>
            <w:tcW w:w="26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815,131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Impact of rate differences on opening deferred tax balances</w:t>
            </w:r>
          </w:p>
        </w:tc>
        <w:tc>
          <w:tcPr>
            <w:tcW w:w="220" w:type="dxa"/>
            <w:vAlign w:val="bottom"/>
            <w:shd w:val="clear" w:color="auto" w:fill="CFF0FC"/>
          </w:tcPr>
          <w:p>
            <w:pPr>
              <w:spacing w:after="0"/>
              <w:rPr>
                <w:sz w:val="22"/>
                <w:szCs w:val="22"/>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2"/>
                <w:szCs w:val="22"/>
                <w:color w:val="auto"/>
              </w:rPr>
            </w:pP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(580,754)</w:t>
            </w:r>
          </w:p>
        </w:tc>
        <w:tc>
          <w:tcPr>
            <w:tcW w:w="120" w:type="dxa"/>
            <w:vAlign w:val="bottom"/>
            <w:shd w:val="clear" w:color="auto" w:fill="CFF0FC"/>
          </w:tcPr>
          <w:p>
            <w:pPr>
              <w:spacing w:after="0"/>
              <w:rPr>
                <w:sz w:val="22"/>
                <w:szCs w:val="22"/>
                <w:color w:val="auto"/>
              </w:rPr>
            </w:pPr>
          </w:p>
        </w:tc>
        <w:tc>
          <w:tcPr>
            <w:tcW w:w="13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(580,754)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5940" w:type="dxa"/>
            <w:vAlign w:val="bottom"/>
          </w:tcPr>
          <w:p>
            <w:pPr>
              <w:spacing w:after="0"/>
              <w:rPr>
                <w:sz w:val="20"/>
                <w:szCs w:val="20"/>
                <w:color w:val="auto"/>
              </w:rPr>
            </w:pPr>
            <w:r>
              <w:rPr>
                <w:rFonts w:ascii="Arial" w:cs="Arial" w:eastAsia="Arial" w:hAnsi="Arial"/>
                <w:sz w:val="18"/>
                <w:szCs w:val="18"/>
                <w:b w:val="1"/>
                <w:bCs w:val="1"/>
                <w:color w:val="auto"/>
              </w:rPr>
              <w:t>Income tax expense</w:t>
            </w:r>
          </w:p>
        </w:tc>
        <w:tc>
          <w:tcPr>
            <w:tcW w:w="220" w:type="dxa"/>
            <w:vAlign w:val="bottom"/>
          </w:tcPr>
          <w:p>
            <w:pPr>
              <w:spacing w:after="0"/>
              <w:rPr>
                <w:sz w:val="20"/>
                <w:szCs w:val="20"/>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2,965</w:t>
            </w:r>
          </w:p>
        </w:tc>
        <w:tc>
          <w:tcPr>
            <w:tcW w:w="240" w:type="dxa"/>
            <w:vAlign w:val="bottom"/>
          </w:tcPr>
          <w:p>
            <w:pPr>
              <w:spacing w:after="0"/>
              <w:rPr>
                <w:sz w:val="20"/>
                <w:szCs w:val="20"/>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21,554</w:t>
            </w:r>
          </w:p>
        </w:tc>
        <w:tc>
          <w:tcPr>
            <w:tcW w:w="260" w:type="dxa"/>
            <w:vAlign w:val="bottom"/>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940" w:type="dxa"/>
            <w:vAlign w:val="bottom"/>
            <w:vMerge w:val="restart"/>
          </w:tcPr>
          <w:p>
            <w:pPr>
              <w:ind w:left="5520"/>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59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594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6408420</wp:posOffset>
            </wp:positionH>
            <wp:positionV relativeFrom="paragraph">
              <wp:posOffset>-839470</wp:posOffset>
            </wp:positionV>
            <wp:extent cx="659765"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59765" cy="171450"/>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-1165225</wp:posOffset>
            </wp:positionV>
            <wp:extent cx="3162935"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162935" cy="171450"/>
                    </a:xfrm>
                    <a:prstGeom prst="rect">
                      <a:avLst/>
                    </a:prstGeom>
                    <a:noFill/>
                  </pic:spPr>
                </pic:pic>
              </a:graphicData>
            </a:graphic>
          </wp:anchor>
        </w:drawing>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783" w:right="319" w:bottom="1440" w:gutter="0" w:footer="0" w:header="0"/>
        </w:sectPr>
      </w:pPr>
    </w:p>
    <w:bookmarkStart w:id="33" w:name="page34"/>
    <w:bookmarkEnd w:id="33"/>
    <w:p>
      <w:pPr>
        <w:ind w:right="440"/>
        <w:spacing w:after="0" w:line="293" w:lineRule="auto"/>
        <w:rPr>
          <w:sz w:val="20"/>
          <w:szCs w:val="20"/>
          <w:color w:val="auto"/>
        </w:rPr>
      </w:pPr>
      <w:r>
        <w:rPr>
          <w:rFonts w:ascii="Arial" w:cs="Arial" w:eastAsia="Arial" w:hAnsi="Arial"/>
          <w:sz w:val="18"/>
          <w:szCs w:val="18"/>
          <w:color w:val="auto"/>
        </w:rPr>
        <w:t>The effect of current year losses for which no DTA has been recognized includes the offsetting effect from the derecognition of losses reported through equity/ consolidated statement of profit or loss and other comprehensive income.</w:t>
      </w:r>
    </w:p>
    <w:p>
      <w:pPr>
        <w:spacing w:after="0" w:line="170" w:lineRule="exact"/>
        <w:rPr>
          <w:sz w:val="20"/>
          <w:szCs w:val="20"/>
          <w:color w:val="auto"/>
        </w:rPr>
      </w:pPr>
    </w:p>
    <w:p>
      <w:pPr>
        <w:jc w:val="both"/>
        <w:ind w:right="300"/>
        <w:spacing w:after="0" w:line="293" w:lineRule="auto"/>
        <w:rPr>
          <w:sz w:val="20"/>
          <w:szCs w:val="20"/>
          <w:color w:val="auto"/>
        </w:rPr>
      </w:pPr>
      <w:r>
        <w:rPr>
          <w:rFonts w:ascii="Arial" w:cs="Arial" w:eastAsia="Arial" w:hAnsi="Arial"/>
          <w:sz w:val="18"/>
          <w:szCs w:val="18"/>
          <w:color w:val="auto"/>
        </w:rPr>
        <w:t>The differences in the overseas tax rates are due to the lower tax rate in Switzerland and the higher tax rate in the USA compared to the statutory income tax rate in the Netherlands.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effective tax rate is 0.1% for the six months ended June 30, 2021(2020: 0%).</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Pharvaris N.V. is the head of the fiscal unity including Pharvaris Netherlands B.V. and Pharvaris Holdings B.V.</w:t>
      </w:r>
    </w:p>
    <w:p>
      <w:pPr>
        <w:spacing w:after="0" w:line="198" w:lineRule="exact"/>
        <w:rPr>
          <w:sz w:val="20"/>
          <w:szCs w:val="20"/>
          <w:color w:val="auto"/>
        </w:rPr>
      </w:pPr>
    </w:p>
    <w:p>
      <w:pPr>
        <w:jc w:val="both"/>
        <w:ind w:right="300"/>
        <w:spacing w:after="0" w:line="286" w:lineRule="auto"/>
        <w:rPr>
          <w:sz w:val="20"/>
          <w:szCs w:val="20"/>
          <w:color w:val="auto"/>
        </w:rPr>
      </w:pPr>
      <w:r>
        <w:rPr>
          <w:rFonts w:ascii="Arial" w:cs="Arial" w:eastAsia="Arial" w:hAnsi="Arial"/>
          <w:sz w:val="17"/>
          <w:szCs w:val="17"/>
          <w:color w:val="auto"/>
        </w:rPr>
        <w:t>The Group has tax loss carry-forwards of approximately €74.7 million as of June 30, 2021 (2020: €12.5 million), that are available for offsetting against future taxable profits of the companies in which the losses arose. In 2021, the Dutch tax law was revised and as result of the revision, the carry forward losses can be offset indefinitely. Under Swiss law, losses can be offset against future income or capital gains for seven years.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60" w:type="dxa"/>
            <w:vAlign w:val="bottom"/>
            <w:gridSpan w:val="2"/>
          </w:tcPr>
          <w:p>
            <w:pPr>
              <w:spacing w:after="0"/>
              <w:rPr>
                <w:sz w:val="20"/>
                <w:szCs w:val="20"/>
                <w:color w:val="auto"/>
              </w:rPr>
            </w:pPr>
            <w:r>
              <w:rPr>
                <w:rFonts w:ascii="Arial" w:cs="Arial" w:eastAsia="Arial" w:hAnsi="Arial"/>
                <w:sz w:val="18"/>
                <w:szCs w:val="18"/>
                <w:color w:val="auto"/>
              </w:rPr>
              <w:t>Tax loss carry-forwards incurred in current and prior years will expire as follows:</w:t>
            </w:r>
          </w:p>
        </w:tc>
        <w:tc>
          <w:tcPr>
            <w:tcW w:w="1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9"/>
        </w:trPr>
        <w:tc>
          <w:tcPr>
            <w:tcW w:w="65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Year</w:t>
            </w:r>
          </w:p>
        </w:tc>
        <w:tc>
          <w:tcPr>
            <w:tcW w:w="140" w:type="dxa"/>
            <w:vAlign w:val="bottom"/>
          </w:tcPr>
          <w:p>
            <w:pPr>
              <w:spacing w:after="0"/>
              <w:rPr>
                <w:sz w:val="24"/>
                <w:szCs w:val="24"/>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Switzerland</w:t>
            </w:r>
          </w:p>
        </w:tc>
        <w:tc>
          <w:tcPr>
            <w:tcW w:w="240" w:type="dxa"/>
            <w:vAlign w:val="bottom"/>
          </w:tcPr>
          <w:p>
            <w:pPr>
              <w:spacing w:after="0"/>
              <w:rPr>
                <w:sz w:val="24"/>
                <w:szCs w:val="24"/>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Netherlands</w:t>
            </w:r>
          </w:p>
        </w:tc>
        <w:tc>
          <w:tcPr>
            <w:tcW w:w="240" w:type="dxa"/>
            <w:vAlign w:val="bottom"/>
          </w:tcPr>
          <w:p>
            <w:pPr>
              <w:spacing w:after="0"/>
              <w:rPr>
                <w:sz w:val="24"/>
                <w:szCs w:val="24"/>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Tax losses</w:t>
            </w:r>
          </w:p>
        </w:tc>
        <w:tc>
          <w:tcPr>
            <w:tcW w:w="100" w:type="dxa"/>
            <w:vAlign w:val="bottom"/>
          </w:tcPr>
          <w:p>
            <w:pPr>
              <w:spacing w:after="0"/>
              <w:rPr>
                <w:sz w:val="24"/>
                <w:szCs w:val="24"/>
                <w:color w:val="auto"/>
              </w:rPr>
            </w:pPr>
          </w:p>
        </w:tc>
      </w:tr>
      <w:tr>
        <w:trPr>
          <w:trHeight w:val="237"/>
        </w:trPr>
        <w:tc>
          <w:tcPr>
            <w:tcW w:w="6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8"/>
                <w:szCs w:val="18"/>
                <w:color w:val="auto"/>
              </w:rPr>
              <w:t>€ million</w:t>
            </w:r>
          </w:p>
        </w:tc>
        <w:tc>
          <w:tcPr>
            <w:tcW w:w="1580" w:type="dxa"/>
            <w:vAlign w:val="bottom"/>
            <w:gridSpan w:val="2"/>
          </w:tcPr>
          <w:p>
            <w:pPr>
              <w:jc w:val="center"/>
              <w:ind w:right="260"/>
              <w:spacing w:after="0"/>
              <w:rPr>
                <w:sz w:val="20"/>
                <w:szCs w:val="20"/>
                <w:color w:val="auto"/>
              </w:rPr>
            </w:pPr>
            <w:r>
              <w:rPr>
                <w:rFonts w:ascii="Arial" w:cs="Arial" w:eastAsia="Arial" w:hAnsi="Arial"/>
                <w:sz w:val="18"/>
                <w:szCs w:val="18"/>
                <w:color w:val="auto"/>
              </w:rPr>
              <w:t>€ million</w:t>
            </w:r>
          </w:p>
        </w:tc>
        <w:tc>
          <w:tcPr>
            <w:tcW w:w="1440" w:type="dxa"/>
            <w:vAlign w:val="bottom"/>
            <w:gridSpan w:val="2"/>
          </w:tcPr>
          <w:p>
            <w:pPr>
              <w:jc w:val="center"/>
              <w:ind w:right="120"/>
              <w:spacing w:after="0"/>
              <w:rPr>
                <w:sz w:val="20"/>
                <w:szCs w:val="20"/>
                <w:color w:val="auto"/>
              </w:rPr>
            </w:pPr>
            <w:r>
              <w:rPr>
                <w:rFonts w:ascii="Arial" w:cs="Arial" w:eastAsia="Arial" w:hAnsi="Arial"/>
                <w:sz w:val="18"/>
                <w:szCs w:val="18"/>
                <w:color w:val="auto"/>
              </w:rPr>
              <w:t>€ million</w:t>
            </w:r>
          </w:p>
        </w:tc>
      </w:tr>
      <w:tr>
        <w:trPr>
          <w:trHeight w:val="243"/>
        </w:trPr>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2027</w:t>
            </w:r>
          </w:p>
        </w:tc>
        <w:tc>
          <w:tcPr>
            <w:tcW w:w="14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33.9</w:t>
            </w:r>
          </w:p>
        </w:tc>
        <w:tc>
          <w:tcPr>
            <w:tcW w:w="240" w:type="dxa"/>
            <w:vAlign w:val="bottom"/>
            <w:shd w:val="clear" w:color="auto" w:fill="CFF0FC"/>
          </w:tcPr>
          <w:p>
            <w:pPr>
              <w:spacing w:after="0"/>
              <w:rPr>
                <w:sz w:val="21"/>
                <w:szCs w:val="21"/>
                <w:color w:val="auto"/>
              </w:rPr>
            </w:pPr>
          </w:p>
        </w:tc>
        <w:tc>
          <w:tcPr>
            <w:tcW w:w="15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33.9</w:t>
            </w:r>
          </w:p>
        </w:tc>
        <w:tc>
          <w:tcPr>
            <w:tcW w:w="100" w:type="dxa"/>
            <w:vAlign w:val="bottom"/>
            <w:shd w:val="clear" w:color="auto" w:fill="CFF0FC"/>
          </w:tcPr>
          <w:p>
            <w:pPr>
              <w:spacing w:after="0"/>
              <w:rPr>
                <w:sz w:val="21"/>
                <w:szCs w:val="21"/>
                <w:color w:val="auto"/>
              </w:rPr>
            </w:pPr>
          </w:p>
        </w:tc>
      </w:tr>
      <w:tr>
        <w:trPr>
          <w:trHeight w:val="243"/>
        </w:trPr>
        <w:tc>
          <w:tcPr>
            <w:tcW w:w="6520" w:type="dxa"/>
            <w:vAlign w:val="bottom"/>
          </w:tcPr>
          <w:p>
            <w:pPr>
              <w:spacing w:after="0"/>
              <w:rPr>
                <w:sz w:val="20"/>
                <w:szCs w:val="20"/>
                <w:color w:val="auto"/>
              </w:rPr>
            </w:pPr>
            <w:r>
              <w:rPr>
                <w:rFonts w:ascii="Arial" w:cs="Arial" w:eastAsia="Arial" w:hAnsi="Arial"/>
                <w:sz w:val="18"/>
                <w:szCs w:val="18"/>
                <w:color w:val="auto"/>
              </w:rPr>
              <w:t>2028</w:t>
            </w: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22.0</w:t>
            </w:r>
          </w:p>
        </w:tc>
        <w:tc>
          <w:tcPr>
            <w:tcW w:w="240" w:type="dxa"/>
            <w:vAlign w:val="bottom"/>
          </w:tcPr>
          <w:p>
            <w:pPr>
              <w:spacing w:after="0"/>
              <w:rPr>
                <w:sz w:val="21"/>
                <w:szCs w:val="21"/>
                <w:color w:val="auto"/>
              </w:rPr>
            </w:pPr>
          </w:p>
        </w:tc>
        <w:tc>
          <w:tcPr>
            <w:tcW w:w="15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21"/>
                <w:szCs w:val="21"/>
                <w:color w:val="auto"/>
              </w:rPr>
            </w:pPr>
          </w:p>
        </w:tc>
      </w:tr>
      <w:tr>
        <w:trPr>
          <w:trHeight w:val="243"/>
        </w:trPr>
        <w:tc>
          <w:tcPr>
            <w:tcW w:w="66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Unlimited</w:t>
            </w:r>
          </w:p>
        </w:tc>
        <w:tc>
          <w:tcPr>
            <w:tcW w:w="15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w:t>
            </w: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w:t>
            </w:r>
          </w:p>
        </w:tc>
        <w:tc>
          <w:tcPr>
            <w:tcW w:w="100" w:type="dxa"/>
            <w:vAlign w:val="bottom"/>
            <w:shd w:val="clear" w:color="auto" w:fill="CFF0FC"/>
          </w:tcPr>
          <w:p>
            <w:pPr>
              <w:spacing w:after="0"/>
              <w:rPr>
                <w:sz w:val="21"/>
                <w:szCs w:val="21"/>
                <w:color w:val="auto"/>
              </w:rPr>
            </w:pPr>
          </w:p>
        </w:tc>
      </w:tr>
      <w:tr>
        <w:trPr>
          <w:trHeight w:val="237"/>
        </w:trPr>
        <w:tc>
          <w:tcPr>
            <w:tcW w:w="6660" w:type="dxa"/>
            <w:vAlign w:val="bottom"/>
            <w:gridSpan w:val="2"/>
          </w:tcPr>
          <w:p>
            <w:pPr>
              <w:spacing w:after="0"/>
              <w:rPr>
                <w:sz w:val="20"/>
                <w:szCs w:val="20"/>
                <w:color w:val="auto"/>
              </w:rPr>
            </w:pPr>
            <w:r>
              <w:rPr>
                <w:rFonts w:ascii="Arial" w:cs="Arial" w:eastAsia="Arial" w:hAnsi="Arial"/>
                <w:sz w:val="18"/>
                <w:szCs w:val="18"/>
                <w:b w:val="1"/>
                <w:bCs w:val="1"/>
                <w:color w:val="auto"/>
              </w:rPr>
              <w:t>Total carry-forward losses</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55.9</w:t>
            </w:r>
          </w:p>
        </w:tc>
        <w:tc>
          <w:tcPr>
            <w:tcW w:w="240" w:type="dxa"/>
            <w:vAlign w:val="bottom"/>
          </w:tcPr>
          <w:p>
            <w:pPr>
              <w:spacing w:after="0"/>
              <w:rPr>
                <w:sz w:val="20"/>
                <w:szCs w:val="20"/>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18.8</w:t>
            </w:r>
          </w:p>
        </w:tc>
        <w:tc>
          <w:tcPr>
            <w:tcW w:w="240" w:type="dxa"/>
            <w:vAlign w:val="bottom"/>
          </w:tcPr>
          <w:p>
            <w:pPr>
              <w:spacing w:after="0"/>
              <w:rPr>
                <w:sz w:val="20"/>
                <w:szCs w:val="20"/>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74.7</w:t>
            </w:r>
          </w:p>
        </w:tc>
        <w:tc>
          <w:tcPr>
            <w:tcW w:w="100" w:type="dxa"/>
            <w:vAlign w:val="bottom"/>
          </w:tcPr>
          <w:p>
            <w:pPr>
              <w:spacing w:after="0"/>
              <w:rPr>
                <w:sz w:val="20"/>
                <w:szCs w:val="20"/>
                <w:color w:val="auto"/>
              </w:rPr>
            </w:pPr>
          </w:p>
        </w:tc>
      </w:tr>
      <w:tr>
        <w:trPr>
          <w:trHeight w:val="20"/>
        </w:trPr>
        <w:tc>
          <w:tcPr>
            <w:tcW w:w="6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DTA on losses not recognized partly relates to an effect through P&amp;L and partly to an effect through equity.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tax</w:t>
      </w:r>
    </w:p>
    <w:p>
      <w:pPr>
        <w:spacing w:after="0" w:line="22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Deferred taxes have been recognized to the extent that management concludes that there is sufficient probability as per IAS 12 that there will be future taxable profits available in the foreseeable future against which the unused tax losses can be utilized.</w:t>
      </w:r>
    </w:p>
    <w:p>
      <w:pPr>
        <w:spacing w:after="0" w:line="170"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Deferred tax assets relating to losses carried forward have not been recognized, and deferred tax assets on deductible temporary differences in excess of deferred tax liabilities on taxable temporary differences have not been recognized in the consolidated statement of profit or loss and other comprehensive income.</w:t>
      </w:r>
    </w:p>
    <w:p>
      <w:pPr>
        <w:spacing w:after="0" w:line="18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As a result thereof, the total unrecognized deferred tax assets from temporary differences amounts to €22.7 million (2020: €0.9 million) and relates to various temporary differences on intangibles in the Netherlands and Switzerland.</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34"/>
        </w:trPr>
        <w:tc>
          <w:tcPr>
            <w:tcW w:w="5840" w:type="dxa"/>
            <w:vAlign w:val="bottom"/>
          </w:tcPr>
          <w:p>
            <w:pPr>
              <w:spacing w:after="0"/>
              <w:rPr>
                <w:sz w:val="20"/>
                <w:szCs w:val="20"/>
                <w:color w:val="auto"/>
              </w:rPr>
            </w:pPr>
            <w:r>
              <w:rPr>
                <w:rFonts w:ascii="Arial" w:cs="Arial" w:eastAsia="Arial" w:hAnsi="Arial"/>
                <w:sz w:val="18"/>
                <w:szCs w:val="18"/>
                <w:b w:val="1"/>
                <w:bCs w:val="1"/>
                <w:color w:val="auto"/>
              </w:rPr>
              <w:t>Movements in deferred tax balances</w:t>
            </w: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58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gridSpan w:val="2"/>
          </w:tcPr>
          <w:p>
            <w:pPr>
              <w:jc w:val="center"/>
              <w:spacing w:after="0"/>
              <w:rPr>
                <w:sz w:val="20"/>
                <w:szCs w:val="20"/>
                <w:color w:val="auto"/>
              </w:rPr>
            </w:pPr>
            <w:r>
              <w:rPr>
                <w:rFonts w:ascii="Arial" w:cs="Arial" w:eastAsia="Arial" w:hAnsi="Arial"/>
                <w:sz w:val="18"/>
                <w:szCs w:val="18"/>
                <w:color w:val="auto"/>
                <w:w w:val="95"/>
              </w:rPr>
              <w:t>Non current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5840" w:type="dxa"/>
            <w:vAlign w:val="bottom"/>
          </w:tcPr>
          <w:p>
            <w:pPr>
              <w:spacing w:after="0"/>
              <w:rPr>
                <w:sz w:val="19"/>
                <w:szCs w:val="19"/>
                <w:color w:val="auto"/>
              </w:rPr>
            </w:pPr>
          </w:p>
        </w:tc>
        <w:tc>
          <w:tcPr>
            <w:tcW w:w="1260" w:type="dxa"/>
            <w:vAlign w:val="bottom"/>
            <w:gridSpan w:val="2"/>
          </w:tcPr>
          <w:p>
            <w:pPr>
              <w:jc w:val="center"/>
              <w:ind w:right="140"/>
              <w:spacing w:after="0"/>
              <w:rPr>
                <w:sz w:val="20"/>
                <w:szCs w:val="20"/>
                <w:color w:val="auto"/>
              </w:rPr>
            </w:pPr>
            <w:r>
              <w:rPr>
                <w:rFonts w:ascii="Arial" w:cs="Arial" w:eastAsia="Arial" w:hAnsi="Arial"/>
                <w:sz w:val="18"/>
                <w:szCs w:val="18"/>
                <w:color w:val="auto"/>
                <w:w w:val="97"/>
              </w:rPr>
              <w:t>Intangible</w:t>
            </w:r>
          </w:p>
        </w:tc>
        <w:tc>
          <w:tcPr>
            <w:tcW w:w="120" w:type="dxa"/>
            <w:vAlign w:val="bottom"/>
          </w:tcPr>
          <w:p>
            <w:pPr>
              <w:spacing w:after="0"/>
              <w:rPr>
                <w:sz w:val="19"/>
                <w:szCs w:val="19"/>
                <w:color w:val="auto"/>
              </w:rPr>
            </w:pPr>
          </w:p>
        </w:tc>
        <w:tc>
          <w:tcPr>
            <w:tcW w:w="1140" w:type="dxa"/>
            <w:vAlign w:val="bottom"/>
            <w:gridSpan w:val="2"/>
          </w:tcPr>
          <w:p>
            <w:pPr>
              <w:jc w:val="center"/>
              <w:spacing w:after="0"/>
              <w:rPr>
                <w:sz w:val="20"/>
                <w:szCs w:val="20"/>
                <w:color w:val="auto"/>
              </w:rPr>
            </w:pPr>
            <w:r>
              <w:rPr>
                <w:rFonts w:ascii="Arial" w:cs="Arial" w:eastAsia="Arial" w:hAnsi="Arial"/>
                <w:sz w:val="18"/>
                <w:szCs w:val="18"/>
                <w:color w:val="auto"/>
                <w:w w:val="94"/>
              </w:rPr>
              <w:t>provisions and</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vMerge w:val="restart"/>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10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4"/>
              </w:rPr>
              <w:t>assets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rPr>
              <w:t>liabilities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w w:val="98"/>
              </w:rPr>
              <w:t>Fixed assets</w:t>
            </w:r>
          </w:p>
        </w:tc>
        <w:tc>
          <w:tcPr>
            <w:tcW w:w="240" w:type="dxa"/>
            <w:vAlign w:val="bottom"/>
          </w:tcPr>
          <w:p>
            <w:pPr>
              <w:spacing w:after="0"/>
              <w:rPr>
                <w:sz w:val="20"/>
                <w:szCs w:val="20"/>
                <w:color w:val="auto"/>
              </w:rPr>
            </w:pPr>
          </w:p>
        </w:tc>
        <w:tc>
          <w:tcPr>
            <w:tcW w:w="1160" w:type="dxa"/>
            <w:vAlign w:val="bottom"/>
            <w:tcBorders>
              <w:bottom w:val="single" w:sz="8" w:color="auto"/>
            </w:tcBorders>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840" w:type="dxa"/>
            <w:vAlign w:val="bottom"/>
          </w:tcPr>
          <w:p>
            <w:pPr>
              <w:spacing w:after="0"/>
              <w:rPr>
                <w:sz w:val="20"/>
                <w:szCs w:val="20"/>
                <w:color w:val="auto"/>
              </w:rPr>
            </w:pPr>
            <w:r>
              <w:rPr>
                <w:rFonts w:ascii="Arial" w:cs="Arial" w:eastAsia="Arial" w:hAnsi="Arial"/>
                <w:sz w:val="18"/>
                <w:szCs w:val="18"/>
                <w:b w:val="1"/>
                <w:bCs w:val="1"/>
                <w:color w:val="auto"/>
              </w:rPr>
              <w:t>Deferred tax assets</w:t>
            </w:r>
          </w:p>
        </w:tc>
        <w:tc>
          <w:tcPr>
            <w:tcW w:w="1260" w:type="dxa"/>
            <w:vAlign w:val="bottom"/>
            <w:gridSpan w:val="2"/>
          </w:tcPr>
          <w:p>
            <w:pPr>
              <w:jc w:val="center"/>
              <w:ind w:right="140"/>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20"/>
                <w:szCs w:val="20"/>
                <w:color w:val="auto"/>
              </w:rPr>
            </w:pPr>
          </w:p>
        </w:tc>
        <w:tc>
          <w:tcPr>
            <w:tcW w:w="1140" w:type="dxa"/>
            <w:vAlign w:val="bottom"/>
            <w:gridSpan w:val="2"/>
          </w:tcPr>
          <w:p>
            <w:pPr>
              <w:jc w:val="center"/>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3"/>
          </w:tcPr>
          <w:p>
            <w:pPr>
              <w:jc w:val="right"/>
              <w:ind w:right="780"/>
              <w:spacing w:after="0"/>
              <w:rPr>
                <w:sz w:val="20"/>
                <w:szCs w:val="20"/>
                <w:color w:val="auto"/>
              </w:rPr>
            </w:pPr>
            <w:r>
              <w:rPr>
                <w:rFonts w:ascii="Arial" w:cs="Arial" w:eastAsia="Arial" w:hAnsi="Arial"/>
                <w:sz w:val="18"/>
                <w:szCs w:val="18"/>
                <w:color w:val="auto"/>
              </w:rPr>
              <w:t>€</w:t>
            </w: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At January 1, 2021</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1,964,583</w:t>
            </w:r>
          </w:p>
        </w:tc>
        <w:tc>
          <w:tcPr>
            <w:tcW w:w="120" w:type="dxa"/>
            <w:vAlign w:val="bottom"/>
            <w:shd w:val="clear" w:color="auto" w:fill="CFF0FC"/>
          </w:tcPr>
          <w:p>
            <w:pPr>
              <w:spacing w:after="0"/>
              <w:rPr>
                <w:sz w:val="21"/>
                <w:szCs w:val="21"/>
                <w:color w:val="auto"/>
              </w:rPr>
            </w:pPr>
          </w:p>
        </w:tc>
        <w:tc>
          <w:tcPr>
            <w:tcW w:w="12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99,339</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5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2,063,922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40" w:type="dxa"/>
            <w:vAlign w:val="bottom"/>
          </w:tcPr>
          <w:p>
            <w:pPr>
              <w:spacing w:after="0"/>
              <w:rPr>
                <w:sz w:val="20"/>
                <w:szCs w:val="20"/>
                <w:color w:val="auto"/>
              </w:rPr>
            </w:pPr>
            <w:r>
              <w:rPr>
                <w:rFonts w:ascii="Arial" w:cs="Arial" w:eastAsia="Arial" w:hAnsi="Arial"/>
                <w:sz w:val="18"/>
                <w:szCs w:val="18"/>
                <w:color w:val="auto"/>
              </w:rPr>
              <w:t>(Charged)/credited</w:t>
            </w: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 Profit or loss</w:t>
            </w:r>
          </w:p>
        </w:tc>
        <w:tc>
          <w:tcPr>
            <w:tcW w:w="12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(56,944)</w:t>
            </w:r>
          </w:p>
        </w:tc>
        <w:tc>
          <w:tcPr>
            <w:tcW w:w="138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(99,339)</w:t>
            </w:r>
          </w:p>
        </w:tc>
        <w:tc>
          <w:tcPr>
            <w:tcW w:w="12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5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b w:val="1"/>
                <w:bCs w:val="1"/>
                <w:color w:val="auto"/>
              </w:rPr>
              <w:t>(156,283)</w:t>
            </w:r>
          </w:p>
        </w:tc>
        <w:tc>
          <w:tcPr>
            <w:tcW w:w="0" w:type="dxa"/>
            <w:vAlign w:val="bottom"/>
          </w:tcPr>
          <w:p>
            <w:pPr>
              <w:spacing w:after="0"/>
              <w:rPr>
                <w:sz w:val="1"/>
                <w:szCs w:val="1"/>
                <w:color w:val="auto"/>
              </w:rPr>
            </w:pPr>
          </w:p>
        </w:tc>
      </w:tr>
      <w:tr>
        <w:trPr>
          <w:trHeight w:val="243"/>
        </w:trPr>
        <w:tc>
          <w:tcPr>
            <w:tcW w:w="5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 Currency translation differences</w:t>
            </w:r>
          </w:p>
        </w:tc>
        <w:tc>
          <w:tcPr>
            <w:tcW w:w="1140" w:type="dxa"/>
            <w:vAlign w:val="bottom"/>
            <w:tcBorders>
              <w:bottom w:val="single" w:sz="8" w:color="auto"/>
            </w:tcBorders>
          </w:tcPr>
          <w:p>
            <w:pPr>
              <w:spacing w:after="0"/>
              <w:rPr>
                <w:sz w:val="21"/>
                <w:szCs w:val="21"/>
                <w:color w:val="auto"/>
              </w:rPr>
            </w:pPr>
          </w:p>
        </w:tc>
        <w:tc>
          <w:tcPr>
            <w:tcW w:w="120" w:type="dxa"/>
            <w:vAlign w:val="bottom"/>
            <w:tcBorders>
              <w:bottom w:val="single" w:sz="8" w:color="CFF0FC"/>
            </w:tcBorders>
          </w:tcPr>
          <w:p>
            <w:pPr>
              <w:spacing w:after="0"/>
              <w:rPr>
                <w:sz w:val="21"/>
                <w:szCs w:val="21"/>
                <w:color w:val="auto"/>
              </w:rPr>
            </w:pPr>
          </w:p>
        </w:tc>
        <w:tc>
          <w:tcPr>
            <w:tcW w:w="120" w:type="dxa"/>
            <w:vAlign w:val="bottom"/>
            <w:tcBorders>
              <w:bottom w:val="single" w:sz="8" w:color="CFF0FC"/>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21"/>
                <w:szCs w:val="21"/>
                <w:color w:val="auto"/>
              </w:rPr>
            </w:pPr>
          </w:p>
        </w:tc>
        <w:tc>
          <w:tcPr>
            <w:tcW w:w="120" w:type="dxa"/>
            <w:vAlign w:val="bottom"/>
            <w:tcBorders>
              <w:bottom w:val="single" w:sz="8" w:color="CFF0FC"/>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40" w:type="dxa"/>
            <w:vAlign w:val="bottom"/>
            <w:tcBorders>
              <w:bottom w:val="single" w:sz="8" w:color="CFF0FC"/>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At June 30, 2021</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1,907,639</w:t>
            </w: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5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1,907,639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40" w:type="dxa"/>
            <w:vAlign w:val="bottom"/>
            <w:tcBorders>
              <w:top w:val="single" w:sz="8" w:color="CFF0FC"/>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8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Deferred tax liability</w:t>
            </w:r>
          </w:p>
        </w:tc>
        <w:tc>
          <w:tcPr>
            <w:tcW w:w="1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40" w:type="dxa"/>
            <w:vAlign w:val="bottom"/>
          </w:tcPr>
          <w:p>
            <w:pPr>
              <w:spacing w:after="0"/>
              <w:rPr>
                <w:sz w:val="20"/>
                <w:szCs w:val="20"/>
                <w:color w:val="auto"/>
              </w:rPr>
            </w:pPr>
            <w:r>
              <w:rPr>
                <w:rFonts w:ascii="Arial" w:cs="Arial" w:eastAsia="Arial" w:hAnsi="Arial"/>
                <w:sz w:val="18"/>
                <w:szCs w:val="18"/>
                <w:color w:val="auto"/>
              </w:rPr>
              <w:t>At January 1, 2021</w:t>
            </w: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80" w:type="dxa"/>
            <w:vAlign w:val="bottom"/>
            <w:gridSpan w:val="4"/>
          </w:tcPr>
          <w:p>
            <w:pPr>
              <w:jc w:val="right"/>
              <w:spacing w:after="0"/>
              <w:rPr>
                <w:sz w:val="20"/>
                <w:szCs w:val="20"/>
                <w:color w:val="auto"/>
              </w:rPr>
            </w:pPr>
            <w:r>
              <w:rPr>
                <w:rFonts w:ascii="Arial" w:cs="Arial" w:eastAsia="Arial" w:hAnsi="Arial"/>
                <w:sz w:val="18"/>
                <w:szCs w:val="18"/>
                <w:color w:val="auto"/>
              </w:rPr>
              <w:t>(1,964,583)</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(1,964,583)</w:t>
            </w:r>
          </w:p>
        </w:tc>
        <w:tc>
          <w:tcPr>
            <w:tcW w:w="0" w:type="dxa"/>
            <w:vAlign w:val="bottom"/>
          </w:tcPr>
          <w:p>
            <w:pPr>
              <w:spacing w:after="0"/>
              <w:rPr>
                <w:sz w:val="1"/>
                <w:szCs w:val="1"/>
                <w:color w:val="auto"/>
              </w:rPr>
            </w:pPr>
          </w:p>
        </w:tc>
      </w:tr>
      <w:tr>
        <w:trPr>
          <w:trHeight w:val="243"/>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(Charged)/credited</w:t>
            </w:r>
          </w:p>
        </w:tc>
        <w:tc>
          <w:tcPr>
            <w:tcW w:w="1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40" w:type="dxa"/>
            <w:vAlign w:val="bottom"/>
          </w:tcPr>
          <w:p>
            <w:pPr>
              <w:spacing w:after="0"/>
              <w:rPr>
                <w:sz w:val="20"/>
                <w:szCs w:val="20"/>
                <w:color w:val="auto"/>
              </w:rPr>
            </w:pPr>
            <w:r>
              <w:rPr>
                <w:rFonts w:ascii="Arial" w:cs="Arial" w:eastAsia="Arial" w:hAnsi="Arial"/>
                <w:sz w:val="18"/>
                <w:szCs w:val="18"/>
                <w:color w:val="auto"/>
              </w:rPr>
              <w:t>- Profit or loss</w:t>
            </w: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222,285</w:t>
            </w:r>
          </w:p>
        </w:tc>
        <w:tc>
          <w:tcPr>
            <w:tcW w:w="120" w:type="dxa"/>
            <w:vAlign w:val="bottom"/>
          </w:tcPr>
          <w:p>
            <w:pPr>
              <w:spacing w:after="0"/>
              <w:rPr>
                <w:sz w:val="21"/>
                <w:szCs w:val="21"/>
                <w:color w:val="auto"/>
              </w:rPr>
            </w:pPr>
          </w:p>
        </w:tc>
        <w:tc>
          <w:tcPr>
            <w:tcW w:w="1500" w:type="dxa"/>
            <w:vAlign w:val="bottom"/>
            <w:gridSpan w:val="4"/>
          </w:tcPr>
          <w:p>
            <w:pPr>
              <w:jc w:val="right"/>
              <w:ind w:right="180"/>
              <w:spacing w:after="0"/>
              <w:rPr>
                <w:sz w:val="20"/>
                <w:szCs w:val="20"/>
                <w:color w:val="auto"/>
              </w:rPr>
            </w:pPr>
            <w:r>
              <w:rPr>
                <w:rFonts w:ascii="Arial" w:cs="Arial" w:eastAsia="Arial" w:hAnsi="Arial"/>
                <w:sz w:val="18"/>
                <w:szCs w:val="18"/>
                <w:color w:val="auto"/>
              </w:rPr>
              <w:t>(76,970)</w:t>
            </w:r>
          </w:p>
        </w:tc>
        <w:tc>
          <w:tcPr>
            <w:tcW w:w="1160" w:type="dxa"/>
            <w:vAlign w:val="bottom"/>
          </w:tcPr>
          <w:p>
            <w:pPr>
              <w:jc w:val="right"/>
              <w:spacing w:after="0"/>
              <w:rPr>
                <w:sz w:val="20"/>
                <w:szCs w:val="20"/>
                <w:color w:val="auto"/>
              </w:rPr>
            </w:pPr>
            <w:r>
              <w:rPr>
                <w:rFonts w:ascii="Arial" w:cs="Arial" w:eastAsia="Arial" w:hAnsi="Arial"/>
                <w:sz w:val="18"/>
                <w:szCs w:val="18"/>
                <w:color w:val="auto"/>
              </w:rPr>
              <w:t>145,315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 Currency translation differences</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15,271</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380" w:type="dxa"/>
            <w:vAlign w:val="bottom"/>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(1,095)</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14,176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840" w:type="dxa"/>
            <w:vAlign w:val="bottom"/>
          </w:tcPr>
          <w:p>
            <w:pPr>
              <w:spacing w:after="0"/>
              <w:rPr>
                <w:sz w:val="20"/>
                <w:szCs w:val="20"/>
                <w:color w:val="auto"/>
              </w:rPr>
            </w:pPr>
            <w:r>
              <w:rPr>
                <w:rFonts w:ascii="Arial" w:cs="Arial" w:eastAsia="Arial" w:hAnsi="Arial"/>
                <w:sz w:val="18"/>
                <w:szCs w:val="18"/>
                <w:color w:val="auto"/>
              </w:rPr>
              <w:t>At June 30, 2021</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(1,727,027)</w:t>
            </w:r>
          </w:p>
        </w:tc>
        <w:tc>
          <w:tcPr>
            <w:tcW w:w="1500" w:type="dxa"/>
            <w:vAlign w:val="bottom"/>
            <w:gridSpan w:val="4"/>
          </w:tcPr>
          <w:p>
            <w:pPr>
              <w:jc w:val="right"/>
              <w:ind w:right="180"/>
              <w:spacing w:after="0"/>
              <w:rPr>
                <w:sz w:val="20"/>
                <w:szCs w:val="20"/>
                <w:color w:val="auto"/>
              </w:rPr>
            </w:pPr>
            <w:r>
              <w:rPr>
                <w:rFonts w:ascii="Arial" w:cs="Arial" w:eastAsia="Arial" w:hAnsi="Arial"/>
                <w:sz w:val="18"/>
                <w:szCs w:val="18"/>
                <w:color w:val="auto"/>
              </w:rPr>
              <w:t>(78,065)</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(1,805,092)</w:t>
            </w:r>
          </w:p>
        </w:tc>
        <w:tc>
          <w:tcPr>
            <w:tcW w:w="0" w:type="dxa"/>
            <w:vAlign w:val="bottom"/>
          </w:tcPr>
          <w:p>
            <w:pPr>
              <w:spacing w:after="0"/>
              <w:rPr>
                <w:sz w:val="1"/>
                <w:szCs w:val="1"/>
                <w:color w:val="auto"/>
              </w:rPr>
            </w:pPr>
          </w:p>
        </w:tc>
      </w:tr>
      <w:tr>
        <w:trPr>
          <w:trHeight w:val="223"/>
        </w:trPr>
        <w:tc>
          <w:tcPr>
            <w:tcW w:w="58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Net deferred tax assets at June 30, 2021</w:t>
            </w:r>
          </w:p>
        </w:tc>
        <w:tc>
          <w:tcPr>
            <w:tcW w:w="1140" w:type="dxa"/>
            <w:vAlign w:val="bottom"/>
            <w:tcBorders>
              <w:top w:val="single" w:sz="8" w:color="auto"/>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80" w:type="dxa"/>
            <w:vAlign w:val="bottom"/>
            <w:tcBorders>
              <w:top w:val="single" w:sz="8" w:color="auto"/>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80" w:type="dxa"/>
            <w:vAlign w:val="bottom"/>
            <w:tcBorders>
              <w:top w:val="single" w:sz="8" w:color="auto"/>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CFF0FC"/>
            </w:tcBorders>
            <w:shd w:val="clear" w:color="auto" w:fill="CFF0FC"/>
          </w:tcPr>
          <w:p>
            <w:pPr>
              <w:spacing w:after="0"/>
              <w:rPr>
                <w:sz w:val="19"/>
                <w:szCs w:val="19"/>
                <w:color w:val="auto"/>
              </w:rPr>
            </w:pP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102,547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40" w:type="dxa"/>
            <w:vAlign w:val="bottom"/>
            <w:vMerge w:val="restart"/>
          </w:tcPr>
          <w:p>
            <w:pPr>
              <w:spacing w:after="0"/>
              <w:rPr>
                <w:sz w:val="20"/>
                <w:szCs w:val="20"/>
                <w:color w:val="auto"/>
              </w:rPr>
            </w:pPr>
            <w:r>
              <w:rPr>
                <w:rFonts w:ascii="Arial" w:cs="Arial" w:eastAsia="Arial" w:hAnsi="Arial"/>
                <w:sz w:val="18"/>
                <w:szCs w:val="18"/>
                <w:b w:val="1"/>
                <w:bCs w:val="1"/>
                <w:color w:val="auto"/>
              </w:rPr>
              <w:t>8. Property, plant and equipment</w:t>
            </w: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5840" w:type="dxa"/>
            <w:vAlign w:val="bottom"/>
            <w:vMerge w:val="continue"/>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8"/>
        </w:trPr>
        <w:tc>
          <w:tcPr>
            <w:tcW w:w="58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gridSpan w:val="4"/>
          </w:tcPr>
          <w:p>
            <w:pPr>
              <w:jc w:val="center"/>
              <w:ind w:right="900"/>
              <w:spacing w:after="0"/>
              <w:rPr>
                <w:sz w:val="20"/>
                <w:szCs w:val="20"/>
                <w:color w:val="auto"/>
              </w:rPr>
            </w:pPr>
            <w:r>
              <w:rPr>
                <w:rFonts w:ascii="Arial" w:cs="Arial" w:eastAsia="Arial" w:hAnsi="Arial"/>
                <w:sz w:val="18"/>
                <w:szCs w:val="18"/>
                <w:color w:val="auto"/>
              </w:rPr>
              <w:t>Office</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8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430"/>
              <w:spacing w:after="0"/>
              <w:rPr>
                <w:sz w:val="20"/>
                <w:szCs w:val="20"/>
                <w:color w:val="auto"/>
              </w:rPr>
            </w:pPr>
            <w:r>
              <w:rPr>
                <w:rFonts w:ascii="Arial" w:cs="Arial" w:eastAsia="Arial" w:hAnsi="Arial"/>
                <w:sz w:val="18"/>
                <w:szCs w:val="18"/>
                <w:color w:val="auto"/>
                <w:w w:val="97"/>
              </w:rPr>
              <w:t>Notes</w:t>
            </w:r>
          </w:p>
        </w:tc>
        <w:tc>
          <w:tcPr>
            <w:tcW w:w="2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3"/>
          </w:tcPr>
          <w:p>
            <w:pPr>
              <w:jc w:val="center"/>
              <w:ind w:right="210"/>
              <w:spacing w:after="0"/>
              <w:rPr>
                <w:sz w:val="20"/>
                <w:szCs w:val="20"/>
                <w:color w:val="auto"/>
              </w:rPr>
            </w:pPr>
            <w:r>
              <w:rPr>
                <w:rFonts w:ascii="Arial" w:cs="Arial" w:eastAsia="Arial" w:hAnsi="Arial"/>
                <w:sz w:val="18"/>
                <w:szCs w:val="18"/>
                <w:color w:val="auto"/>
                <w:w w:val="92"/>
              </w:rPr>
              <w:t>equipment</w:t>
            </w:r>
          </w:p>
        </w:tc>
        <w:tc>
          <w:tcPr>
            <w:tcW w:w="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8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3"/>
          </w:tcPr>
          <w:p>
            <w:pPr>
              <w:jc w:val="center"/>
              <w:ind w:right="104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8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Balance at December 31, 2020</w:t>
            </w:r>
          </w:p>
        </w:tc>
        <w:tc>
          <w:tcPr>
            <w:tcW w:w="1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40" w:type="dxa"/>
            <w:vAlign w:val="bottom"/>
          </w:tcPr>
          <w:p>
            <w:pPr>
              <w:spacing w:after="0"/>
              <w:rPr>
                <w:sz w:val="20"/>
                <w:szCs w:val="20"/>
                <w:color w:val="auto"/>
              </w:rPr>
            </w:pPr>
            <w:r>
              <w:rPr>
                <w:rFonts w:ascii="Arial" w:cs="Arial" w:eastAsia="Arial" w:hAnsi="Arial"/>
                <w:sz w:val="18"/>
                <w:szCs w:val="18"/>
                <w:color w:val="auto"/>
              </w:rPr>
              <w:t>Opening net book amount</w:t>
            </w: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48,503</w:t>
            </w: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48,503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Additions</w:t>
            </w:r>
          </w:p>
        </w:tc>
        <w:tc>
          <w:tcPr>
            <w:tcW w:w="1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33,554</w:t>
            </w: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33,554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40" w:type="dxa"/>
            <w:vAlign w:val="bottom"/>
          </w:tcPr>
          <w:p>
            <w:pPr>
              <w:spacing w:after="0"/>
              <w:rPr>
                <w:sz w:val="20"/>
                <w:szCs w:val="20"/>
                <w:color w:val="auto"/>
              </w:rPr>
            </w:pPr>
            <w:r>
              <w:rPr>
                <w:rFonts w:ascii="Arial" w:cs="Arial" w:eastAsia="Arial" w:hAnsi="Arial"/>
                <w:sz w:val="18"/>
                <w:szCs w:val="18"/>
                <w:color w:val="auto"/>
              </w:rPr>
              <w:t>Depreciation expense</w:t>
            </w: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right"/>
              <w:ind w:right="550"/>
              <w:spacing w:after="0"/>
              <w:rPr>
                <w:sz w:val="20"/>
                <w:szCs w:val="20"/>
                <w:color w:val="auto"/>
              </w:rPr>
            </w:pPr>
            <w:r>
              <w:rPr>
                <w:rFonts w:ascii="Arial" w:cs="Arial" w:eastAsia="Arial" w:hAnsi="Arial"/>
                <w:sz w:val="18"/>
                <w:szCs w:val="18"/>
                <w:color w:val="auto"/>
              </w:rPr>
              <w:t>4</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gridSpan w:val="3"/>
          </w:tcPr>
          <w:p>
            <w:pPr>
              <w:jc w:val="right"/>
              <w:ind w:right="110"/>
              <w:spacing w:after="0"/>
              <w:rPr>
                <w:sz w:val="20"/>
                <w:szCs w:val="20"/>
                <w:color w:val="auto"/>
              </w:rPr>
            </w:pPr>
            <w:r>
              <w:rPr>
                <w:rFonts w:ascii="Arial" w:cs="Arial" w:eastAsia="Arial" w:hAnsi="Arial"/>
                <w:sz w:val="18"/>
                <w:szCs w:val="18"/>
                <w:color w:val="auto"/>
              </w:rPr>
              <w:t>(6,998)</w:t>
            </w:r>
          </w:p>
        </w:tc>
        <w:tc>
          <w:tcPr>
            <w:tcW w:w="240" w:type="dxa"/>
            <w:vAlign w:val="bottom"/>
          </w:tcPr>
          <w:p>
            <w:pPr>
              <w:spacing w:after="0"/>
              <w:rPr>
                <w:sz w:val="21"/>
                <w:szCs w:val="21"/>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(6,998)</w:t>
            </w:r>
          </w:p>
        </w:tc>
        <w:tc>
          <w:tcPr>
            <w:tcW w:w="0" w:type="dxa"/>
            <w:vAlign w:val="bottom"/>
          </w:tcPr>
          <w:p>
            <w:pPr>
              <w:spacing w:after="0"/>
              <w:rPr>
                <w:sz w:val="1"/>
                <w:szCs w:val="1"/>
                <w:color w:val="auto"/>
              </w:rPr>
            </w:pPr>
          </w:p>
        </w:tc>
      </w:tr>
      <w:tr>
        <w:trPr>
          <w:trHeight w:val="236"/>
        </w:trPr>
        <w:tc>
          <w:tcPr>
            <w:tcW w:w="58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at June 30, 2021</w:t>
            </w:r>
          </w:p>
        </w:tc>
        <w:tc>
          <w:tcPr>
            <w:tcW w:w="1140" w:type="dxa"/>
            <w:vAlign w:val="bottom"/>
            <w:tcBorders>
              <w:top w:val="single" w:sz="8" w:color="CFF0FC"/>
              <w:bottom w:val="single" w:sz="8" w:color="CFF0FC"/>
            </w:tcBorders>
            <w:shd w:val="clear" w:color="auto" w:fill="CFF0FC"/>
          </w:tcPr>
          <w:p>
            <w:pPr>
              <w:spacing w:after="0"/>
              <w:rPr>
                <w:sz w:val="20"/>
                <w:szCs w:val="20"/>
                <w:color w:val="auto"/>
              </w:rPr>
            </w:pPr>
          </w:p>
        </w:tc>
        <w:tc>
          <w:tcPr>
            <w:tcW w:w="120" w:type="dxa"/>
            <w:vAlign w:val="bottom"/>
            <w:tcBorders>
              <w:top w:val="single" w:sz="8" w:color="CFF0FC"/>
              <w:bottom w:val="single" w:sz="8" w:color="CFF0FC"/>
            </w:tcBorders>
            <w:shd w:val="clear" w:color="auto" w:fill="CFF0FC"/>
          </w:tcPr>
          <w:p>
            <w:pPr>
              <w:spacing w:after="0"/>
              <w:rPr>
                <w:sz w:val="20"/>
                <w:szCs w:val="20"/>
                <w:color w:val="auto"/>
              </w:rPr>
            </w:pPr>
          </w:p>
        </w:tc>
        <w:tc>
          <w:tcPr>
            <w:tcW w:w="120" w:type="dxa"/>
            <w:vAlign w:val="bottom"/>
            <w:tcBorders>
              <w:top w:val="single" w:sz="8" w:color="CFF0FC"/>
              <w:bottom w:val="single" w:sz="8" w:color="CFF0FC"/>
            </w:tcBorders>
            <w:shd w:val="clear" w:color="auto" w:fill="CFF0FC"/>
          </w:tcPr>
          <w:p>
            <w:pPr>
              <w:spacing w:after="0"/>
              <w:rPr>
                <w:sz w:val="20"/>
                <w:szCs w:val="20"/>
                <w:color w:val="auto"/>
              </w:rPr>
            </w:pPr>
          </w:p>
        </w:tc>
        <w:tc>
          <w:tcPr>
            <w:tcW w:w="880" w:type="dxa"/>
            <w:vAlign w:val="bottom"/>
            <w:tcBorders>
              <w:top w:val="single" w:sz="8" w:color="CFF0FC"/>
              <w:bottom w:val="single" w:sz="8" w:color="CFF0FC"/>
            </w:tcBorders>
            <w:shd w:val="clear" w:color="auto" w:fill="CFF0FC"/>
          </w:tcPr>
          <w:p>
            <w:pPr>
              <w:spacing w:after="0"/>
              <w:rPr>
                <w:sz w:val="20"/>
                <w:szCs w:val="20"/>
                <w:color w:val="auto"/>
              </w:rPr>
            </w:pPr>
          </w:p>
        </w:tc>
        <w:tc>
          <w:tcPr>
            <w:tcW w:w="260" w:type="dxa"/>
            <w:vAlign w:val="bottom"/>
            <w:tcBorders>
              <w:top w:val="single" w:sz="8" w:color="auto"/>
              <w:bottom w:val="single" w:sz="8" w:color="auto"/>
            </w:tcBorders>
            <w:shd w:val="clear" w:color="auto" w:fill="CFF0FC"/>
          </w:tcPr>
          <w:p>
            <w:pPr>
              <w:spacing w:after="0"/>
              <w:rPr>
                <w:sz w:val="20"/>
                <w:szCs w:val="20"/>
                <w:color w:val="auto"/>
              </w:rPr>
            </w:pPr>
          </w:p>
        </w:tc>
        <w:tc>
          <w:tcPr>
            <w:tcW w:w="120" w:type="dxa"/>
            <w:vAlign w:val="bottom"/>
            <w:tcBorders>
              <w:top w:val="single" w:sz="8" w:color="auto"/>
              <w:bottom w:val="single" w:sz="8" w:color="auto"/>
            </w:tcBorders>
            <w:shd w:val="clear" w:color="auto" w:fill="CFF0FC"/>
          </w:tcPr>
          <w:p>
            <w:pPr>
              <w:spacing w:after="0"/>
              <w:rPr>
                <w:sz w:val="20"/>
                <w:szCs w:val="20"/>
                <w:color w:val="auto"/>
              </w:rPr>
            </w:pPr>
          </w:p>
        </w:tc>
        <w:tc>
          <w:tcPr>
            <w:tcW w:w="100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75,059</w:t>
            </w:r>
          </w:p>
        </w:tc>
        <w:tc>
          <w:tcPr>
            <w:tcW w:w="260" w:type="dxa"/>
            <w:vAlign w:val="bottom"/>
            <w:tcBorders>
              <w:top w:val="single" w:sz="8" w:color="CFF0FC"/>
              <w:bottom w:val="single" w:sz="8" w:color="CFF0FC"/>
            </w:tcBorders>
            <w:shd w:val="clear" w:color="auto" w:fill="CFF0FC"/>
          </w:tcPr>
          <w:p>
            <w:pPr>
              <w:spacing w:after="0"/>
              <w:rPr>
                <w:sz w:val="20"/>
                <w:szCs w:val="20"/>
                <w:color w:val="auto"/>
              </w:rPr>
            </w:pPr>
          </w:p>
        </w:tc>
        <w:tc>
          <w:tcPr>
            <w:tcW w:w="240" w:type="dxa"/>
            <w:vAlign w:val="bottom"/>
            <w:tcBorders>
              <w:top w:val="single" w:sz="8" w:color="auto"/>
              <w:bottom w:val="single" w:sz="8" w:color="auto"/>
            </w:tcBorders>
            <w:shd w:val="clear" w:color="auto" w:fill="CFF0FC"/>
          </w:tcPr>
          <w:p>
            <w:pPr>
              <w:spacing w:after="0"/>
              <w:rPr>
                <w:sz w:val="20"/>
                <w:szCs w:val="20"/>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75,059</w:t>
            </w: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8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8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Balance at June 30, 2021</w:t>
            </w:r>
          </w:p>
        </w:tc>
        <w:tc>
          <w:tcPr>
            <w:tcW w:w="1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40" w:type="dxa"/>
            <w:vAlign w:val="bottom"/>
          </w:tcPr>
          <w:p>
            <w:pPr>
              <w:spacing w:after="0"/>
              <w:rPr>
                <w:sz w:val="20"/>
                <w:szCs w:val="20"/>
                <w:color w:val="auto"/>
              </w:rPr>
            </w:pPr>
            <w:r>
              <w:rPr>
                <w:rFonts w:ascii="Arial" w:cs="Arial" w:eastAsia="Arial" w:hAnsi="Arial"/>
                <w:sz w:val="18"/>
                <w:szCs w:val="18"/>
                <w:color w:val="auto"/>
              </w:rPr>
              <w:t>Cost</w:t>
            </w: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90,007</w:t>
            </w: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90,007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Accumulated depreciation</w:t>
            </w:r>
          </w:p>
        </w:tc>
        <w:tc>
          <w:tcPr>
            <w:tcW w:w="1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60" w:type="dxa"/>
            <w:vAlign w:val="bottom"/>
            <w:gridSpan w:val="3"/>
            <w:shd w:val="clear" w:color="auto" w:fill="CFF0FC"/>
          </w:tcPr>
          <w:p>
            <w:pPr>
              <w:jc w:val="right"/>
              <w:ind w:right="110"/>
              <w:spacing w:after="0"/>
              <w:rPr>
                <w:sz w:val="20"/>
                <w:szCs w:val="20"/>
                <w:color w:val="auto"/>
              </w:rPr>
            </w:pPr>
            <w:r>
              <w:rPr>
                <w:rFonts w:ascii="Arial" w:cs="Arial" w:eastAsia="Arial" w:hAnsi="Arial"/>
                <w:sz w:val="18"/>
                <w:szCs w:val="18"/>
                <w:color w:val="auto"/>
              </w:rPr>
              <w:t>(14,948)</w:t>
            </w:r>
          </w:p>
        </w:tc>
        <w:tc>
          <w:tcPr>
            <w:tcW w:w="24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(14,948)</w:t>
            </w:r>
          </w:p>
        </w:tc>
        <w:tc>
          <w:tcPr>
            <w:tcW w:w="0" w:type="dxa"/>
            <w:vAlign w:val="bottom"/>
          </w:tcPr>
          <w:p>
            <w:pPr>
              <w:spacing w:after="0"/>
              <w:rPr>
                <w:sz w:val="1"/>
                <w:szCs w:val="1"/>
                <w:color w:val="auto"/>
              </w:rPr>
            </w:pPr>
          </w:p>
        </w:tc>
      </w:tr>
      <w:tr>
        <w:trPr>
          <w:trHeight w:val="237"/>
        </w:trPr>
        <w:tc>
          <w:tcPr>
            <w:tcW w:w="5840" w:type="dxa"/>
            <w:vAlign w:val="bottom"/>
          </w:tcPr>
          <w:p>
            <w:pPr>
              <w:spacing w:after="0"/>
              <w:rPr>
                <w:sz w:val="20"/>
                <w:szCs w:val="20"/>
                <w:color w:val="auto"/>
              </w:rPr>
            </w:pPr>
            <w:r>
              <w:rPr>
                <w:rFonts w:ascii="Arial" w:cs="Arial" w:eastAsia="Arial" w:hAnsi="Arial"/>
                <w:sz w:val="18"/>
                <w:szCs w:val="18"/>
                <w:b w:val="1"/>
                <w:bCs w:val="1"/>
                <w:color w:val="auto"/>
              </w:rPr>
              <w:t>Net book amount</w:t>
            </w: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75,059</w:t>
            </w:r>
          </w:p>
        </w:tc>
        <w:tc>
          <w:tcPr>
            <w:tcW w:w="26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75,059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80"/>
        <w:spacing w:after="0" w:line="342" w:lineRule="auto"/>
        <w:rPr>
          <w:sz w:val="20"/>
          <w:szCs w:val="20"/>
          <w:color w:val="auto"/>
        </w:rPr>
      </w:pPr>
      <w:r>
        <w:rPr>
          <w:rFonts w:ascii="Arial" w:cs="Arial" w:eastAsia="Arial" w:hAnsi="Arial"/>
          <w:sz w:val="16"/>
          <w:szCs w:val="16"/>
          <w:color w:val="auto"/>
        </w:rPr>
        <w:t>During the six months ended June 30, 2021, the Group acquired assets with a cost of €33,554 (December 31, 2020: €42,977). The acquisitions during the six months ended June 30, 2021 and the year ended December 31, 2020 were related to equipment, tools and installations.</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34"/>
        </w:trPr>
        <w:tc>
          <w:tcPr>
            <w:tcW w:w="7540" w:type="dxa"/>
            <w:vAlign w:val="bottom"/>
          </w:tcPr>
          <w:p>
            <w:pPr>
              <w:spacing w:after="0"/>
              <w:rPr>
                <w:sz w:val="20"/>
                <w:szCs w:val="20"/>
                <w:color w:val="auto"/>
              </w:rPr>
            </w:pPr>
            <w:r>
              <w:rPr>
                <w:rFonts w:ascii="Arial" w:cs="Arial" w:eastAsia="Arial" w:hAnsi="Arial"/>
                <w:sz w:val="18"/>
                <w:szCs w:val="18"/>
                <w:b w:val="1"/>
                <w:bCs w:val="1"/>
                <w:color w:val="auto"/>
              </w:rPr>
              <w:t>9. Leases</w:t>
            </w:r>
          </w:p>
        </w:tc>
        <w:tc>
          <w:tcPr>
            <w:tcW w:w="1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7540" w:type="dxa"/>
            <w:vAlign w:val="bottom"/>
          </w:tcPr>
          <w:p>
            <w:pPr>
              <w:spacing w:after="0"/>
              <w:rPr>
                <w:sz w:val="20"/>
                <w:szCs w:val="20"/>
                <w:color w:val="auto"/>
              </w:rPr>
            </w:pPr>
            <w:r>
              <w:rPr>
                <w:rFonts w:ascii="Arial" w:cs="Arial" w:eastAsia="Arial" w:hAnsi="Arial"/>
                <w:sz w:val="18"/>
                <w:szCs w:val="18"/>
                <w:color w:val="auto"/>
              </w:rPr>
              <w:t>The following table provides information about the Group’s right-of-use assets:</w:t>
            </w: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75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4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June 30,</w:t>
            </w:r>
          </w:p>
        </w:tc>
        <w:tc>
          <w:tcPr>
            <w:tcW w:w="1680" w:type="dxa"/>
            <w:vAlign w:val="bottom"/>
            <w:gridSpan w:val="2"/>
          </w:tcPr>
          <w:p>
            <w:pPr>
              <w:jc w:val="center"/>
              <w:ind w:right="140"/>
              <w:spacing w:after="0"/>
              <w:rPr>
                <w:sz w:val="20"/>
                <w:szCs w:val="20"/>
                <w:color w:val="auto"/>
              </w:rPr>
            </w:pPr>
            <w:r>
              <w:rPr>
                <w:rFonts w:ascii="Arial" w:cs="Arial" w:eastAsia="Arial" w:hAnsi="Arial"/>
                <w:sz w:val="18"/>
                <w:szCs w:val="18"/>
                <w:color w:val="auto"/>
                <w:w w:val="93"/>
              </w:rPr>
              <w:t>December 31,</w:t>
            </w:r>
          </w:p>
        </w:tc>
        <w:tc>
          <w:tcPr>
            <w:tcW w:w="0" w:type="dxa"/>
            <w:vAlign w:val="bottom"/>
          </w:tcPr>
          <w:p>
            <w:pPr>
              <w:spacing w:after="0"/>
              <w:rPr>
                <w:sz w:val="1"/>
                <w:szCs w:val="1"/>
                <w:color w:val="auto"/>
              </w:rPr>
            </w:pPr>
          </w:p>
        </w:tc>
      </w:tr>
      <w:tr>
        <w:trPr>
          <w:trHeight w:val="230"/>
        </w:trPr>
        <w:tc>
          <w:tcPr>
            <w:tcW w:w="7540" w:type="dxa"/>
            <w:vAlign w:val="bottom"/>
            <w:tcBorders>
              <w:bottom w:val="single" w:sz="8" w:color="CFF0FC"/>
            </w:tcBorders>
          </w:tcPr>
          <w:p>
            <w:pPr>
              <w:spacing w:after="0"/>
              <w:rPr>
                <w:sz w:val="20"/>
                <w:szCs w:val="20"/>
                <w:color w:val="auto"/>
              </w:rPr>
            </w:pPr>
          </w:p>
        </w:tc>
        <w:tc>
          <w:tcPr>
            <w:tcW w:w="180" w:type="dxa"/>
            <w:vAlign w:val="bottom"/>
            <w:tcBorders>
              <w:bottom w:val="single" w:sz="8" w:color="CFF0FC"/>
            </w:tcBorders>
          </w:tcPr>
          <w:p>
            <w:pPr>
              <w:spacing w:after="0"/>
              <w:rPr>
                <w:sz w:val="20"/>
                <w:szCs w:val="20"/>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2021</w:t>
            </w:r>
          </w:p>
        </w:tc>
        <w:tc>
          <w:tcPr>
            <w:tcW w:w="300" w:type="dxa"/>
            <w:vAlign w:val="bottom"/>
            <w:tcBorders>
              <w:bottom w:val="single" w:sz="8" w:color="CFF0FC"/>
            </w:tcBorders>
          </w:tcPr>
          <w:p>
            <w:pPr>
              <w:spacing w:after="0"/>
              <w:rPr>
                <w:sz w:val="20"/>
                <w:szCs w:val="20"/>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2020</w:t>
            </w:r>
          </w:p>
        </w:tc>
        <w:tc>
          <w:tcPr>
            <w:tcW w:w="12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540" w:type="dxa"/>
            <w:vAlign w:val="bottom"/>
            <w:shd w:val="clear" w:color="auto" w:fill="CFF0FC"/>
          </w:tcPr>
          <w:p>
            <w:pPr>
              <w:spacing w:after="0"/>
              <w:rPr>
                <w:sz w:val="20"/>
                <w:szCs w:val="20"/>
                <w:color w:val="auto"/>
              </w:rPr>
            </w:pPr>
            <w:r>
              <w:rPr>
                <w:rFonts w:ascii="Arial" w:cs="Arial" w:eastAsia="Arial" w:hAnsi="Arial"/>
                <w:sz w:val="18"/>
                <w:szCs w:val="18"/>
                <w:color w:val="auto"/>
              </w:rPr>
              <w:t>Balance at January 1, 2020</w:t>
            </w:r>
          </w:p>
        </w:tc>
        <w:tc>
          <w:tcPr>
            <w:tcW w:w="180" w:type="dxa"/>
            <w:vAlign w:val="bottom"/>
            <w:shd w:val="clear" w:color="auto" w:fill="CFF0FC"/>
          </w:tcPr>
          <w:p>
            <w:pPr>
              <w:spacing w:after="0"/>
              <w:rPr>
                <w:sz w:val="20"/>
                <w:szCs w:val="20"/>
                <w:color w:val="auto"/>
              </w:rPr>
            </w:pPr>
          </w:p>
        </w:tc>
        <w:tc>
          <w:tcPr>
            <w:tcW w:w="18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FF0FC"/>
          </w:tcPr>
          <w:p>
            <w:pPr>
              <w:ind w:left="1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540" w:type="dxa"/>
            <w:vAlign w:val="bottom"/>
          </w:tcPr>
          <w:p>
            <w:pPr>
              <w:spacing w:after="0"/>
              <w:rPr>
                <w:sz w:val="20"/>
                <w:szCs w:val="20"/>
                <w:color w:val="auto"/>
              </w:rPr>
            </w:pPr>
            <w:r>
              <w:rPr>
                <w:rFonts w:ascii="Arial" w:cs="Arial" w:eastAsia="Arial" w:hAnsi="Arial"/>
                <w:sz w:val="18"/>
                <w:szCs w:val="18"/>
                <w:color w:val="auto"/>
              </w:rPr>
              <w:t>Addition</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293,907</w:t>
            </w:r>
          </w:p>
        </w:tc>
        <w:tc>
          <w:tcPr>
            <w:tcW w:w="300" w:type="dxa"/>
            <w:vAlign w:val="bottom"/>
          </w:tcPr>
          <w:p>
            <w:pPr>
              <w:spacing w:after="0"/>
              <w:rPr>
                <w:sz w:val="21"/>
                <w:szCs w:val="21"/>
                <w:color w:val="auto"/>
              </w:rPr>
            </w:pPr>
          </w:p>
        </w:tc>
        <w:tc>
          <w:tcPr>
            <w:tcW w:w="1680" w:type="dxa"/>
            <w:vAlign w:val="bottom"/>
            <w:gridSpan w:val="2"/>
          </w:tcPr>
          <w:p>
            <w:pPr>
              <w:ind w:left="1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540" w:type="dxa"/>
            <w:vAlign w:val="bottom"/>
            <w:shd w:val="clear" w:color="auto" w:fill="CFF0FC"/>
          </w:tcPr>
          <w:p>
            <w:pPr>
              <w:spacing w:after="0"/>
              <w:rPr>
                <w:sz w:val="20"/>
                <w:szCs w:val="20"/>
                <w:color w:val="auto"/>
              </w:rPr>
            </w:pPr>
            <w:r>
              <w:rPr>
                <w:rFonts w:ascii="Arial" w:cs="Arial" w:eastAsia="Arial" w:hAnsi="Arial"/>
                <w:sz w:val="18"/>
                <w:szCs w:val="18"/>
                <w:color w:val="auto"/>
              </w:rPr>
              <w:t>Depreciation charges</w:t>
            </w:r>
          </w:p>
        </w:tc>
        <w:tc>
          <w:tcPr>
            <w:tcW w:w="2020" w:type="dxa"/>
            <w:vAlign w:val="bottom"/>
            <w:gridSpan w:val="3"/>
            <w:shd w:val="clear" w:color="auto" w:fill="CFF0FC"/>
          </w:tcPr>
          <w:p>
            <w:pPr>
              <w:jc w:val="right"/>
              <w:ind w:right="240"/>
              <w:spacing w:after="0"/>
              <w:rPr>
                <w:sz w:val="20"/>
                <w:szCs w:val="20"/>
                <w:color w:val="auto"/>
              </w:rPr>
            </w:pPr>
            <w:r>
              <w:rPr>
                <w:rFonts w:ascii="Arial" w:cs="Arial" w:eastAsia="Arial" w:hAnsi="Arial"/>
                <w:sz w:val="18"/>
                <w:szCs w:val="18"/>
                <w:color w:val="auto"/>
              </w:rPr>
              <w:t>(8,050)</w:t>
            </w:r>
          </w:p>
        </w:tc>
        <w:tc>
          <w:tcPr>
            <w:tcW w:w="1680" w:type="dxa"/>
            <w:vAlign w:val="bottom"/>
            <w:gridSpan w:val="2"/>
            <w:shd w:val="clear" w:color="auto" w:fill="CFF0FC"/>
          </w:tcPr>
          <w:p>
            <w:pPr>
              <w:ind w:left="1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540" w:type="dxa"/>
            <w:vAlign w:val="bottom"/>
            <w:shd w:val="clear" w:color="auto" w:fill="CFF0FC"/>
          </w:tcPr>
          <w:p>
            <w:pPr>
              <w:spacing w:after="0"/>
              <w:rPr>
                <w:sz w:val="20"/>
                <w:szCs w:val="20"/>
                <w:color w:val="auto"/>
              </w:rPr>
            </w:pPr>
            <w:r>
              <w:rPr>
                <w:rFonts w:ascii="Arial" w:cs="Arial" w:eastAsia="Arial" w:hAnsi="Arial"/>
                <w:sz w:val="18"/>
                <w:szCs w:val="18"/>
                <w:color w:val="auto"/>
              </w:rPr>
              <w:t>Impact of transaction of foreign currency</w:t>
            </w:r>
          </w:p>
        </w:tc>
        <w:tc>
          <w:tcPr>
            <w:tcW w:w="180" w:type="dxa"/>
            <w:vAlign w:val="bottom"/>
            <w:shd w:val="clear" w:color="auto" w:fill="CFF0FC"/>
          </w:tcPr>
          <w:p>
            <w:pPr>
              <w:spacing w:after="0"/>
              <w:rPr>
                <w:sz w:val="21"/>
                <w:szCs w:val="21"/>
                <w:color w:val="auto"/>
              </w:rPr>
            </w:pPr>
          </w:p>
        </w:tc>
        <w:tc>
          <w:tcPr>
            <w:tcW w:w="18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(114)</w:t>
            </w:r>
          </w:p>
        </w:tc>
        <w:tc>
          <w:tcPr>
            <w:tcW w:w="1680" w:type="dxa"/>
            <w:vAlign w:val="bottom"/>
            <w:gridSpan w:val="2"/>
            <w:shd w:val="clear" w:color="auto" w:fill="CFF0FC"/>
          </w:tcPr>
          <w:p>
            <w:pPr>
              <w:ind w:left="1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7540" w:type="dxa"/>
            <w:vAlign w:val="bottom"/>
          </w:tcPr>
          <w:p>
            <w:pPr>
              <w:spacing w:after="0"/>
              <w:rPr>
                <w:sz w:val="20"/>
                <w:szCs w:val="20"/>
                <w:color w:val="auto"/>
              </w:rPr>
            </w:pPr>
            <w:r>
              <w:rPr>
                <w:rFonts w:ascii="Arial" w:cs="Arial" w:eastAsia="Arial" w:hAnsi="Arial"/>
                <w:sz w:val="18"/>
                <w:szCs w:val="18"/>
                <w:color w:val="auto"/>
              </w:rPr>
              <w:t>Balance at June 30, 2021</w:t>
            </w:r>
          </w:p>
        </w:tc>
        <w:tc>
          <w:tcPr>
            <w:tcW w:w="180" w:type="dxa"/>
            <w:vAlign w:val="bottom"/>
          </w:tcPr>
          <w:p>
            <w:pPr>
              <w:spacing w:after="0"/>
              <w:rPr>
                <w:sz w:val="20"/>
                <w:szCs w:val="20"/>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285,743</w:t>
            </w:r>
          </w:p>
        </w:tc>
        <w:tc>
          <w:tcPr>
            <w:tcW w:w="300" w:type="dxa"/>
            <w:vAlign w:val="bottom"/>
          </w:tcPr>
          <w:p>
            <w:pPr>
              <w:spacing w:after="0"/>
              <w:rPr>
                <w:sz w:val="20"/>
                <w:szCs w:val="20"/>
                <w:color w:val="auto"/>
              </w:rPr>
            </w:pPr>
          </w:p>
        </w:tc>
        <w:tc>
          <w:tcPr>
            <w:tcW w:w="1560" w:type="dxa"/>
            <w:vAlign w:val="bottom"/>
            <w:tcBorders>
              <w:top w:val="single" w:sz="8" w:color="auto"/>
              <w:bottom w:val="single" w:sz="8" w:color="auto"/>
            </w:tcBorders>
          </w:tcPr>
          <w:p>
            <w:pPr>
              <w:ind w:left="136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540" w:type="dxa"/>
            <w:vAlign w:val="bottom"/>
            <w:vMerge w:val="restart"/>
          </w:tcPr>
          <w:p>
            <w:pPr>
              <w:spacing w:after="0"/>
              <w:rPr>
                <w:sz w:val="20"/>
                <w:szCs w:val="20"/>
                <w:color w:val="auto"/>
              </w:rPr>
            </w:pPr>
            <w:r>
              <w:rPr>
                <w:rFonts w:ascii="Arial" w:cs="Arial" w:eastAsia="Arial" w:hAnsi="Arial"/>
                <w:sz w:val="18"/>
                <w:szCs w:val="18"/>
                <w:color w:val="auto"/>
              </w:rPr>
              <w:t>The following table provides information about the Group’s lease liabilities at June 30, 2021:</w:t>
            </w:r>
          </w:p>
        </w:tc>
        <w:tc>
          <w:tcPr>
            <w:tcW w:w="18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5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75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4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June 30,</w:t>
            </w:r>
          </w:p>
        </w:tc>
        <w:tc>
          <w:tcPr>
            <w:tcW w:w="1680" w:type="dxa"/>
            <w:vAlign w:val="bottom"/>
            <w:gridSpan w:val="2"/>
          </w:tcPr>
          <w:p>
            <w:pPr>
              <w:jc w:val="center"/>
              <w:ind w:right="140"/>
              <w:spacing w:after="0"/>
              <w:rPr>
                <w:sz w:val="20"/>
                <w:szCs w:val="20"/>
                <w:color w:val="auto"/>
              </w:rPr>
            </w:pPr>
            <w:r>
              <w:rPr>
                <w:rFonts w:ascii="Arial" w:cs="Arial" w:eastAsia="Arial" w:hAnsi="Arial"/>
                <w:sz w:val="18"/>
                <w:szCs w:val="18"/>
                <w:color w:val="auto"/>
                <w:w w:val="93"/>
              </w:rPr>
              <w:t>December 31,</w:t>
            </w:r>
          </w:p>
        </w:tc>
        <w:tc>
          <w:tcPr>
            <w:tcW w:w="0" w:type="dxa"/>
            <w:vAlign w:val="bottom"/>
          </w:tcPr>
          <w:p>
            <w:pPr>
              <w:spacing w:after="0"/>
              <w:rPr>
                <w:sz w:val="1"/>
                <w:szCs w:val="1"/>
                <w:color w:val="auto"/>
              </w:rPr>
            </w:pPr>
          </w:p>
        </w:tc>
      </w:tr>
      <w:tr>
        <w:trPr>
          <w:trHeight w:val="230"/>
        </w:trPr>
        <w:tc>
          <w:tcPr>
            <w:tcW w:w="7540" w:type="dxa"/>
            <w:vAlign w:val="bottom"/>
            <w:tcBorders>
              <w:bottom w:val="single" w:sz="8" w:color="CFF0FC"/>
            </w:tcBorders>
          </w:tcPr>
          <w:p>
            <w:pPr>
              <w:spacing w:after="0"/>
              <w:rPr>
                <w:sz w:val="20"/>
                <w:szCs w:val="20"/>
                <w:color w:val="auto"/>
              </w:rPr>
            </w:pPr>
          </w:p>
        </w:tc>
        <w:tc>
          <w:tcPr>
            <w:tcW w:w="180" w:type="dxa"/>
            <w:vAlign w:val="bottom"/>
            <w:tcBorders>
              <w:bottom w:val="single" w:sz="8" w:color="CFF0FC"/>
            </w:tcBorders>
          </w:tcPr>
          <w:p>
            <w:pPr>
              <w:spacing w:after="0"/>
              <w:rPr>
                <w:sz w:val="20"/>
                <w:szCs w:val="20"/>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2021</w:t>
            </w:r>
          </w:p>
        </w:tc>
        <w:tc>
          <w:tcPr>
            <w:tcW w:w="300" w:type="dxa"/>
            <w:vAlign w:val="bottom"/>
            <w:tcBorders>
              <w:bottom w:val="single" w:sz="8" w:color="CFF0FC"/>
            </w:tcBorders>
          </w:tcPr>
          <w:p>
            <w:pPr>
              <w:spacing w:after="0"/>
              <w:rPr>
                <w:sz w:val="20"/>
                <w:szCs w:val="20"/>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2020</w:t>
            </w:r>
          </w:p>
        </w:tc>
        <w:tc>
          <w:tcPr>
            <w:tcW w:w="12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540" w:type="dxa"/>
            <w:vAlign w:val="bottom"/>
            <w:shd w:val="clear" w:color="auto" w:fill="CFF0FC"/>
          </w:tcPr>
          <w:p>
            <w:pPr>
              <w:spacing w:after="0"/>
              <w:rPr>
                <w:sz w:val="20"/>
                <w:szCs w:val="20"/>
                <w:color w:val="auto"/>
              </w:rPr>
            </w:pPr>
            <w:r>
              <w:rPr>
                <w:rFonts w:ascii="Arial" w:cs="Arial" w:eastAsia="Arial" w:hAnsi="Arial"/>
                <w:sz w:val="18"/>
                <w:szCs w:val="18"/>
                <w:color w:val="auto"/>
              </w:rPr>
              <w:t>Office lease</w:t>
            </w:r>
          </w:p>
        </w:tc>
        <w:tc>
          <w:tcPr>
            <w:tcW w:w="2020" w:type="dxa"/>
            <w:vAlign w:val="bottom"/>
            <w:gridSpan w:val="3"/>
            <w:shd w:val="clear" w:color="auto" w:fill="CFF0FC"/>
          </w:tcPr>
          <w:p>
            <w:pPr>
              <w:jc w:val="right"/>
              <w:ind w:right="240"/>
              <w:spacing w:after="0"/>
              <w:rPr>
                <w:sz w:val="20"/>
                <w:szCs w:val="20"/>
                <w:color w:val="auto"/>
              </w:rPr>
            </w:pPr>
            <w:r>
              <w:rPr>
                <w:rFonts w:ascii="Arial" w:cs="Arial" w:eastAsia="Arial" w:hAnsi="Arial"/>
                <w:sz w:val="18"/>
                <w:szCs w:val="18"/>
                <w:color w:val="auto"/>
              </w:rPr>
              <w:t>(285,918)</w:t>
            </w:r>
          </w:p>
        </w:tc>
        <w:tc>
          <w:tcPr>
            <w:tcW w:w="1680" w:type="dxa"/>
            <w:vAlign w:val="bottom"/>
            <w:gridSpan w:val="2"/>
            <w:shd w:val="clear" w:color="auto" w:fill="CFF0FC"/>
          </w:tcPr>
          <w:p>
            <w:pPr>
              <w:ind w:left="1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540" w:type="dxa"/>
            <w:vAlign w:val="bottom"/>
          </w:tcPr>
          <w:p>
            <w:pPr>
              <w:spacing w:after="0"/>
              <w:rPr>
                <w:sz w:val="20"/>
                <w:szCs w:val="20"/>
                <w:color w:val="auto"/>
              </w:rPr>
            </w:pPr>
            <w:r>
              <w:rPr>
                <w:rFonts w:ascii="Arial" w:cs="Arial" w:eastAsia="Arial" w:hAnsi="Arial"/>
                <w:sz w:val="18"/>
                <w:szCs w:val="18"/>
                <w:color w:val="auto"/>
              </w:rPr>
              <w:t>Total lease liability</w:t>
            </w:r>
          </w:p>
        </w:tc>
        <w:tc>
          <w:tcPr>
            <w:tcW w:w="2020" w:type="dxa"/>
            <w:vAlign w:val="bottom"/>
            <w:gridSpan w:val="3"/>
          </w:tcPr>
          <w:p>
            <w:pPr>
              <w:jc w:val="right"/>
              <w:ind w:right="240"/>
              <w:spacing w:after="0"/>
              <w:rPr>
                <w:sz w:val="20"/>
                <w:szCs w:val="20"/>
                <w:color w:val="auto"/>
              </w:rPr>
            </w:pPr>
            <w:r>
              <w:rPr>
                <w:rFonts w:ascii="Arial" w:cs="Arial" w:eastAsia="Arial" w:hAnsi="Arial"/>
                <w:sz w:val="18"/>
                <w:szCs w:val="18"/>
                <w:color w:val="auto"/>
              </w:rPr>
              <w:t>(285,918)</w:t>
            </w:r>
          </w:p>
        </w:tc>
        <w:tc>
          <w:tcPr>
            <w:tcW w:w="1680" w:type="dxa"/>
            <w:vAlign w:val="bottom"/>
            <w:gridSpan w:val="2"/>
          </w:tcPr>
          <w:p>
            <w:pPr>
              <w:ind w:left="1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5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Current portion</w:t>
            </w:r>
          </w:p>
        </w:tc>
        <w:tc>
          <w:tcPr>
            <w:tcW w:w="2020" w:type="dxa"/>
            <w:vAlign w:val="bottom"/>
            <w:gridSpan w:val="3"/>
            <w:shd w:val="clear" w:color="auto" w:fill="CFF0FC"/>
          </w:tcPr>
          <w:p>
            <w:pPr>
              <w:jc w:val="right"/>
              <w:ind w:right="240"/>
              <w:spacing w:after="0"/>
              <w:rPr>
                <w:sz w:val="20"/>
                <w:szCs w:val="20"/>
                <w:color w:val="auto"/>
              </w:rPr>
            </w:pPr>
            <w:r>
              <w:rPr>
                <w:rFonts w:ascii="Arial" w:cs="Arial" w:eastAsia="Arial" w:hAnsi="Arial"/>
                <w:sz w:val="18"/>
                <w:szCs w:val="18"/>
                <w:b w:val="1"/>
                <w:bCs w:val="1"/>
                <w:color w:val="auto"/>
              </w:rPr>
              <w:t>(96,633)</w:t>
            </w:r>
          </w:p>
        </w:tc>
        <w:tc>
          <w:tcPr>
            <w:tcW w:w="1680" w:type="dxa"/>
            <w:vAlign w:val="bottom"/>
            <w:gridSpan w:val="2"/>
            <w:shd w:val="clear" w:color="auto" w:fill="CFF0FC"/>
          </w:tcPr>
          <w:p>
            <w:pPr>
              <w:ind w:left="1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540" w:type="dxa"/>
            <w:vAlign w:val="bottom"/>
          </w:tcPr>
          <w:p>
            <w:pPr>
              <w:spacing w:after="0"/>
              <w:rPr>
                <w:sz w:val="20"/>
                <w:szCs w:val="20"/>
                <w:color w:val="auto"/>
              </w:rPr>
            </w:pPr>
            <w:r>
              <w:rPr>
                <w:rFonts w:ascii="Arial" w:cs="Arial" w:eastAsia="Arial" w:hAnsi="Arial"/>
                <w:sz w:val="18"/>
                <w:szCs w:val="18"/>
                <w:b w:val="1"/>
                <w:bCs w:val="1"/>
                <w:color w:val="auto"/>
              </w:rPr>
              <w:t>Non-current portion</w:t>
            </w:r>
          </w:p>
        </w:tc>
        <w:tc>
          <w:tcPr>
            <w:tcW w:w="180" w:type="dxa"/>
            <w:vAlign w:val="bottom"/>
          </w:tcPr>
          <w:p>
            <w:pPr>
              <w:spacing w:after="0"/>
              <w:rPr>
                <w:sz w:val="21"/>
                <w:szCs w:val="21"/>
                <w:color w:val="auto"/>
              </w:rPr>
            </w:pPr>
          </w:p>
        </w:tc>
        <w:tc>
          <w:tcPr>
            <w:tcW w:w="18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(189,285)</w:t>
            </w:r>
          </w:p>
        </w:tc>
        <w:tc>
          <w:tcPr>
            <w:tcW w:w="1680" w:type="dxa"/>
            <w:vAlign w:val="bottom"/>
            <w:gridSpan w:val="2"/>
          </w:tcPr>
          <w:p>
            <w:pPr>
              <w:ind w:left="1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The lease agreement started on June 1, 2021 and has a lease term of three years. The average incremental borrowing rate applied to the lease liabilities was 1.5% during the six months ended June 30, 2021(2020: n/a). Cash outflows related to leases during the six months ended June 30, 2021 and 2020 were €5,012 and €0, respectively.</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20" w:type="dxa"/>
            <w:vAlign w:val="bottom"/>
          </w:tcPr>
          <w:p>
            <w:pPr>
              <w:spacing w:after="0"/>
              <w:rPr>
                <w:sz w:val="20"/>
                <w:szCs w:val="20"/>
                <w:color w:val="auto"/>
              </w:rPr>
            </w:pPr>
            <w:r>
              <w:rPr>
                <w:rFonts w:ascii="Arial" w:cs="Arial" w:eastAsia="Arial" w:hAnsi="Arial"/>
                <w:sz w:val="18"/>
                <w:szCs w:val="18"/>
                <w:b w:val="1"/>
                <w:bCs w:val="1"/>
                <w:color w:val="auto"/>
              </w:rPr>
              <w:t>10. Receivables</w:t>
            </w:r>
          </w:p>
        </w:tc>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0"/>
        </w:trPr>
        <w:tc>
          <w:tcPr>
            <w:tcW w:w="7720" w:type="dxa"/>
            <w:vAlign w:val="bottom"/>
          </w:tcPr>
          <w:p>
            <w:pPr>
              <w:spacing w:after="0"/>
              <w:rPr>
                <w:sz w:val="24"/>
                <w:szCs w:val="24"/>
                <w:color w:val="auto"/>
              </w:rPr>
            </w:pPr>
          </w:p>
        </w:tc>
        <w:tc>
          <w:tcPr>
            <w:tcW w:w="1840" w:type="dxa"/>
            <w:vAlign w:val="bottom"/>
            <w:gridSpan w:val="3"/>
          </w:tcPr>
          <w:p>
            <w:pPr>
              <w:ind w:left="460"/>
              <w:spacing w:after="0"/>
              <w:rPr>
                <w:sz w:val="20"/>
                <w:szCs w:val="20"/>
                <w:color w:val="auto"/>
              </w:rPr>
            </w:pPr>
            <w:r>
              <w:rPr>
                <w:rFonts w:ascii="Arial" w:cs="Arial" w:eastAsia="Arial" w:hAnsi="Arial"/>
                <w:sz w:val="18"/>
                <w:szCs w:val="18"/>
                <w:color w:val="auto"/>
              </w:rPr>
              <w:t>June 30,</w:t>
            </w:r>
          </w:p>
        </w:tc>
        <w:tc>
          <w:tcPr>
            <w:tcW w:w="1680" w:type="dxa"/>
            <w:vAlign w:val="bottom"/>
            <w:gridSpan w:val="2"/>
          </w:tcPr>
          <w:p>
            <w:pPr>
              <w:ind w:left="24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2021</w:t>
            </w:r>
          </w:p>
        </w:tc>
        <w:tc>
          <w:tcPr>
            <w:tcW w:w="1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2020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7720" w:type="dxa"/>
            <w:vAlign w:val="bottom"/>
          </w:tcPr>
          <w:p>
            <w:pPr>
              <w:spacing w:after="0"/>
              <w:rPr>
                <w:sz w:val="24"/>
                <w:szCs w:val="24"/>
                <w:color w:val="auto"/>
              </w:rPr>
            </w:pPr>
          </w:p>
        </w:tc>
        <w:tc>
          <w:tcPr>
            <w:tcW w:w="1840" w:type="dxa"/>
            <w:vAlign w:val="bottom"/>
            <w:gridSpan w:val="3"/>
          </w:tcPr>
          <w:p>
            <w:pPr>
              <w:jc w:val="center"/>
              <w:ind w:right="320"/>
              <w:spacing w:after="0"/>
              <w:rPr>
                <w:sz w:val="20"/>
                <w:szCs w:val="20"/>
                <w:color w:val="auto"/>
              </w:rPr>
            </w:pPr>
            <w:r>
              <w:rPr>
                <w:rFonts w:ascii="Arial" w:cs="Arial" w:eastAsia="Arial" w:hAnsi="Arial"/>
                <w:sz w:val="18"/>
                <w:szCs w:val="18"/>
                <w:color w:val="auto"/>
                <w:w w:val="79"/>
              </w:rPr>
              <w:t>€</w:t>
            </w:r>
          </w:p>
        </w:tc>
        <w:tc>
          <w:tcPr>
            <w:tcW w:w="168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8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VAT receivables</w:t>
            </w: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712,724</w:t>
            </w:r>
          </w:p>
        </w:tc>
        <w:tc>
          <w:tcPr>
            <w:tcW w:w="120" w:type="dxa"/>
            <w:vAlign w:val="bottom"/>
            <w:tcBorders>
              <w:bottom w:val="single" w:sz="8" w:color="auto"/>
            </w:tcBorders>
            <w:shd w:val="clear" w:color="auto" w:fill="CFF0FC"/>
          </w:tcPr>
          <w:p>
            <w:pPr>
              <w:spacing w:after="0"/>
              <w:rPr>
                <w:sz w:val="24"/>
                <w:szCs w:val="24"/>
                <w:color w:val="auto"/>
              </w:rPr>
            </w:pPr>
          </w:p>
        </w:tc>
        <w:tc>
          <w:tcPr>
            <w:tcW w:w="180" w:type="dxa"/>
            <w:vAlign w:val="bottom"/>
            <w:shd w:val="clear" w:color="auto" w:fill="CFF0FC"/>
          </w:tcPr>
          <w:p>
            <w:pPr>
              <w:spacing w:after="0"/>
              <w:rPr>
                <w:sz w:val="24"/>
                <w:szCs w:val="24"/>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569,578</w:t>
            </w:r>
          </w:p>
        </w:tc>
        <w:tc>
          <w:tcPr>
            <w:tcW w:w="12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7720" w:type="dxa"/>
            <w:vAlign w:val="bottom"/>
          </w:tcPr>
          <w:p>
            <w:pPr>
              <w:spacing w:after="0"/>
              <w:rPr>
                <w:sz w:val="22"/>
                <w:szCs w:val="22"/>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712,724</w:t>
            </w:r>
          </w:p>
        </w:tc>
        <w:tc>
          <w:tcPr>
            <w:tcW w:w="120" w:type="dxa"/>
            <w:vAlign w:val="bottom"/>
            <w:tcBorders>
              <w:bottom w:val="single" w:sz="8" w:color="auto"/>
            </w:tcBorders>
          </w:tcPr>
          <w:p>
            <w:pPr>
              <w:spacing w:after="0"/>
              <w:rPr>
                <w:sz w:val="22"/>
                <w:szCs w:val="22"/>
                <w:color w:val="auto"/>
              </w:rPr>
            </w:pPr>
          </w:p>
        </w:tc>
        <w:tc>
          <w:tcPr>
            <w:tcW w:w="180" w:type="dxa"/>
            <w:vAlign w:val="bottom"/>
          </w:tcPr>
          <w:p>
            <w:pPr>
              <w:spacing w:after="0"/>
              <w:rPr>
                <w:sz w:val="22"/>
                <w:szCs w:val="22"/>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569,578</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Arial" w:cs="Arial" w:eastAsia="Arial" w:hAnsi="Arial"/>
                <w:sz w:val="18"/>
                <w:szCs w:val="18"/>
                <w:b w:val="1"/>
                <w:bCs w:val="1"/>
                <w:color w:val="auto"/>
              </w:rPr>
              <w:t>11. Other current assets</w:t>
            </w: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7720" w:type="dxa"/>
            <w:vAlign w:val="bottom"/>
            <w:vMerge w:val="continue"/>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8"/>
        </w:trPr>
        <w:tc>
          <w:tcPr>
            <w:tcW w:w="7720" w:type="dxa"/>
            <w:vAlign w:val="bottom"/>
          </w:tcPr>
          <w:p>
            <w:pPr>
              <w:spacing w:after="0"/>
              <w:rPr>
                <w:sz w:val="24"/>
                <w:szCs w:val="24"/>
                <w:color w:val="auto"/>
              </w:rPr>
            </w:pPr>
          </w:p>
        </w:tc>
        <w:tc>
          <w:tcPr>
            <w:tcW w:w="1840" w:type="dxa"/>
            <w:vAlign w:val="bottom"/>
            <w:gridSpan w:val="3"/>
          </w:tcPr>
          <w:p>
            <w:pPr>
              <w:ind w:left="460"/>
              <w:spacing w:after="0"/>
              <w:rPr>
                <w:sz w:val="20"/>
                <w:szCs w:val="20"/>
                <w:color w:val="auto"/>
              </w:rPr>
            </w:pPr>
            <w:r>
              <w:rPr>
                <w:rFonts w:ascii="Arial" w:cs="Arial" w:eastAsia="Arial" w:hAnsi="Arial"/>
                <w:sz w:val="18"/>
                <w:szCs w:val="18"/>
                <w:color w:val="auto"/>
              </w:rPr>
              <w:t>June 30,</w:t>
            </w:r>
          </w:p>
        </w:tc>
        <w:tc>
          <w:tcPr>
            <w:tcW w:w="1680" w:type="dxa"/>
            <w:vAlign w:val="bottom"/>
            <w:gridSpan w:val="2"/>
          </w:tcPr>
          <w:p>
            <w:pPr>
              <w:ind w:left="24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2021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2020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7720" w:type="dxa"/>
            <w:vAlign w:val="bottom"/>
          </w:tcPr>
          <w:p>
            <w:pPr>
              <w:spacing w:after="0"/>
              <w:rPr>
                <w:sz w:val="20"/>
                <w:szCs w:val="20"/>
                <w:color w:val="auto"/>
              </w:rPr>
            </w:pPr>
          </w:p>
        </w:tc>
        <w:tc>
          <w:tcPr>
            <w:tcW w:w="1840" w:type="dxa"/>
            <w:vAlign w:val="bottom"/>
            <w:gridSpan w:val="3"/>
          </w:tcPr>
          <w:p>
            <w:pPr>
              <w:jc w:val="center"/>
              <w:ind w:right="320"/>
              <w:spacing w:after="0"/>
              <w:rPr>
                <w:sz w:val="20"/>
                <w:szCs w:val="20"/>
                <w:color w:val="auto"/>
              </w:rPr>
            </w:pPr>
            <w:r>
              <w:rPr>
                <w:rFonts w:ascii="Arial" w:cs="Arial" w:eastAsia="Arial" w:hAnsi="Arial"/>
                <w:sz w:val="18"/>
                <w:szCs w:val="18"/>
                <w:color w:val="auto"/>
                <w:w w:val="79"/>
              </w:rPr>
              <w:t>€</w:t>
            </w:r>
          </w:p>
        </w:tc>
        <w:tc>
          <w:tcPr>
            <w:tcW w:w="168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Prepayments</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4,225,841</w:t>
            </w: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540,701</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assets</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5,627</w:t>
            </w:r>
          </w:p>
        </w:tc>
        <w:tc>
          <w:tcPr>
            <w:tcW w:w="120" w:type="dxa"/>
            <w:vAlign w:val="bottom"/>
            <w:tcBorders>
              <w:bottom w:val="single" w:sz="8" w:color="CFF0FC"/>
            </w:tcBorders>
          </w:tcPr>
          <w:p>
            <w:pPr>
              <w:spacing w:after="0"/>
              <w:rPr>
                <w:sz w:val="21"/>
                <w:szCs w:val="21"/>
                <w:color w:val="auto"/>
              </w:rPr>
            </w:pPr>
          </w:p>
        </w:tc>
        <w:tc>
          <w:tcPr>
            <w:tcW w:w="180" w:type="dxa"/>
            <w:vAlign w:val="bottom"/>
            <w:tcBorders>
              <w:bottom w:val="single" w:sz="8" w:color="CFF0FC"/>
            </w:tcBorders>
          </w:tcPr>
          <w:p>
            <w:pPr>
              <w:spacing w:after="0"/>
              <w:rPr>
                <w:sz w:val="21"/>
                <w:szCs w:val="21"/>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1,212,626</w:t>
            </w: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7720" w:type="dxa"/>
            <w:vAlign w:val="bottom"/>
            <w:tcBorders>
              <w:bottom w:val="single" w:sz="8" w:color="CFF0FC"/>
            </w:tcBorders>
            <w:shd w:val="clear" w:color="auto" w:fill="CFF0FC"/>
          </w:tcPr>
          <w:p>
            <w:pPr>
              <w:spacing w:after="0"/>
              <w:rPr>
                <w:sz w:val="20"/>
                <w:szCs w:val="20"/>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4,231,468</w:t>
            </w:r>
          </w:p>
        </w:tc>
        <w:tc>
          <w:tcPr>
            <w:tcW w:w="1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1,753,327</w:t>
            </w:r>
          </w:p>
        </w:tc>
        <w:tc>
          <w:tcPr>
            <w:tcW w:w="12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Prepayments mainly relates to prepaid insurance, sign-on bonus to personnel, prepaid R&amp;D expenses and rent.</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Other assets per December 31, 2020, mainly consist of deferred transaction costs related to Group’s IPO, which was completed in February, 2021.</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The balance was reclassified to the share premium at completion of the IPO. Other assets per June 30, 2021 consist of rent deposit paid.</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783"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12. Cash and cash equivalents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 comprise of cash in bank and are not subject to any restriction.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Equity</w:t>
      </w:r>
    </w:p>
    <w:p>
      <w:pPr>
        <w:spacing w:after="0" w:line="27" w:lineRule="exact"/>
        <w:rPr>
          <w:sz w:val="20"/>
          <w:szCs w:val="20"/>
          <w:color w:val="auto"/>
        </w:rPr>
      </w:pPr>
    </w:p>
    <w:p>
      <w:pPr>
        <w:ind w:right="620"/>
        <w:spacing w:after="0" w:line="255" w:lineRule="auto"/>
        <w:rPr>
          <w:sz w:val="20"/>
          <w:szCs w:val="20"/>
          <w:color w:val="auto"/>
        </w:rPr>
      </w:pPr>
      <w:r>
        <w:rPr>
          <w:rFonts w:ascii="Arial" w:cs="Arial" w:eastAsia="Arial" w:hAnsi="Arial"/>
          <w:sz w:val="18"/>
          <w:szCs w:val="18"/>
          <w:color w:val="auto"/>
        </w:rPr>
        <w:t>On June 30, 2021, the Company’s authorized share capital amounted to €14,100,000 divided into 58,750,000 ordinary shares and 58,750,000 preferred shares, each with a nominal value of €0.12. As at June 30, 2021, a total number of ordinary shares issued was 33,128,593 (2020: 23,569,276). On June 30, 2021, the issued share capital totalled to €3,975,432 (2020: €235,693).</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Ordinary shares hold the right to one vote per share.</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20" w:type="dxa"/>
            <w:vAlign w:val="bottom"/>
          </w:tcPr>
          <w:p>
            <w:pPr>
              <w:spacing w:after="0"/>
              <w:rPr>
                <w:sz w:val="20"/>
                <w:szCs w:val="20"/>
                <w:color w:val="auto"/>
              </w:rPr>
            </w:pPr>
            <w:r>
              <w:rPr>
                <w:rFonts w:ascii="Arial" w:cs="Arial" w:eastAsia="Arial" w:hAnsi="Arial"/>
                <w:sz w:val="18"/>
                <w:szCs w:val="18"/>
                <w:b w:val="1"/>
                <w:bCs w:val="1"/>
                <w:color w:val="auto"/>
              </w:rPr>
              <w:t>Issued shares</w:t>
            </w:r>
          </w:p>
        </w:tc>
        <w:tc>
          <w:tcPr>
            <w:tcW w:w="1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58"/>
        </w:trPr>
        <w:tc>
          <w:tcPr>
            <w:tcW w:w="7720" w:type="dxa"/>
            <w:vAlign w:val="bottom"/>
          </w:tcPr>
          <w:p>
            <w:pPr>
              <w:spacing w:after="0"/>
              <w:rPr>
                <w:sz w:val="24"/>
                <w:szCs w:val="24"/>
                <w:color w:val="auto"/>
              </w:rPr>
            </w:pPr>
          </w:p>
        </w:tc>
        <w:tc>
          <w:tcPr>
            <w:tcW w:w="1840" w:type="dxa"/>
            <w:vAlign w:val="bottom"/>
            <w:gridSpan w:val="2"/>
          </w:tcPr>
          <w:p>
            <w:pPr>
              <w:ind w:left="460"/>
              <w:spacing w:after="0"/>
              <w:rPr>
                <w:sz w:val="20"/>
                <w:szCs w:val="20"/>
                <w:color w:val="auto"/>
              </w:rPr>
            </w:pPr>
            <w:r>
              <w:rPr>
                <w:rFonts w:ascii="Arial" w:cs="Arial" w:eastAsia="Arial" w:hAnsi="Arial"/>
                <w:sz w:val="18"/>
                <w:szCs w:val="18"/>
                <w:color w:val="auto"/>
              </w:rPr>
              <w:t>June 30,</w:t>
            </w:r>
          </w:p>
        </w:tc>
        <w:tc>
          <w:tcPr>
            <w:tcW w:w="1680" w:type="dxa"/>
            <w:vAlign w:val="bottom"/>
            <w:gridSpan w:val="2"/>
          </w:tcPr>
          <w:p>
            <w:pPr>
              <w:ind w:left="240"/>
              <w:spacing w:after="0"/>
              <w:rPr>
                <w:sz w:val="20"/>
                <w:szCs w:val="20"/>
                <w:color w:val="auto"/>
              </w:rPr>
            </w:pPr>
            <w:r>
              <w:rPr>
                <w:rFonts w:ascii="Arial" w:cs="Arial" w:eastAsia="Arial" w:hAnsi="Arial"/>
                <w:sz w:val="18"/>
                <w:szCs w:val="18"/>
                <w:color w:val="auto"/>
              </w:rPr>
              <w:t>December 31,</w:t>
            </w:r>
          </w:p>
        </w:tc>
      </w:tr>
      <w:tr>
        <w:trPr>
          <w:trHeight w:val="230"/>
        </w:trPr>
        <w:tc>
          <w:tcPr>
            <w:tcW w:w="7720" w:type="dxa"/>
            <w:vAlign w:val="bottom"/>
            <w:tcBorders>
              <w:bottom w:val="single" w:sz="8" w:color="CFF0FC"/>
            </w:tcBorders>
          </w:tcPr>
          <w:p>
            <w:pPr>
              <w:spacing w:after="0"/>
              <w:rPr>
                <w:sz w:val="20"/>
                <w:szCs w:val="20"/>
                <w:color w:val="auto"/>
              </w:rPr>
            </w:pPr>
          </w:p>
        </w:tc>
        <w:tc>
          <w:tcPr>
            <w:tcW w:w="15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2021</w:t>
            </w:r>
          </w:p>
        </w:tc>
        <w:tc>
          <w:tcPr>
            <w:tcW w:w="300" w:type="dxa"/>
            <w:vAlign w:val="bottom"/>
            <w:tcBorders>
              <w:bottom w:val="single" w:sz="8" w:color="CFF0FC"/>
            </w:tcBorders>
          </w:tcPr>
          <w:p>
            <w:pPr>
              <w:spacing w:after="0"/>
              <w:rPr>
                <w:sz w:val="20"/>
                <w:szCs w:val="20"/>
                <w:color w:val="auto"/>
              </w:rPr>
            </w:pPr>
          </w:p>
        </w:tc>
        <w:tc>
          <w:tcPr>
            <w:tcW w:w="15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2020</w:t>
            </w:r>
          </w:p>
        </w:tc>
        <w:tc>
          <w:tcPr>
            <w:tcW w:w="120" w:type="dxa"/>
            <w:vAlign w:val="bottom"/>
            <w:tcBorders>
              <w:bottom w:val="single" w:sz="8" w:color="CFF0FC"/>
            </w:tcBorders>
          </w:tcPr>
          <w:p>
            <w:pPr>
              <w:spacing w:after="0"/>
              <w:rPr>
                <w:sz w:val="20"/>
                <w:szCs w:val="20"/>
                <w:color w:val="auto"/>
              </w:rPr>
            </w:pPr>
          </w:p>
        </w:tc>
      </w:tr>
      <w:tr>
        <w:trPr>
          <w:trHeight w:val="236"/>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Ordinary shares</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33,128,593</w:t>
            </w:r>
          </w:p>
        </w:tc>
        <w:tc>
          <w:tcPr>
            <w:tcW w:w="300" w:type="dxa"/>
            <w:vAlign w:val="bottom"/>
            <w:shd w:val="clear" w:color="auto" w:fill="CFF0FC"/>
          </w:tcPr>
          <w:p>
            <w:pPr>
              <w:spacing w:after="0"/>
              <w:rPr>
                <w:sz w:val="20"/>
                <w:szCs w:val="20"/>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4,850,000</w:t>
            </w:r>
          </w:p>
        </w:tc>
        <w:tc>
          <w:tcPr>
            <w:tcW w:w="120" w:type="dxa"/>
            <w:vAlign w:val="bottom"/>
            <w:shd w:val="clear" w:color="auto" w:fill="CFF0FC"/>
          </w:tcPr>
          <w:p>
            <w:pPr>
              <w:spacing w:after="0"/>
              <w:rPr>
                <w:sz w:val="20"/>
                <w:szCs w:val="20"/>
                <w:color w:val="auto"/>
              </w:rPr>
            </w:pPr>
          </w:p>
        </w:tc>
      </w:tr>
      <w:tr>
        <w:trPr>
          <w:trHeight w:val="243"/>
        </w:trPr>
        <w:tc>
          <w:tcPr>
            <w:tcW w:w="7720" w:type="dxa"/>
            <w:vAlign w:val="bottom"/>
          </w:tcPr>
          <w:p>
            <w:pPr>
              <w:spacing w:after="0"/>
              <w:rPr>
                <w:sz w:val="20"/>
                <w:szCs w:val="20"/>
                <w:color w:val="auto"/>
              </w:rPr>
            </w:pPr>
            <w:r>
              <w:rPr>
                <w:rFonts w:ascii="Arial" w:cs="Arial" w:eastAsia="Arial" w:hAnsi="Arial"/>
                <w:sz w:val="18"/>
                <w:szCs w:val="18"/>
                <w:color w:val="auto"/>
              </w:rPr>
              <w:t>Preferred shares A</w:t>
            </w:r>
          </w:p>
        </w:tc>
        <w:tc>
          <w:tcPr>
            <w:tcW w:w="18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5,242,850</w:t>
            </w:r>
          </w:p>
        </w:tc>
        <w:tc>
          <w:tcPr>
            <w:tcW w:w="120" w:type="dxa"/>
            <w:vAlign w:val="bottom"/>
          </w:tcPr>
          <w:p>
            <w:pPr>
              <w:spacing w:after="0"/>
              <w:rPr>
                <w:sz w:val="21"/>
                <w:szCs w:val="21"/>
                <w:color w:val="auto"/>
              </w:rPr>
            </w:pPr>
          </w:p>
        </w:tc>
      </w:tr>
      <w:tr>
        <w:trPr>
          <w:trHeight w:val="24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Preferred shares B</w:t>
            </w:r>
          </w:p>
        </w:tc>
        <w:tc>
          <w:tcPr>
            <w:tcW w:w="18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7,650,147</w:t>
            </w:r>
          </w:p>
        </w:tc>
        <w:tc>
          <w:tcPr>
            <w:tcW w:w="120" w:type="dxa"/>
            <w:vAlign w:val="bottom"/>
            <w:shd w:val="clear" w:color="auto" w:fill="CFF0FC"/>
          </w:tcPr>
          <w:p>
            <w:pPr>
              <w:spacing w:after="0"/>
              <w:rPr>
                <w:sz w:val="21"/>
                <w:szCs w:val="21"/>
                <w:color w:val="auto"/>
              </w:rPr>
            </w:pPr>
          </w:p>
        </w:tc>
      </w:tr>
      <w:tr>
        <w:trPr>
          <w:trHeight w:val="243"/>
        </w:trPr>
        <w:tc>
          <w:tcPr>
            <w:tcW w:w="7720" w:type="dxa"/>
            <w:vAlign w:val="bottom"/>
          </w:tcPr>
          <w:p>
            <w:pPr>
              <w:spacing w:after="0"/>
              <w:rPr>
                <w:sz w:val="20"/>
                <w:szCs w:val="20"/>
                <w:color w:val="auto"/>
              </w:rPr>
            </w:pPr>
            <w:r>
              <w:rPr>
                <w:rFonts w:ascii="Arial" w:cs="Arial" w:eastAsia="Arial" w:hAnsi="Arial"/>
                <w:sz w:val="18"/>
                <w:szCs w:val="18"/>
                <w:color w:val="auto"/>
              </w:rPr>
              <w:t>Preferred shares C</w:t>
            </w:r>
          </w:p>
        </w:tc>
        <w:tc>
          <w:tcPr>
            <w:tcW w:w="18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5,826,279</w:t>
            </w:r>
          </w:p>
        </w:tc>
        <w:tc>
          <w:tcPr>
            <w:tcW w:w="120" w:type="dxa"/>
            <w:vAlign w:val="bottom"/>
          </w:tcPr>
          <w:p>
            <w:pPr>
              <w:spacing w:after="0"/>
              <w:rPr>
                <w:sz w:val="21"/>
                <w:szCs w:val="21"/>
                <w:color w:val="auto"/>
              </w:rPr>
            </w:pPr>
          </w:p>
        </w:tc>
      </w:tr>
      <w:tr>
        <w:trPr>
          <w:trHeight w:val="237"/>
        </w:trPr>
        <w:tc>
          <w:tcPr>
            <w:tcW w:w="7720" w:type="dxa"/>
            <w:vAlign w:val="bottom"/>
            <w:tcBorders>
              <w:top w:val="single" w:sz="8" w:color="CFF0FC"/>
              <w:bottom w:val="single" w:sz="8" w:color="CFF0FC"/>
            </w:tcBorders>
            <w:shd w:val="clear" w:color="auto" w:fill="CFF0FC"/>
          </w:tcPr>
          <w:p>
            <w:pPr>
              <w:spacing w:after="0"/>
              <w:rPr>
                <w:sz w:val="20"/>
                <w:szCs w:val="20"/>
                <w:color w:val="auto"/>
              </w:rPr>
            </w:pPr>
          </w:p>
        </w:tc>
        <w:tc>
          <w:tcPr>
            <w:tcW w:w="1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33,128,593</w:t>
            </w:r>
          </w:p>
        </w:tc>
        <w:tc>
          <w:tcPr>
            <w:tcW w:w="300" w:type="dxa"/>
            <w:vAlign w:val="bottom"/>
            <w:tcBorders>
              <w:top w:val="single" w:sz="8" w:color="CFF0FC"/>
              <w:bottom w:val="single" w:sz="8" w:color="CFF0FC"/>
            </w:tcBorders>
            <w:shd w:val="clear" w:color="auto" w:fill="CFF0FC"/>
          </w:tcPr>
          <w:p>
            <w:pPr>
              <w:spacing w:after="0"/>
              <w:rPr>
                <w:sz w:val="20"/>
                <w:szCs w:val="20"/>
                <w:color w:val="auto"/>
              </w:rPr>
            </w:pP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23,569,276</w:t>
            </w:r>
          </w:p>
        </w:tc>
        <w:tc>
          <w:tcPr>
            <w:tcW w:w="120" w:type="dxa"/>
            <w:vAlign w:val="bottom"/>
            <w:tcBorders>
              <w:top w:val="single" w:sz="8" w:color="CFF0FC"/>
              <w:bottom w:val="single" w:sz="8" w:color="CFF0FC"/>
            </w:tcBorders>
            <w:shd w:val="clear" w:color="auto" w:fill="CFF0FC"/>
          </w:tcPr>
          <w:p>
            <w:pPr>
              <w:spacing w:after="0"/>
              <w:rPr>
                <w:sz w:val="20"/>
                <w:szCs w:val="20"/>
                <w:color w:val="auto"/>
              </w:rPr>
            </w:pPr>
          </w:p>
        </w:tc>
      </w:tr>
      <w:tr>
        <w:trPr>
          <w:trHeight w:val="20"/>
        </w:trPr>
        <w:tc>
          <w:tcPr>
            <w:tcW w:w="772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On February 5, 2021, the Company became public by listing its ordinary shares on the Nasdaq Stock Exchange. On the same date all Preferred shares A, Preferred shares B and Preferred shares C were automatically converted to ordinary shares and 9,511,075 shares were issued. Together with the issuance of the ordinary shares, the par value of each share was increased from €0.01 to €0.12.</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0" w:type="dxa"/>
            <w:vAlign w:val="bottom"/>
          </w:tcPr>
          <w:p>
            <w:pPr>
              <w:spacing w:after="0"/>
              <w:rPr>
                <w:sz w:val="20"/>
                <w:szCs w:val="20"/>
                <w:color w:val="auto"/>
              </w:rPr>
            </w:pPr>
            <w:r>
              <w:rPr>
                <w:rFonts w:ascii="Arial" w:cs="Arial" w:eastAsia="Arial" w:hAnsi="Arial"/>
                <w:sz w:val="18"/>
                <w:szCs w:val="18"/>
                <w:b w:val="1"/>
                <w:bCs w:val="1"/>
                <w:color w:val="auto"/>
              </w:rPr>
              <w:t>14. Trade and other payables</w:t>
            </w:r>
          </w:p>
        </w:tc>
        <w:tc>
          <w:tcPr>
            <w:tcW w:w="4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400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1640" w:type="dxa"/>
            <w:vAlign w:val="bottom"/>
            <w:gridSpan w:val="2"/>
          </w:tcPr>
          <w:p>
            <w:pPr>
              <w:ind w:left="360"/>
              <w:spacing w:after="0"/>
              <w:rPr>
                <w:sz w:val="20"/>
                <w:szCs w:val="20"/>
                <w:color w:val="auto"/>
              </w:rPr>
            </w:pPr>
            <w:r>
              <w:rPr>
                <w:rFonts w:ascii="Arial" w:cs="Arial" w:eastAsia="Arial" w:hAnsi="Arial"/>
                <w:sz w:val="18"/>
                <w:szCs w:val="18"/>
                <w:color w:val="auto"/>
              </w:rPr>
              <w:t>June 30,</w:t>
            </w:r>
          </w:p>
        </w:tc>
        <w:tc>
          <w:tcPr>
            <w:tcW w:w="1500" w:type="dxa"/>
            <w:vAlign w:val="bottom"/>
            <w:gridSpan w:val="2"/>
          </w:tcPr>
          <w:p>
            <w:pPr>
              <w:ind w:left="160"/>
              <w:spacing w:after="0"/>
              <w:rPr>
                <w:sz w:val="20"/>
                <w:szCs w:val="20"/>
                <w:color w:val="auto"/>
              </w:rPr>
            </w:pPr>
            <w:r>
              <w:rPr>
                <w:rFonts w:ascii="Arial" w:cs="Arial" w:eastAsia="Arial" w:hAnsi="Arial"/>
                <w:sz w:val="18"/>
                <w:szCs w:val="18"/>
                <w:color w:val="auto"/>
              </w:rPr>
              <w:t>December 31,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0" w:type="dxa"/>
            <w:vAlign w:val="bottom"/>
          </w:tcPr>
          <w:p>
            <w:pPr>
              <w:spacing w:after="0"/>
              <w:rPr>
                <w:sz w:val="20"/>
                <w:szCs w:val="20"/>
                <w:color w:val="auto"/>
              </w:rPr>
            </w:pPr>
          </w:p>
        </w:tc>
        <w:tc>
          <w:tcPr>
            <w:tcW w:w="4100" w:type="dxa"/>
            <w:vAlign w:val="bottom"/>
          </w:tcPr>
          <w:p>
            <w:pPr>
              <w:jc w:val="center"/>
              <w:ind w:left="2650"/>
              <w:spacing w:after="0"/>
              <w:rPr>
                <w:sz w:val="20"/>
                <w:szCs w:val="20"/>
                <w:color w:val="auto"/>
              </w:rPr>
            </w:pPr>
            <w:r>
              <w:rPr>
                <w:rFonts w:ascii="Arial" w:cs="Arial" w:eastAsia="Arial" w:hAnsi="Arial"/>
                <w:sz w:val="18"/>
                <w:szCs w:val="18"/>
                <w:color w:val="auto"/>
                <w:w w:val="93"/>
              </w:rPr>
              <w:t>Notes</w:t>
            </w:r>
          </w:p>
        </w:tc>
        <w:tc>
          <w:tcPr>
            <w:tcW w:w="13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2021</w:t>
            </w:r>
          </w:p>
        </w:tc>
        <w:tc>
          <w:tcPr>
            <w:tcW w:w="260" w:type="dxa"/>
            <w:vAlign w:val="bottom"/>
          </w:tcPr>
          <w:p>
            <w:pPr>
              <w:spacing w:after="0"/>
              <w:rPr>
                <w:sz w:val="20"/>
                <w:szCs w:val="20"/>
                <w:color w:val="auto"/>
              </w:rPr>
            </w:pPr>
          </w:p>
        </w:tc>
        <w:tc>
          <w:tcPr>
            <w:tcW w:w="14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00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1640" w:type="dxa"/>
            <w:vAlign w:val="bottom"/>
            <w:gridSpan w:val="2"/>
          </w:tcPr>
          <w:p>
            <w:pPr>
              <w:jc w:val="center"/>
              <w:ind w:right="300"/>
              <w:spacing w:after="0"/>
              <w:rPr>
                <w:sz w:val="20"/>
                <w:szCs w:val="20"/>
                <w:color w:val="auto"/>
              </w:rPr>
            </w:pPr>
            <w:r>
              <w:rPr>
                <w:rFonts w:ascii="Arial" w:cs="Arial" w:eastAsia="Arial" w:hAnsi="Arial"/>
                <w:sz w:val="18"/>
                <w:szCs w:val="18"/>
                <w:color w:val="auto"/>
                <w:w w:val="99"/>
              </w:rPr>
              <w:t>€</w:t>
            </w:r>
          </w:p>
        </w:tc>
        <w:tc>
          <w:tcPr>
            <w:tcW w:w="150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Trade payables</w:t>
            </w:r>
          </w:p>
        </w:tc>
        <w:tc>
          <w:tcPr>
            <w:tcW w:w="410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2,898,423</w:t>
            </w:r>
          </w:p>
        </w:tc>
        <w:tc>
          <w:tcPr>
            <w:tcW w:w="26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656,448</w:t>
            </w:r>
          </w:p>
        </w:tc>
        <w:tc>
          <w:tcPr>
            <w:tcW w:w="10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tcPr>
          <w:p>
            <w:pPr>
              <w:spacing w:after="0"/>
              <w:rPr>
                <w:sz w:val="20"/>
                <w:szCs w:val="20"/>
                <w:color w:val="auto"/>
              </w:rPr>
            </w:pPr>
            <w:r>
              <w:rPr>
                <w:rFonts w:ascii="Arial" w:cs="Arial" w:eastAsia="Arial" w:hAnsi="Arial"/>
                <w:sz w:val="18"/>
                <w:szCs w:val="18"/>
                <w:color w:val="auto"/>
              </w:rPr>
              <w:t>Tax and social security liabilities</w:t>
            </w:r>
          </w:p>
        </w:tc>
        <w:tc>
          <w:tcPr>
            <w:tcW w:w="4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347,950</w:t>
            </w:r>
          </w:p>
        </w:tc>
        <w:tc>
          <w:tcPr>
            <w:tcW w:w="2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190,504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Current lease liability</w:t>
            </w:r>
          </w:p>
        </w:tc>
        <w:tc>
          <w:tcPr>
            <w:tcW w:w="4100" w:type="dxa"/>
            <w:vAlign w:val="bottom"/>
            <w:shd w:val="clear" w:color="auto" w:fill="CFF0FC"/>
          </w:tcPr>
          <w:p>
            <w:pPr>
              <w:jc w:val="right"/>
              <w:ind w:right="550"/>
              <w:spacing w:after="0"/>
              <w:rPr>
                <w:sz w:val="20"/>
                <w:szCs w:val="20"/>
                <w:color w:val="auto"/>
              </w:rPr>
            </w:pPr>
            <w:r>
              <w:rPr>
                <w:rFonts w:ascii="Arial" w:cs="Arial" w:eastAsia="Arial" w:hAnsi="Arial"/>
                <w:sz w:val="18"/>
                <w:szCs w:val="18"/>
                <w:color w:val="auto"/>
              </w:rPr>
              <w:t>9</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96,633</w:t>
            </w:r>
          </w:p>
        </w:tc>
        <w:tc>
          <w:tcPr>
            <w:tcW w:w="26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00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3,343,006</w:t>
            </w:r>
          </w:p>
        </w:tc>
        <w:tc>
          <w:tcPr>
            <w:tcW w:w="260" w:type="dxa"/>
            <w:vAlign w:val="bottom"/>
          </w:tcPr>
          <w:p>
            <w:pPr>
              <w:spacing w:after="0"/>
              <w:rPr>
                <w:sz w:val="20"/>
                <w:szCs w:val="20"/>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846,952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4100" w:type="dxa"/>
            <w:vAlign w:val="bottom"/>
            <w:vMerge w:val="restart"/>
          </w:tcPr>
          <w:p>
            <w:pPr>
              <w:jc w:val="right"/>
              <w:ind w:right="2290"/>
              <w:spacing w:after="0"/>
              <w:rPr>
                <w:sz w:val="20"/>
                <w:szCs w:val="20"/>
                <w:color w:val="auto"/>
              </w:rPr>
            </w:pPr>
            <w:r>
              <w:rPr>
                <w:rFonts w:ascii="Arial" w:cs="Arial" w:eastAsia="Arial" w:hAnsi="Arial"/>
                <w:sz w:val="18"/>
                <w:szCs w:val="18"/>
                <w:color w:val="auto"/>
              </w:rPr>
              <w:t>16</w:t>
            </w:r>
          </w:p>
        </w:tc>
        <w:tc>
          <w:tcPr>
            <w:tcW w:w="1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000" w:type="dxa"/>
            <w:vAlign w:val="bottom"/>
          </w:tcPr>
          <w:p>
            <w:pPr>
              <w:spacing w:after="0"/>
              <w:rPr>
                <w:sz w:val="24"/>
                <w:szCs w:val="24"/>
                <w:color w:val="auto"/>
              </w:rPr>
            </w:pPr>
          </w:p>
        </w:tc>
        <w:tc>
          <w:tcPr>
            <w:tcW w:w="4100" w:type="dxa"/>
            <w:vAlign w:val="bottom"/>
            <w:vMerge w:val="continue"/>
          </w:tcPr>
          <w:p>
            <w:pPr>
              <w:spacing w:after="0"/>
              <w:rPr>
                <w:sz w:val="24"/>
                <w:szCs w:val="24"/>
                <w:color w:val="auto"/>
              </w:rPr>
            </w:pPr>
          </w:p>
        </w:tc>
        <w:tc>
          <w:tcPr>
            <w:tcW w:w="1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4000" w:type="dxa"/>
            <w:vAlign w:val="bottom"/>
            <w:tcBorders>
              <w:bottom w:val="single" w:sz="8" w:color="9A9A9A"/>
            </w:tcBorders>
          </w:tcPr>
          <w:p>
            <w:pPr>
              <w:spacing w:after="0"/>
              <w:rPr>
                <w:sz w:val="8"/>
                <w:szCs w:val="8"/>
                <w:color w:val="auto"/>
              </w:rPr>
            </w:pPr>
          </w:p>
        </w:tc>
        <w:tc>
          <w:tcPr>
            <w:tcW w:w="4100" w:type="dxa"/>
            <w:vAlign w:val="bottom"/>
            <w:tcBorders>
              <w:bottom w:val="single" w:sz="8" w:color="9A9A9A"/>
            </w:tcBorders>
          </w:tcPr>
          <w:p>
            <w:pPr>
              <w:spacing w:after="0"/>
              <w:rPr>
                <w:sz w:val="8"/>
                <w:szCs w:val="8"/>
                <w:color w:val="auto"/>
              </w:rPr>
            </w:pPr>
          </w:p>
        </w:tc>
        <w:tc>
          <w:tcPr>
            <w:tcW w:w="138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4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783" w:right="31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34"/>
        </w:trPr>
        <w:tc>
          <w:tcPr>
            <w:tcW w:w="7720" w:type="dxa"/>
            <w:vAlign w:val="bottom"/>
          </w:tcPr>
          <w:p>
            <w:pPr>
              <w:spacing w:after="0"/>
              <w:rPr>
                <w:sz w:val="20"/>
                <w:szCs w:val="20"/>
                <w:color w:val="auto"/>
              </w:rPr>
            </w:pPr>
            <w:r>
              <w:rPr>
                <w:rFonts w:ascii="Arial" w:cs="Arial" w:eastAsia="Arial" w:hAnsi="Arial"/>
                <w:sz w:val="18"/>
                <w:szCs w:val="18"/>
                <w:b w:val="1"/>
                <w:bCs w:val="1"/>
                <w:color w:val="auto"/>
              </w:rPr>
              <w:t>15. Accrued liabilities</w:t>
            </w:r>
          </w:p>
        </w:tc>
        <w:tc>
          <w:tcPr>
            <w:tcW w:w="1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58"/>
        </w:trPr>
        <w:tc>
          <w:tcPr>
            <w:tcW w:w="7720" w:type="dxa"/>
            <w:vAlign w:val="bottom"/>
          </w:tcPr>
          <w:p>
            <w:pPr>
              <w:spacing w:after="0"/>
              <w:rPr>
                <w:sz w:val="24"/>
                <w:szCs w:val="24"/>
                <w:color w:val="auto"/>
              </w:rPr>
            </w:pPr>
          </w:p>
        </w:tc>
        <w:tc>
          <w:tcPr>
            <w:tcW w:w="1840" w:type="dxa"/>
            <w:vAlign w:val="bottom"/>
            <w:gridSpan w:val="2"/>
          </w:tcPr>
          <w:p>
            <w:pPr>
              <w:ind w:left="460"/>
              <w:spacing w:after="0"/>
              <w:rPr>
                <w:sz w:val="20"/>
                <w:szCs w:val="20"/>
                <w:color w:val="auto"/>
              </w:rPr>
            </w:pPr>
            <w:r>
              <w:rPr>
                <w:rFonts w:ascii="Arial" w:cs="Arial" w:eastAsia="Arial" w:hAnsi="Arial"/>
                <w:sz w:val="18"/>
                <w:szCs w:val="18"/>
                <w:color w:val="auto"/>
              </w:rPr>
              <w:t>June 30,</w:t>
            </w:r>
          </w:p>
        </w:tc>
        <w:tc>
          <w:tcPr>
            <w:tcW w:w="1680" w:type="dxa"/>
            <w:vAlign w:val="bottom"/>
            <w:gridSpan w:val="2"/>
          </w:tcPr>
          <w:p>
            <w:pPr>
              <w:ind w:left="240"/>
              <w:spacing w:after="0"/>
              <w:rPr>
                <w:sz w:val="20"/>
                <w:szCs w:val="20"/>
                <w:color w:val="auto"/>
              </w:rPr>
            </w:pPr>
            <w:r>
              <w:rPr>
                <w:rFonts w:ascii="Arial" w:cs="Arial" w:eastAsia="Arial" w:hAnsi="Arial"/>
                <w:sz w:val="18"/>
                <w:szCs w:val="18"/>
                <w:color w:val="auto"/>
              </w:rPr>
              <w:t>December 31,</w:t>
            </w:r>
          </w:p>
        </w:tc>
      </w:tr>
      <w:tr>
        <w:trPr>
          <w:trHeight w:val="230"/>
        </w:trPr>
        <w:tc>
          <w:tcPr>
            <w:tcW w:w="7720" w:type="dxa"/>
            <w:vAlign w:val="bottom"/>
          </w:tcPr>
          <w:p>
            <w:pPr>
              <w:spacing w:after="0"/>
              <w:rPr>
                <w:sz w:val="20"/>
                <w:szCs w:val="20"/>
                <w:color w:val="auto"/>
              </w:rPr>
            </w:pPr>
          </w:p>
        </w:tc>
        <w:tc>
          <w:tcPr>
            <w:tcW w:w="166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rPr>
              <w:t>2021</w:t>
            </w:r>
          </w:p>
        </w:tc>
        <w:tc>
          <w:tcPr>
            <w:tcW w:w="180" w:type="dxa"/>
            <w:vAlign w:val="bottom"/>
          </w:tcPr>
          <w:p>
            <w:pPr>
              <w:spacing w:after="0"/>
              <w:rPr>
                <w:sz w:val="20"/>
                <w:szCs w:val="20"/>
                <w:color w:val="auto"/>
              </w:rPr>
            </w:pPr>
          </w:p>
        </w:tc>
        <w:tc>
          <w:tcPr>
            <w:tcW w:w="15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0"/>
                <w:szCs w:val="20"/>
                <w:color w:val="auto"/>
              </w:rPr>
            </w:pPr>
          </w:p>
        </w:tc>
      </w:tr>
      <w:tr>
        <w:trPr>
          <w:trHeight w:val="237"/>
        </w:trPr>
        <w:tc>
          <w:tcPr>
            <w:tcW w:w="7720" w:type="dxa"/>
            <w:vAlign w:val="bottom"/>
          </w:tcPr>
          <w:p>
            <w:pPr>
              <w:spacing w:after="0"/>
              <w:rPr>
                <w:sz w:val="20"/>
                <w:szCs w:val="20"/>
                <w:color w:val="auto"/>
              </w:rPr>
            </w:pPr>
          </w:p>
        </w:tc>
        <w:tc>
          <w:tcPr>
            <w:tcW w:w="1840" w:type="dxa"/>
            <w:vAlign w:val="bottom"/>
            <w:gridSpan w:val="2"/>
          </w:tcPr>
          <w:p>
            <w:pPr>
              <w:jc w:val="center"/>
              <w:ind w:right="320"/>
              <w:spacing w:after="0"/>
              <w:rPr>
                <w:sz w:val="20"/>
                <w:szCs w:val="20"/>
                <w:color w:val="auto"/>
              </w:rPr>
            </w:pPr>
            <w:r>
              <w:rPr>
                <w:rFonts w:ascii="Arial" w:cs="Arial" w:eastAsia="Arial" w:hAnsi="Arial"/>
                <w:sz w:val="18"/>
                <w:szCs w:val="18"/>
                <w:color w:val="auto"/>
                <w:w w:val="79"/>
              </w:rPr>
              <w:t>€</w:t>
            </w:r>
          </w:p>
        </w:tc>
        <w:tc>
          <w:tcPr>
            <w:tcW w:w="168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r>
      <w:tr>
        <w:trPr>
          <w:trHeight w:val="24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Consulting and accounting fees</w:t>
            </w:r>
          </w:p>
        </w:tc>
        <w:tc>
          <w:tcPr>
            <w:tcW w:w="16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1,097,963</w:t>
            </w:r>
          </w:p>
        </w:tc>
        <w:tc>
          <w:tcPr>
            <w:tcW w:w="180" w:type="dxa"/>
            <w:vAlign w:val="bottom"/>
            <w:shd w:val="clear" w:color="auto" w:fill="CFF0FC"/>
          </w:tcPr>
          <w:p>
            <w:pPr>
              <w:spacing w:after="0"/>
              <w:rPr>
                <w:sz w:val="21"/>
                <w:szCs w:val="21"/>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1,505,304</w:t>
            </w:r>
          </w:p>
        </w:tc>
        <w:tc>
          <w:tcPr>
            <w:tcW w:w="120" w:type="dxa"/>
            <w:vAlign w:val="bottom"/>
            <w:shd w:val="clear" w:color="auto" w:fill="CFF0FC"/>
          </w:tcPr>
          <w:p>
            <w:pPr>
              <w:spacing w:after="0"/>
              <w:rPr>
                <w:sz w:val="21"/>
                <w:szCs w:val="21"/>
                <w:color w:val="auto"/>
              </w:rPr>
            </w:pPr>
          </w:p>
        </w:tc>
      </w:tr>
      <w:tr>
        <w:trPr>
          <w:trHeight w:val="243"/>
        </w:trPr>
        <w:tc>
          <w:tcPr>
            <w:tcW w:w="7720" w:type="dxa"/>
            <w:vAlign w:val="bottom"/>
          </w:tcPr>
          <w:p>
            <w:pPr>
              <w:spacing w:after="0"/>
              <w:rPr>
                <w:sz w:val="20"/>
                <w:szCs w:val="20"/>
                <w:color w:val="auto"/>
              </w:rPr>
            </w:pPr>
            <w:r>
              <w:rPr>
                <w:rFonts w:ascii="Arial" w:cs="Arial" w:eastAsia="Arial" w:hAnsi="Arial"/>
                <w:sz w:val="18"/>
                <w:szCs w:val="18"/>
                <w:color w:val="auto"/>
              </w:rPr>
              <w:t>Clinical expenses</w:t>
            </w: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889,000</w:t>
            </w:r>
          </w:p>
        </w:tc>
        <w:tc>
          <w:tcPr>
            <w:tcW w:w="1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635,820</w:t>
            </w:r>
          </w:p>
        </w:tc>
        <w:tc>
          <w:tcPr>
            <w:tcW w:w="120" w:type="dxa"/>
            <w:vAlign w:val="bottom"/>
          </w:tcPr>
          <w:p>
            <w:pPr>
              <w:spacing w:after="0"/>
              <w:rPr>
                <w:sz w:val="21"/>
                <w:szCs w:val="21"/>
                <w:color w:val="auto"/>
              </w:rPr>
            </w:pPr>
          </w:p>
        </w:tc>
      </w:tr>
      <w:tr>
        <w:trPr>
          <w:trHeight w:val="24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Manufacturing expenses</w:t>
            </w:r>
          </w:p>
        </w:tc>
        <w:tc>
          <w:tcPr>
            <w:tcW w:w="16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576,000</w:t>
            </w:r>
          </w:p>
        </w:tc>
        <w:tc>
          <w:tcPr>
            <w:tcW w:w="180" w:type="dxa"/>
            <w:vAlign w:val="bottom"/>
            <w:shd w:val="clear" w:color="auto" w:fill="CFF0FC"/>
          </w:tcPr>
          <w:p>
            <w:pPr>
              <w:spacing w:after="0"/>
              <w:rPr>
                <w:sz w:val="21"/>
                <w:szCs w:val="21"/>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970,587</w:t>
            </w:r>
          </w:p>
        </w:tc>
        <w:tc>
          <w:tcPr>
            <w:tcW w:w="120" w:type="dxa"/>
            <w:vAlign w:val="bottom"/>
            <w:shd w:val="clear" w:color="auto" w:fill="CFF0FC"/>
          </w:tcPr>
          <w:p>
            <w:pPr>
              <w:spacing w:after="0"/>
              <w:rPr>
                <w:sz w:val="21"/>
                <w:szCs w:val="21"/>
                <w:color w:val="auto"/>
              </w:rPr>
            </w:pPr>
          </w:p>
        </w:tc>
      </w:tr>
      <w:tr>
        <w:trPr>
          <w:trHeight w:val="243"/>
        </w:trPr>
        <w:tc>
          <w:tcPr>
            <w:tcW w:w="7720" w:type="dxa"/>
            <w:vAlign w:val="bottom"/>
          </w:tcPr>
          <w:p>
            <w:pPr>
              <w:spacing w:after="0"/>
              <w:rPr>
                <w:sz w:val="20"/>
                <w:szCs w:val="20"/>
                <w:color w:val="auto"/>
              </w:rPr>
            </w:pPr>
            <w:r>
              <w:rPr>
                <w:rFonts w:ascii="Arial" w:cs="Arial" w:eastAsia="Arial" w:hAnsi="Arial"/>
                <w:sz w:val="18"/>
                <w:szCs w:val="18"/>
                <w:color w:val="auto"/>
              </w:rPr>
              <w:t>Non-clinical expenses</w:t>
            </w: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238,250</w:t>
            </w:r>
          </w:p>
        </w:tc>
        <w:tc>
          <w:tcPr>
            <w:tcW w:w="1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421,429</w:t>
            </w:r>
          </w:p>
        </w:tc>
        <w:tc>
          <w:tcPr>
            <w:tcW w:w="120" w:type="dxa"/>
            <w:vAlign w:val="bottom"/>
          </w:tcPr>
          <w:p>
            <w:pPr>
              <w:spacing w:after="0"/>
              <w:rPr>
                <w:sz w:val="21"/>
                <w:szCs w:val="21"/>
                <w:color w:val="auto"/>
              </w:rPr>
            </w:pPr>
          </w:p>
        </w:tc>
      </w:tr>
      <w:tr>
        <w:trPr>
          <w:trHeight w:val="24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Personnel expenses</w:t>
            </w:r>
          </w:p>
        </w:tc>
        <w:tc>
          <w:tcPr>
            <w:tcW w:w="16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1,086,781</w:t>
            </w:r>
          </w:p>
        </w:tc>
        <w:tc>
          <w:tcPr>
            <w:tcW w:w="180" w:type="dxa"/>
            <w:vAlign w:val="bottom"/>
            <w:shd w:val="clear" w:color="auto" w:fill="CFF0FC"/>
          </w:tcPr>
          <w:p>
            <w:pPr>
              <w:spacing w:after="0"/>
              <w:rPr>
                <w:sz w:val="21"/>
                <w:szCs w:val="21"/>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875,238</w:t>
            </w:r>
          </w:p>
        </w:tc>
        <w:tc>
          <w:tcPr>
            <w:tcW w:w="120" w:type="dxa"/>
            <w:vAlign w:val="bottom"/>
            <w:shd w:val="clear" w:color="auto" w:fill="CFF0FC"/>
          </w:tcPr>
          <w:p>
            <w:pPr>
              <w:spacing w:after="0"/>
              <w:rPr>
                <w:sz w:val="21"/>
                <w:szCs w:val="21"/>
                <w:color w:val="auto"/>
              </w:rPr>
            </w:pPr>
          </w:p>
        </w:tc>
      </w:tr>
      <w:tr>
        <w:trPr>
          <w:trHeight w:val="243"/>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expenses</w:t>
            </w:r>
          </w:p>
        </w:tc>
        <w:tc>
          <w:tcPr>
            <w:tcW w:w="16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76,658</w:t>
            </w:r>
          </w:p>
        </w:tc>
        <w:tc>
          <w:tcPr>
            <w:tcW w:w="180" w:type="dxa"/>
            <w:vAlign w:val="bottom"/>
            <w:tcBorders>
              <w:bottom w:val="single" w:sz="8" w:color="CFF0FC"/>
            </w:tcBorders>
          </w:tcPr>
          <w:p>
            <w:pPr>
              <w:spacing w:after="0"/>
              <w:rPr>
                <w:sz w:val="21"/>
                <w:szCs w:val="21"/>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58,459</w:t>
            </w:r>
          </w:p>
        </w:tc>
        <w:tc>
          <w:tcPr>
            <w:tcW w:w="120" w:type="dxa"/>
            <w:vAlign w:val="bottom"/>
            <w:tcBorders>
              <w:bottom w:val="single" w:sz="8" w:color="CFF0FC"/>
            </w:tcBorders>
          </w:tcPr>
          <w:p>
            <w:pPr>
              <w:spacing w:after="0"/>
              <w:rPr>
                <w:sz w:val="21"/>
                <w:szCs w:val="21"/>
                <w:color w:val="auto"/>
              </w:rPr>
            </w:pPr>
          </w:p>
        </w:tc>
      </w:tr>
      <w:tr>
        <w:trPr>
          <w:trHeight w:val="237"/>
        </w:trPr>
        <w:tc>
          <w:tcPr>
            <w:tcW w:w="7720" w:type="dxa"/>
            <w:vAlign w:val="bottom"/>
            <w:tcBorders>
              <w:bottom w:val="single" w:sz="8" w:color="CFF0FC"/>
            </w:tcBorders>
            <w:shd w:val="clear" w:color="auto" w:fill="CFF0FC"/>
          </w:tcPr>
          <w:p>
            <w:pPr>
              <w:spacing w:after="0"/>
              <w:rPr>
                <w:sz w:val="20"/>
                <w:szCs w:val="20"/>
                <w:color w:val="auto"/>
              </w:rPr>
            </w:pPr>
          </w:p>
        </w:tc>
        <w:tc>
          <w:tcPr>
            <w:tcW w:w="16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3,964,652</w:t>
            </w:r>
          </w:p>
        </w:tc>
        <w:tc>
          <w:tcPr>
            <w:tcW w:w="180" w:type="dxa"/>
            <w:vAlign w:val="bottom"/>
            <w:tcBorders>
              <w:bottom w:val="single" w:sz="8" w:color="CFF0FC"/>
            </w:tcBorders>
            <w:shd w:val="clear" w:color="auto" w:fill="CFF0FC"/>
          </w:tcPr>
          <w:p>
            <w:pPr>
              <w:spacing w:after="0"/>
              <w:rPr>
                <w:sz w:val="20"/>
                <w:szCs w:val="20"/>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4,466,837</w:t>
            </w:r>
          </w:p>
        </w:tc>
        <w:tc>
          <w:tcPr>
            <w:tcW w:w="120" w:type="dxa"/>
            <w:vAlign w:val="bottom"/>
            <w:tcBorders>
              <w:bottom w:val="single" w:sz="8" w:color="CFF0FC"/>
            </w:tcBorders>
            <w:shd w:val="clear" w:color="auto" w:fill="CFF0FC"/>
          </w:tcPr>
          <w:p>
            <w:pPr>
              <w:spacing w:after="0"/>
              <w:rPr>
                <w:sz w:val="20"/>
                <w:szCs w:val="20"/>
                <w:color w:val="auto"/>
              </w:rPr>
            </w:pPr>
          </w:p>
        </w:tc>
      </w:tr>
      <w:tr>
        <w:trPr>
          <w:trHeight w:val="20"/>
        </w:trPr>
        <w:tc>
          <w:tcPr>
            <w:tcW w:w="772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Risk management activities</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The Group’s risk management activities are the same as disclosed in note 16 of the consolidated financial statements as of and for the year ended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2020, except for the following: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Risk</w:t>
      </w:r>
    </w:p>
    <w:p>
      <w:pPr>
        <w:spacing w:after="0" w:line="27" w:lineRule="exact"/>
        <w:rPr>
          <w:sz w:val="20"/>
          <w:szCs w:val="20"/>
          <w:color w:val="auto"/>
        </w:rPr>
      </w:pPr>
    </w:p>
    <w:p>
      <w:pPr>
        <w:ind w:right="200"/>
        <w:spacing w:after="0" w:line="277" w:lineRule="auto"/>
        <w:rPr>
          <w:sz w:val="20"/>
          <w:szCs w:val="20"/>
          <w:color w:val="auto"/>
        </w:rPr>
      </w:pPr>
      <w:r>
        <w:rPr>
          <w:rFonts w:ascii="Arial" w:cs="Arial" w:eastAsia="Arial" w:hAnsi="Arial"/>
          <w:sz w:val="17"/>
          <w:szCs w:val="17"/>
          <w:color w:val="auto"/>
        </w:rPr>
        <w:t>The Company is exposed to foreign exchange risk arising from various currency exposures, primarily with respect to the U.S. Dollar. We received the proceeds from our initial public offering in February 2021 in U.S. Dollars. We seek to minimize our exchange rate risk by maintaining cash positions in the currencies in which we expect to incur the majority of our future expenses and we make payments from those positions.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7"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The Group has adopted an investment policy with the primary purpose of preserving capital, fulfilling its liquidity needs and diversifying the risks associated with cash. This investment policy establishes minimum ratings for institutions with which the Group holds cash, also ensuring that a negative interest rate is not paid.</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Fair values</w:t>
      </w:r>
    </w:p>
    <w:p>
      <w:pPr>
        <w:spacing w:after="0" w:line="27" w:lineRule="exact"/>
        <w:rPr>
          <w:sz w:val="20"/>
          <w:szCs w:val="20"/>
          <w:color w:val="auto"/>
        </w:rPr>
      </w:pPr>
    </w:p>
    <w:p>
      <w:pPr>
        <w:ind w:right="200"/>
        <w:spacing w:after="0" w:line="260" w:lineRule="auto"/>
        <w:rPr>
          <w:sz w:val="20"/>
          <w:szCs w:val="20"/>
          <w:color w:val="auto"/>
        </w:rPr>
      </w:pPr>
      <w:r>
        <w:rPr>
          <w:rFonts w:ascii="Arial" w:cs="Arial" w:eastAsia="Arial" w:hAnsi="Arial"/>
          <w:sz w:val="18"/>
          <w:szCs w:val="18"/>
          <w:color w:val="auto"/>
        </w:rPr>
        <w:t>Fair values of cash and cash equivalents, trade receivables, trade payables, and other current liabilities approximate their carrying amounts largely due to the short-term maturities of these instruments.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Share-based payments</w:t>
      </w:r>
    </w:p>
    <w:p>
      <w:pPr>
        <w:spacing w:after="0" w:line="27" w:lineRule="exact"/>
        <w:rPr>
          <w:sz w:val="20"/>
          <w:szCs w:val="20"/>
          <w:color w:val="auto"/>
        </w:rPr>
      </w:pPr>
    </w:p>
    <w:p>
      <w:pPr>
        <w:ind w:right="220"/>
        <w:spacing w:after="0" w:line="250" w:lineRule="auto"/>
        <w:rPr>
          <w:sz w:val="20"/>
          <w:szCs w:val="20"/>
          <w:color w:val="auto"/>
        </w:rPr>
      </w:pPr>
      <w:r>
        <w:rPr>
          <w:rFonts w:ascii="Arial" w:cs="Arial" w:eastAsia="Arial" w:hAnsi="Arial"/>
          <w:sz w:val="18"/>
          <w:szCs w:val="18"/>
          <w:color w:val="auto"/>
        </w:rPr>
        <w:t>In 2016, the Company implemented an Equity Incentive Plan (the “Plan”) in order to advance the interests of the Company’s shareholders by enhancing the Company’s ability to attract, retain and motivate persons who are expected to make important contributions to the Company and by providing such persons with performance-based incentives that are intended to better align the interests of such persons with those of the Company’s shareholders. This plan has been superseded by the 2021 long term incentive plan (“LTIP”).</w:t>
      </w:r>
    </w:p>
    <w:p>
      <w:pPr>
        <w:spacing w:after="0" w:line="2" w:lineRule="exact"/>
        <w:rPr>
          <w:sz w:val="20"/>
          <w:szCs w:val="20"/>
          <w:color w:val="auto"/>
        </w:rPr>
      </w:pPr>
    </w:p>
    <w:p>
      <w:pPr>
        <w:jc w:val="center"/>
        <w:ind w:right="420"/>
        <w:spacing w:after="0"/>
        <w:rPr>
          <w:sz w:val="20"/>
          <w:szCs w:val="20"/>
          <w:color w:val="auto"/>
        </w:rPr>
      </w:pPr>
      <w:r>
        <w:rPr>
          <w:rFonts w:ascii="Arial" w:cs="Arial" w:eastAsia="Arial" w:hAnsi="Arial"/>
          <w:sz w:val="17"/>
          <w:szCs w:val="17"/>
          <w:color w:val="auto"/>
        </w:rPr>
        <w:t>Set out below is an overview of changes in the Stock Options and Restricted Stock Units (“RSUs”) during the six months ended June 30, 2021.</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837" w:right="33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30"/>
        </w:trPr>
        <w:tc>
          <w:tcPr>
            <w:tcW w:w="5840" w:type="dxa"/>
            <w:vAlign w:val="bottom"/>
          </w:tcPr>
          <w:p>
            <w:pPr>
              <w:spacing w:after="0"/>
              <w:rPr>
                <w:sz w:val="20"/>
                <w:szCs w:val="20"/>
                <w:color w:val="auto"/>
              </w:rPr>
            </w:pPr>
          </w:p>
        </w:tc>
        <w:tc>
          <w:tcPr>
            <w:tcW w:w="2520" w:type="dxa"/>
            <w:vAlign w:val="bottom"/>
            <w:tcBorders>
              <w:bottom w:val="single" w:sz="8" w:color="auto"/>
            </w:tcBorders>
            <w:gridSpan w:val="4"/>
          </w:tcPr>
          <w:p>
            <w:pPr>
              <w:jc w:val="right"/>
              <w:ind w:right="650"/>
              <w:spacing w:after="0"/>
              <w:rPr>
                <w:sz w:val="20"/>
                <w:szCs w:val="20"/>
                <w:color w:val="auto"/>
              </w:rPr>
            </w:pPr>
            <w:r>
              <w:rPr>
                <w:rFonts w:ascii="Arial" w:cs="Arial" w:eastAsia="Arial" w:hAnsi="Arial"/>
                <w:sz w:val="18"/>
                <w:szCs w:val="18"/>
                <w:color w:val="auto"/>
              </w:rPr>
              <w:t>Stock Options</w:t>
            </w:r>
          </w:p>
        </w:tc>
        <w:tc>
          <w:tcPr>
            <w:tcW w:w="240" w:type="dxa"/>
            <w:vAlign w:val="bottom"/>
          </w:tcPr>
          <w:p>
            <w:pPr>
              <w:spacing w:after="0"/>
              <w:rPr>
                <w:sz w:val="20"/>
                <w:szCs w:val="20"/>
                <w:color w:val="auto"/>
              </w:rPr>
            </w:pPr>
          </w:p>
        </w:tc>
        <w:tc>
          <w:tcPr>
            <w:tcW w:w="15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RSUs</w:t>
            </w: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6"/>
        </w:trPr>
        <w:tc>
          <w:tcPr>
            <w:tcW w:w="58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8"/>
                <w:szCs w:val="18"/>
                <w:color w:val="auto"/>
                <w:w w:val="94"/>
              </w:rPr>
              <w:t>Weighted</w:t>
            </w: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8"/>
                <w:szCs w:val="18"/>
                <w:color w:val="auto"/>
                <w:w w:val="92"/>
              </w:rPr>
              <w:t>Weighted</w:t>
            </w:r>
          </w:p>
        </w:tc>
      </w:tr>
      <w:tr>
        <w:trPr>
          <w:trHeight w:val="229"/>
        </w:trPr>
        <w:tc>
          <w:tcPr>
            <w:tcW w:w="58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center"/>
              <w:ind w:right="420"/>
              <w:spacing w:after="0"/>
              <w:rPr>
                <w:sz w:val="20"/>
                <w:szCs w:val="20"/>
                <w:color w:val="auto"/>
              </w:rPr>
            </w:pPr>
            <w:r>
              <w:rPr>
                <w:rFonts w:ascii="Arial" w:cs="Arial" w:eastAsia="Arial" w:hAnsi="Arial"/>
                <w:sz w:val="18"/>
                <w:szCs w:val="18"/>
                <w:color w:val="auto"/>
                <w:w w:val="89"/>
              </w:rPr>
              <w:t>average</w:t>
            </w: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average</w:t>
            </w:r>
          </w:p>
        </w:tc>
      </w:tr>
      <w:tr>
        <w:trPr>
          <w:trHeight w:val="230"/>
        </w:trPr>
        <w:tc>
          <w:tcPr>
            <w:tcW w:w="5840" w:type="dxa"/>
            <w:vAlign w:val="bottom"/>
          </w:tcPr>
          <w:p>
            <w:pPr>
              <w:spacing w:after="0"/>
              <w:rPr>
                <w:sz w:val="19"/>
                <w:szCs w:val="19"/>
                <w:color w:val="auto"/>
              </w:rPr>
            </w:pPr>
          </w:p>
        </w:tc>
        <w:tc>
          <w:tcPr>
            <w:tcW w:w="1380" w:type="dxa"/>
            <w:vAlign w:val="bottom"/>
            <w:gridSpan w:val="2"/>
          </w:tcPr>
          <w:p>
            <w:pPr>
              <w:jc w:val="right"/>
              <w:ind w:right="360"/>
              <w:spacing w:after="0"/>
              <w:rPr>
                <w:sz w:val="20"/>
                <w:szCs w:val="20"/>
                <w:color w:val="auto"/>
              </w:rPr>
            </w:pPr>
            <w:r>
              <w:rPr>
                <w:rFonts w:ascii="Arial" w:cs="Arial" w:eastAsia="Arial" w:hAnsi="Arial"/>
                <w:sz w:val="18"/>
                <w:szCs w:val="18"/>
                <w:color w:val="auto"/>
              </w:rPr>
              <w:t>Outstanding</w:t>
            </w:r>
          </w:p>
        </w:tc>
        <w:tc>
          <w:tcPr>
            <w:tcW w:w="140" w:type="dxa"/>
            <w:vAlign w:val="bottom"/>
          </w:tcPr>
          <w:p>
            <w:pPr>
              <w:spacing w:after="0"/>
              <w:rPr>
                <w:sz w:val="19"/>
                <w:szCs w:val="19"/>
                <w:color w:val="auto"/>
              </w:rPr>
            </w:pPr>
          </w:p>
        </w:tc>
        <w:tc>
          <w:tcPr>
            <w:tcW w:w="1240" w:type="dxa"/>
            <w:vAlign w:val="bottom"/>
            <w:gridSpan w:val="2"/>
          </w:tcPr>
          <w:p>
            <w:pPr>
              <w:jc w:val="center"/>
              <w:ind w:right="420"/>
              <w:spacing w:after="0"/>
              <w:rPr>
                <w:sz w:val="20"/>
                <w:szCs w:val="20"/>
                <w:color w:val="auto"/>
              </w:rPr>
            </w:pPr>
            <w:r>
              <w:rPr>
                <w:rFonts w:ascii="Arial" w:cs="Arial" w:eastAsia="Arial" w:hAnsi="Arial"/>
                <w:sz w:val="18"/>
                <w:szCs w:val="18"/>
                <w:color w:val="auto"/>
                <w:w w:val="92"/>
              </w:rPr>
              <w:t>exercise</w:t>
            </w: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Outstanding</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purchase</w:t>
            </w:r>
          </w:p>
        </w:tc>
      </w:tr>
      <w:tr>
        <w:trPr>
          <w:trHeight w:val="230"/>
        </w:trPr>
        <w:tc>
          <w:tcPr>
            <w:tcW w:w="5840" w:type="dxa"/>
            <w:vAlign w:val="bottom"/>
            <w:tcBorders>
              <w:bottom w:val="single" w:sz="8" w:color="CFF0FC"/>
            </w:tcBorders>
          </w:tcPr>
          <w:p>
            <w:pPr>
              <w:spacing w:after="0"/>
              <w:rPr>
                <w:sz w:val="20"/>
                <w:szCs w:val="20"/>
                <w:color w:val="auto"/>
              </w:rPr>
            </w:pPr>
          </w:p>
        </w:tc>
        <w:tc>
          <w:tcPr>
            <w:tcW w:w="11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options</w:t>
            </w:r>
          </w:p>
        </w:tc>
        <w:tc>
          <w:tcPr>
            <w:tcW w:w="24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97"/>
              </w:rPr>
              <w:t>price</w:t>
            </w:r>
          </w:p>
        </w:tc>
        <w:tc>
          <w:tcPr>
            <w:tcW w:w="240" w:type="dxa"/>
            <w:vAlign w:val="bottom"/>
            <w:tcBorders>
              <w:bottom w:val="single" w:sz="8" w:color="CFF0FC"/>
            </w:tcBorders>
          </w:tcPr>
          <w:p>
            <w:pPr>
              <w:spacing w:after="0"/>
              <w:rPr>
                <w:sz w:val="20"/>
                <w:szCs w:val="20"/>
                <w:color w:val="auto"/>
              </w:rPr>
            </w:pPr>
          </w:p>
        </w:tc>
        <w:tc>
          <w:tcPr>
            <w:tcW w:w="11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RSUs</w:t>
            </w:r>
          </w:p>
        </w:tc>
        <w:tc>
          <w:tcPr>
            <w:tcW w:w="16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97"/>
              </w:rPr>
              <w:t>price</w:t>
            </w:r>
          </w:p>
        </w:tc>
        <w:tc>
          <w:tcPr>
            <w:tcW w:w="100" w:type="dxa"/>
            <w:vAlign w:val="bottom"/>
            <w:tcBorders>
              <w:bottom w:val="single" w:sz="8" w:color="CFF0FC"/>
            </w:tcBorders>
          </w:tcPr>
          <w:p>
            <w:pPr>
              <w:spacing w:after="0"/>
              <w:rPr>
                <w:sz w:val="20"/>
                <w:szCs w:val="20"/>
                <w:color w:val="auto"/>
              </w:rPr>
            </w:pPr>
          </w:p>
        </w:tc>
      </w:tr>
      <w:tr>
        <w:trPr>
          <w:trHeight w:val="237"/>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Outstanding December 31, 2020</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1,465,295</w:t>
            </w: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w:t>
            </w:r>
          </w:p>
        </w:tc>
        <w:tc>
          <w:tcPr>
            <w:tcW w:w="24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153,595</w:t>
            </w:r>
          </w:p>
        </w:tc>
        <w:tc>
          <w:tcPr>
            <w:tcW w:w="160" w:type="dxa"/>
            <w:vAlign w:val="bottom"/>
            <w:shd w:val="clear" w:color="auto" w:fill="CFF0FC"/>
          </w:tcPr>
          <w:p>
            <w:pPr>
              <w:spacing w:after="0"/>
              <w:rPr>
                <w:sz w:val="20"/>
                <w:szCs w:val="20"/>
                <w:color w:val="auto"/>
              </w:rPr>
            </w:pP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FF0FC"/>
          </w:tcPr>
          <w:p>
            <w:pPr>
              <w:spacing w:after="0"/>
              <w:rPr>
                <w:sz w:val="20"/>
                <w:szCs w:val="20"/>
                <w:color w:val="auto"/>
              </w:rPr>
            </w:pPr>
          </w:p>
        </w:tc>
      </w:tr>
      <w:tr>
        <w:trPr>
          <w:trHeight w:val="243"/>
        </w:trPr>
        <w:tc>
          <w:tcPr>
            <w:tcW w:w="5840" w:type="dxa"/>
            <w:vAlign w:val="bottom"/>
          </w:tcPr>
          <w:p>
            <w:pPr>
              <w:spacing w:after="0"/>
              <w:rPr>
                <w:sz w:val="20"/>
                <w:szCs w:val="20"/>
                <w:color w:val="auto"/>
              </w:rPr>
            </w:pPr>
            <w:r>
              <w:rPr>
                <w:rFonts w:ascii="Arial" w:cs="Arial" w:eastAsia="Arial" w:hAnsi="Arial"/>
                <w:sz w:val="18"/>
                <w:szCs w:val="18"/>
                <w:color w:val="auto"/>
              </w:rPr>
              <w:t>Granted</w:t>
            </w:r>
          </w:p>
        </w:tc>
        <w:tc>
          <w:tcPr>
            <w:tcW w:w="1140" w:type="dxa"/>
            <w:vAlign w:val="bottom"/>
          </w:tcPr>
          <w:p>
            <w:pPr>
              <w:jc w:val="right"/>
              <w:spacing w:after="0"/>
              <w:rPr>
                <w:sz w:val="20"/>
                <w:szCs w:val="20"/>
                <w:color w:val="auto"/>
              </w:rPr>
            </w:pPr>
            <w:r>
              <w:rPr>
                <w:rFonts w:ascii="Arial" w:cs="Arial" w:eastAsia="Arial" w:hAnsi="Arial"/>
                <w:sz w:val="18"/>
                <w:szCs w:val="18"/>
                <w:color w:val="auto"/>
              </w:rPr>
              <w:t>994,000</w:t>
            </w:r>
          </w:p>
        </w:tc>
        <w:tc>
          <w:tcPr>
            <w:tcW w:w="240" w:type="dxa"/>
            <w:vAlign w:val="bottom"/>
          </w:tcPr>
          <w:p>
            <w:pPr>
              <w:spacing w:after="0"/>
              <w:rPr>
                <w:sz w:val="21"/>
                <w:szCs w:val="21"/>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15.66</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51,188</w:t>
            </w:r>
          </w:p>
        </w:tc>
        <w:tc>
          <w:tcPr>
            <w:tcW w:w="160" w:type="dxa"/>
            <w:vAlign w:val="bottom"/>
          </w:tcPr>
          <w:p>
            <w:pPr>
              <w:spacing w:after="0"/>
              <w:rPr>
                <w:sz w:val="21"/>
                <w:szCs w:val="21"/>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r>
      <w:tr>
        <w:trPr>
          <w:trHeight w:val="243"/>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Exercised</w:t>
            </w: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(34,000)</w:t>
            </w:r>
          </w:p>
        </w:tc>
        <w:tc>
          <w:tcPr>
            <w:tcW w:w="1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2.38</w:t>
            </w:r>
          </w:p>
        </w:tc>
        <w:tc>
          <w:tcPr>
            <w:tcW w:w="24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(25,295)</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FF0FC"/>
          </w:tcPr>
          <w:p>
            <w:pPr>
              <w:spacing w:after="0"/>
              <w:rPr>
                <w:sz w:val="21"/>
                <w:szCs w:val="21"/>
                <w:color w:val="auto"/>
              </w:rPr>
            </w:pPr>
          </w:p>
        </w:tc>
      </w:tr>
      <w:tr>
        <w:trPr>
          <w:trHeight w:val="243"/>
        </w:trPr>
        <w:tc>
          <w:tcPr>
            <w:tcW w:w="5840" w:type="dxa"/>
            <w:vAlign w:val="bottom"/>
          </w:tcPr>
          <w:p>
            <w:pPr>
              <w:spacing w:after="0"/>
              <w:rPr>
                <w:sz w:val="20"/>
                <w:szCs w:val="20"/>
                <w:color w:val="auto"/>
              </w:rPr>
            </w:pPr>
            <w:r>
              <w:rPr>
                <w:rFonts w:ascii="Arial" w:cs="Arial" w:eastAsia="Arial" w:hAnsi="Arial"/>
                <w:sz w:val="18"/>
                <w:szCs w:val="18"/>
                <w:color w:val="auto"/>
              </w:rPr>
              <w:t>Forfeited</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(35,000)</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16.67</w:t>
            </w:r>
          </w:p>
        </w:tc>
        <w:tc>
          <w:tcPr>
            <w:tcW w:w="240" w:type="dxa"/>
            <w:vAlign w:val="bottom"/>
          </w:tcPr>
          <w:p>
            <w:pPr>
              <w:spacing w:after="0"/>
              <w:rPr>
                <w:sz w:val="21"/>
                <w:szCs w:val="21"/>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r>
      <w:tr>
        <w:trPr>
          <w:trHeight w:val="237"/>
        </w:trPr>
        <w:tc>
          <w:tcPr>
            <w:tcW w:w="58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June 30, 2021</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2,390,295</w:t>
            </w:r>
          </w:p>
        </w:tc>
        <w:tc>
          <w:tcPr>
            <w:tcW w:w="240" w:type="dxa"/>
            <w:vAlign w:val="bottom"/>
            <w:tcBorders>
              <w:top w:val="single" w:sz="8" w:color="CFF0FC"/>
              <w:bottom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8.09</w:t>
            </w:r>
          </w:p>
        </w:tc>
        <w:tc>
          <w:tcPr>
            <w:tcW w:w="240" w:type="dxa"/>
            <w:vAlign w:val="bottom"/>
            <w:tcBorders>
              <w:top w:val="single" w:sz="8" w:color="CFF0FC"/>
              <w:bottom w:val="single" w:sz="8" w:color="CFF0FC"/>
            </w:tcBorders>
            <w:shd w:val="clear" w:color="auto" w:fill="CFF0FC"/>
          </w:tcPr>
          <w:p>
            <w:pPr>
              <w:spacing w:after="0"/>
              <w:rPr>
                <w:sz w:val="20"/>
                <w:szCs w:val="20"/>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179,488</w:t>
            </w:r>
          </w:p>
        </w:tc>
        <w:tc>
          <w:tcPr>
            <w:tcW w:w="160" w:type="dxa"/>
            <w:vAlign w:val="bottom"/>
            <w:tcBorders>
              <w:top w:val="single" w:sz="8" w:color="CFF0FC"/>
              <w:bottom w:val="single" w:sz="8" w:color="CFF0FC"/>
            </w:tcBorders>
            <w:shd w:val="clear" w:color="auto" w:fill="CFF0FC"/>
          </w:tcPr>
          <w:p>
            <w:pPr>
              <w:spacing w:after="0"/>
              <w:rPr>
                <w:sz w:val="20"/>
                <w:szCs w:val="20"/>
                <w:color w:val="auto"/>
              </w:rPr>
            </w:pPr>
          </w:p>
        </w:tc>
        <w:tc>
          <w:tcPr>
            <w:tcW w:w="80" w:type="dxa"/>
            <w:vAlign w:val="bottom"/>
            <w:tcBorders>
              <w:top w:val="single" w:sz="8" w:color="CFF0FC"/>
              <w:bottom w:val="single" w:sz="8" w:color="CFF0FC"/>
            </w:tcBorders>
            <w:shd w:val="clear" w:color="auto" w:fill="CFF0FC"/>
          </w:tcPr>
          <w:p>
            <w:pPr>
              <w:spacing w:after="0"/>
              <w:rPr>
                <w:sz w:val="20"/>
                <w:szCs w:val="20"/>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r>
      <w:tr>
        <w:trPr>
          <w:trHeight w:val="20"/>
        </w:trPr>
        <w:tc>
          <w:tcPr>
            <w:tcW w:w="58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On January 1, 2021 the Company granted a total of 107,000 stock options to members of key management with an exercise price of €7.25 per share with a final exercise date of December 31, 2030 unless forfeited or exercised on an earlier date. On February 4, 2021, a total of 873,000 stock options were granted to members of key management with an exercise price of $20 per share with a final exercise date of February 3, 2031 unless forfeited or exercised on an earlier date. 25% of the aggregate number of share options shall vest on the 12-month anniversary of the vesting commencement date, and thereafter 1/48th of the aggregate number of share options shall vest on each subsequent monthly anniversary of the vesting commencement date until either the option is fully vested or the option holders’ continuous service terminates.</w:t>
      </w:r>
    </w:p>
    <w:p>
      <w:pPr>
        <w:spacing w:after="0" w:line="178"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On February 3, 2020 132,000 stock options were granted to a member of key management with an exercise price of €2.38 per share with a final exercise date of February 2, 2030 unless forfeited or exercised on an earlier date. Each of 2020, 2021, 2022 is a performance period. The Board needs to determine the performance goals for the related performance period before September 30 of the respective year. On July 13, 2020 the performance goals for 2020 were determined and the fair value of the 44,000 stock options was reassessed for the stock options subject to the performance goals for 2020. The Board resolved to modify the terms and conditions related to the performance options effective June 25, 2021. The performance condition was released and the vesting period was changed from vesting on December 31, 2021 of the second tranche and December 31, 2022 of the third tranche to monthly vesting starting from February 3, 2020. Each month, 1/48 of the options will vest, with final vesting on February 4, 2024.</w:t>
      </w:r>
    </w:p>
    <w:p>
      <w:pPr>
        <w:spacing w:after="0" w:line="4" w:lineRule="exact"/>
        <w:rPr>
          <w:sz w:val="20"/>
          <w:szCs w:val="20"/>
          <w:color w:val="auto"/>
        </w:rPr>
      </w:pPr>
    </w:p>
    <w:p>
      <w:pPr>
        <w:spacing w:after="0"/>
        <w:rPr>
          <w:sz w:val="20"/>
          <w:szCs w:val="20"/>
          <w:color w:val="auto"/>
        </w:rPr>
      </w:pPr>
      <w:r>
        <w:rPr>
          <w:rFonts w:ascii="Arial" w:cs="Arial" w:eastAsia="Arial" w:hAnsi="Arial"/>
          <w:sz w:val="17"/>
          <w:szCs w:val="17"/>
          <w:color w:val="auto"/>
        </w:rPr>
        <w:t>Since this modification did not change Management’s best estimate of when the options will be exercised, no incremental fair value was granted.</w:t>
      </w:r>
    </w:p>
    <w:p>
      <w:pPr>
        <w:spacing w:after="0" w:line="222"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On June 25, 2021, a total of 14,000 stock options were granted to a member of key management with an exercise price of $20 per share with a final exercise date of February 3, 2031 unless forfeited or exercised on an earlier date. 25% of the aggregate number of share options shall vest on February 3, 2022 and thereafter 1/48th of the aggregate number of share options shall vest on each subsequent monthly anniversary of the vesting commencement date until either the option is fully vested or the option holders’ continuous service terminates.</w:t>
      </w:r>
    </w:p>
    <w:p>
      <w:pPr>
        <w:spacing w:after="0" w:line="171"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During the three months ended June 30, 2021 a total of 51,188 RSUs were granted to employees that joined the Group in the same period. The RSUs shall vest equally over a four-year period on each of the four anniversaries of the vesting start date until either the RSUs are fully vested or the RSUs holders’ continuous service terminates.</w:t>
      </w:r>
    </w:p>
    <w:p>
      <w:pPr>
        <w:spacing w:after="0" w:line="184"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The fair value of the RSUs is determined based on the share value per ordinary share at the grant date. The grant dates were April 1, 2021, May 1, 2021 and June 1, 2021. The share closing price was $27.95, $25.02 and $20.65 at April 1,2021, May 3, 2021 and June 1, 2021 respectively. For the May 1, 2021 grants the share price of May 3, 2021 is used, as May 1, 2021 was a not a business day.</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39" w:name="page40"/>
    <w:bookmarkEnd w:id="39"/>
    <w:p>
      <w:pPr>
        <w:ind w:right="20"/>
        <w:spacing w:after="0" w:line="277" w:lineRule="auto"/>
        <w:rPr>
          <w:sz w:val="20"/>
          <w:szCs w:val="20"/>
          <w:color w:val="auto"/>
        </w:rPr>
      </w:pPr>
      <w:r>
        <w:rPr>
          <w:rFonts w:ascii="Arial" w:cs="Arial" w:eastAsia="Arial" w:hAnsi="Arial"/>
          <w:sz w:val="18"/>
          <w:szCs w:val="18"/>
          <w:color w:val="auto"/>
        </w:rPr>
        <w:t>For the six months ended June 30, 2021, the Group recognized €3,869,347 of share-based payment expense in the unaudited condensed consolidated statement of income or loss and other comprehensive income (six month ended June 30, 2020: €660,132).</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color w:val="auto"/>
        </w:rPr>
        <w:t>As of June 30, 2021, a total number of 764.517 of the granted stock options have vested (June 30, 2020: nil), of which 337,667 stock options are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exercisable (June 30, 2020: nil)</w:t>
      </w:r>
    </w:p>
    <w:p>
      <w:pPr>
        <w:spacing w:after="0" w:line="21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inputs used in the measurement of the fair value per option at each grant/ measurement date using the Black-Scholes formula (including the related number of options and the fair value of the options) were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gridSpan w:val="2"/>
          </w:tcPr>
          <w:p>
            <w:pPr>
              <w:jc w:val="right"/>
              <w:ind w:right="740"/>
              <w:spacing w:after="0"/>
              <w:rPr>
                <w:sz w:val="20"/>
                <w:szCs w:val="20"/>
                <w:color w:val="auto"/>
              </w:rPr>
            </w:pPr>
            <w:r>
              <w:rPr>
                <w:rFonts w:ascii="Arial" w:cs="Arial" w:eastAsia="Arial" w:hAnsi="Arial"/>
                <w:sz w:val="18"/>
                <w:szCs w:val="18"/>
                <w:color w:val="auto"/>
              </w:rPr>
              <w:t>June 25,</w:t>
            </w:r>
          </w:p>
        </w:tc>
        <w:tc>
          <w:tcPr>
            <w:tcW w:w="200" w:type="dxa"/>
            <w:vAlign w:val="bottom"/>
          </w:tcPr>
          <w:p>
            <w:pPr>
              <w:spacing w:after="0"/>
              <w:rPr>
                <w:sz w:val="19"/>
                <w:szCs w:val="19"/>
                <w:color w:val="auto"/>
              </w:rPr>
            </w:pP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June 25,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gridSpan w:val="2"/>
          </w:tcPr>
          <w:p>
            <w:pPr>
              <w:jc w:val="right"/>
              <w:ind w:right="580"/>
              <w:spacing w:after="0"/>
              <w:rPr>
                <w:sz w:val="20"/>
                <w:szCs w:val="20"/>
                <w:color w:val="auto"/>
              </w:rPr>
            </w:pPr>
            <w:r>
              <w:rPr>
                <w:rFonts w:ascii="Arial" w:cs="Arial" w:eastAsia="Arial" w:hAnsi="Arial"/>
                <w:sz w:val="18"/>
                <w:szCs w:val="18"/>
                <w:color w:val="auto"/>
                <w:w w:val="97"/>
              </w:rPr>
              <w:t>February 4,</w:t>
            </w:r>
          </w:p>
        </w:tc>
        <w:tc>
          <w:tcPr>
            <w:tcW w:w="160" w:type="dxa"/>
            <w:vAlign w:val="bottom"/>
          </w:tcPr>
          <w:p>
            <w:pPr>
              <w:spacing w:after="0"/>
              <w:rPr>
                <w:sz w:val="19"/>
                <w:szCs w:val="19"/>
                <w:color w:val="auto"/>
              </w:rPr>
            </w:pPr>
          </w:p>
        </w:tc>
        <w:tc>
          <w:tcPr>
            <w:tcW w:w="1540" w:type="dxa"/>
            <w:vAlign w:val="bottom"/>
            <w:gridSpan w:val="2"/>
          </w:tcPr>
          <w:p>
            <w:pPr>
              <w:jc w:val="right"/>
              <w:ind w:right="680"/>
              <w:spacing w:after="0"/>
              <w:rPr>
                <w:sz w:val="20"/>
                <w:szCs w:val="20"/>
                <w:color w:val="auto"/>
              </w:rPr>
            </w:pPr>
            <w:r>
              <w:rPr>
                <w:rFonts w:ascii="Arial" w:cs="Arial" w:eastAsia="Arial" w:hAnsi="Arial"/>
                <w:sz w:val="18"/>
                <w:szCs w:val="18"/>
                <w:color w:val="auto"/>
                <w:w w:val="99"/>
              </w:rPr>
              <w:t>January 1,</w:t>
            </w:r>
          </w:p>
        </w:tc>
      </w:tr>
      <w:tr>
        <w:trPr>
          <w:trHeight w:val="230"/>
        </w:trPr>
        <w:tc>
          <w:tcPr>
            <w:tcW w:w="448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2021</w:t>
            </w:r>
          </w:p>
        </w:tc>
        <w:tc>
          <w:tcPr>
            <w:tcW w:w="36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2021</w:t>
            </w:r>
          </w:p>
        </w:tc>
        <w:tc>
          <w:tcPr>
            <w:tcW w:w="32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2021</w:t>
            </w:r>
          </w:p>
        </w:tc>
        <w:tc>
          <w:tcPr>
            <w:tcW w:w="360" w:type="dxa"/>
            <w:vAlign w:val="bottom"/>
            <w:tcBorders>
              <w:bottom w:val="single" w:sz="8" w:color="CFF0F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2021</w:t>
            </w:r>
          </w:p>
        </w:tc>
        <w:tc>
          <w:tcPr>
            <w:tcW w:w="440" w:type="dxa"/>
            <w:vAlign w:val="bottom"/>
            <w:tcBorders>
              <w:bottom w:val="single" w:sz="8" w:color="CFF0FC"/>
            </w:tcBorders>
          </w:tcPr>
          <w:p>
            <w:pPr>
              <w:spacing w:after="0"/>
              <w:rPr>
                <w:sz w:val="20"/>
                <w:szCs w:val="20"/>
                <w:color w:val="auto"/>
              </w:rPr>
            </w:pPr>
          </w:p>
        </w:tc>
      </w:tr>
      <w:tr>
        <w:trPr>
          <w:trHeight w:val="237"/>
        </w:trPr>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Number of options</w:t>
            </w:r>
          </w:p>
        </w:tc>
        <w:tc>
          <w:tcPr>
            <w:tcW w:w="24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14,000</w:t>
            </w:r>
          </w:p>
        </w:tc>
        <w:tc>
          <w:tcPr>
            <w:tcW w:w="3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88,000</w:t>
            </w:r>
          </w:p>
        </w:tc>
        <w:tc>
          <w:tcPr>
            <w:tcW w:w="3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873,000</w:t>
            </w:r>
          </w:p>
        </w:tc>
        <w:tc>
          <w:tcPr>
            <w:tcW w:w="3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107,000</w:t>
            </w:r>
          </w:p>
        </w:tc>
        <w:tc>
          <w:tcPr>
            <w:tcW w:w="440" w:type="dxa"/>
            <w:vAlign w:val="bottom"/>
            <w:shd w:val="clear" w:color="auto" w:fill="CFF0FC"/>
          </w:tcPr>
          <w:p>
            <w:pPr>
              <w:spacing w:after="0"/>
              <w:rPr>
                <w:sz w:val="20"/>
                <w:szCs w:val="20"/>
                <w:color w:val="auto"/>
              </w:rPr>
            </w:pPr>
          </w:p>
        </w:tc>
      </w:tr>
      <w:tr>
        <w:trPr>
          <w:trHeight w:val="243"/>
        </w:trPr>
        <w:tc>
          <w:tcPr>
            <w:tcW w:w="4480" w:type="dxa"/>
            <w:vAlign w:val="bottom"/>
          </w:tcPr>
          <w:p>
            <w:pPr>
              <w:spacing w:after="0"/>
              <w:rPr>
                <w:sz w:val="20"/>
                <w:szCs w:val="20"/>
                <w:color w:val="auto"/>
              </w:rPr>
            </w:pPr>
            <w:r>
              <w:rPr>
                <w:rFonts w:ascii="Arial" w:cs="Arial" w:eastAsia="Arial" w:hAnsi="Arial"/>
                <w:sz w:val="18"/>
                <w:szCs w:val="18"/>
                <w:color w:val="auto"/>
              </w:rPr>
              <w:t>Fair value of the options</w:t>
            </w: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10.90</w:t>
            </w:r>
          </w:p>
        </w:tc>
        <w:tc>
          <w:tcPr>
            <w:tcW w:w="360" w:type="dxa"/>
            <w:vAlign w:val="bottom"/>
          </w:tcPr>
          <w:p>
            <w:pPr>
              <w:spacing w:after="0"/>
              <w:rPr>
                <w:sz w:val="21"/>
                <w:szCs w:val="21"/>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13.73</w:t>
            </w:r>
          </w:p>
        </w:tc>
        <w:tc>
          <w:tcPr>
            <w:tcW w:w="320" w:type="dxa"/>
            <w:vAlign w:val="bottom"/>
          </w:tcPr>
          <w:p>
            <w:pPr>
              <w:spacing w:after="0"/>
              <w:rPr>
                <w:sz w:val="21"/>
                <w:szCs w:val="21"/>
                <w:color w:val="auto"/>
              </w:rPr>
            </w:pPr>
          </w:p>
        </w:tc>
        <w:tc>
          <w:tcPr>
            <w:tcW w:w="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11.88</w:t>
            </w:r>
          </w:p>
        </w:tc>
        <w:tc>
          <w:tcPr>
            <w:tcW w:w="360" w:type="dxa"/>
            <w:vAlign w:val="bottom"/>
          </w:tcPr>
          <w:p>
            <w:pPr>
              <w:spacing w:after="0"/>
              <w:rPr>
                <w:sz w:val="21"/>
                <w:szCs w:val="21"/>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6.08</w:t>
            </w:r>
          </w:p>
        </w:tc>
        <w:tc>
          <w:tcPr>
            <w:tcW w:w="440" w:type="dxa"/>
            <w:vAlign w:val="bottom"/>
          </w:tcPr>
          <w:p>
            <w:pPr>
              <w:spacing w:after="0"/>
              <w:rPr>
                <w:sz w:val="21"/>
                <w:szCs w:val="21"/>
                <w:color w:val="auto"/>
              </w:rPr>
            </w:pPr>
          </w:p>
        </w:tc>
      </w:tr>
      <w:tr>
        <w:trPr>
          <w:trHeight w:val="243"/>
        </w:trPr>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Fair value of the ordinary shares</w:t>
            </w:r>
          </w:p>
        </w:tc>
        <w:tc>
          <w:tcPr>
            <w:tcW w:w="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15.46</w:t>
            </w:r>
          </w:p>
        </w:tc>
        <w:tc>
          <w:tcPr>
            <w:tcW w:w="3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15.46</w:t>
            </w:r>
          </w:p>
        </w:tc>
        <w:tc>
          <w:tcPr>
            <w:tcW w:w="320" w:type="dxa"/>
            <w:vAlign w:val="bottom"/>
            <w:shd w:val="clear" w:color="auto" w:fill="CFF0FC"/>
          </w:tcPr>
          <w:p>
            <w:pPr>
              <w:spacing w:after="0"/>
              <w:rPr>
                <w:sz w:val="21"/>
                <w:szCs w:val="21"/>
                <w:color w:val="auto"/>
              </w:rPr>
            </w:pPr>
          </w:p>
        </w:tc>
        <w:tc>
          <w:tcPr>
            <w:tcW w:w="24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16.69</w:t>
            </w:r>
          </w:p>
        </w:tc>
        <w:tc>
          <w:tcPr>
            <w:tcW w:w="3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7.25</w:t>
            </w:r>
          </w:p>
        </w:tc>
        <w:tc>
          <w:tcPr>
            <w:tcW w:w="440" w:type="dxa"/>
            <w:vAlign w:val="bottom"/>
            <w:shd w:val="clear" w:color="auto" w:fill="CFF0FC"/>
          </w:tcPr>
          <w:p>
            <w:pPr>
              <w:spacing w:after="0"/>
              <w:rPr>
                <w:sz w:val="21"/>
                <w:szCs w:val="21"/>
                <w:color w:val="auto"/>
              </w:rPr>
            </w:pPr>
          </w:p>
        </w:tc>
      </w:tr>
      <w:tr>
        <w:trPr>
          <w:trHeight w:val="243"/>
        </w:trPr>
        <w:tc>
          <w:tcPr>
            <w:tcW w:w="4480" w:type="dxa"/>
            <w:vAlign w:val="bottom"/>
          </w:tcPr>
          <w:p>
            <w:pPr>
              <w:spacing w:after="0"/>
              <w:rPr>
                <w:sz w:val="20"/>
                <w:szCs w:val="20"/>
                <w:color w:val="auto"/>
              </w:rPr>
            </w:pPr>
            <w:r>
              <w:rPr>
                <w:rFonts w:ascii="Arial" w:cs="Arial" w:eastAsia="Arial" w:hAnsi="Arial"/>
                <w:sz w:val="18"/>
                <w:szCs w:val="18"/>
                <w:color w:val="auto"/>
              </w:rPr>
              <w:t>Exercise price</w:t>
            </w: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16.74</w:t>
            </w:r>
          </w:p>
        </w:tc>
        <w:tc>
          <w:tcPr>
            <w:tcW w:w="360" w:type="dxa"/>
            <w:vAlign w:val="bottom"/>
          </w:tcPr>
          <w:p>
            <w:pPr>
              <w:spacing w:after="0"/>
              <w:rPr>
                <w:sz w:val="21"/>
                <w:szCs w:val="21"/>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2.38</w:t>
            </w:r>
          </w:p>
        </w:tc>
        <w:tc>
          <w:tcPr>
            <w:tcW w:w="320" w:type="dxa"/>
            <w:vAlign w:val="bottom"/>
          </w:tcPr>
          <w:p>
            <w:pPr>
              <w:spacing w:after="0"/>
              <w:rPr>
                <w:sz w:val="21"/>
                <w:szCs w:val="21"/>
                <w:color w:val="auto"/>
              </w:rPr>
            </w:pPr>
          </w:p>
        </w:tc>
        <w:tc>
          <w:tcPr>
            <w:tcW w:w="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16.69</w:t>
            </w:r>
          </w:p>
        </w:tc>
        <w:tc>
          <w:tcPr>
            <w:tcW w:w="360" w:type="dxa"/>
            <w:vAlign w:val="bottom"/>
          </w:tcPr>
          <w:p>
            <w:pPr>
              <w:spacing w:after="0"/>
              <w:rPr>
                <w:sz w:val="21"/>
                <w:szCs w:val="21"/>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7.25</w:t>
            </w:r>
          </w:p>
        </w:tc>
        <w:tc>
          <w:tcPr>
            <w:tcW w:w="440" w:type="dxa"/>
            <w:vAlign w:val="bottom"/>
          </w:tcPr>
          <w:p>
            <w:pPr>
              <w:spacing w:after="0"/>
              <w:rPr>
                <w:sz w:val="21"/>
                <w:szCs w:val="21"/>
                <w:color w:val="auto"/>
              </w:rPr>
            </w:pPr>
          </w:p>
        </w:tc>
      </w:tr>
      <w:tr>
        <w:trPr>
          <w:trHeight w:val="243"/>
        </w:trPr>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Expected volatility (%)</w:t>
            </w:r>
          </w:p>
        </w:tc>
        <w:tc>
          <w:tcPr>
            <w:tcW w:w="24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85%</w:t>
            </w:r>
          </w:p>
        </w:tc>
        <w:tc>
          <w:tcPr>
            <w:tcW w:w="20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85%</w:t>
            </w:r>
          </w:p>
        </w:tc>
        <w:tc>
          <w:tcPr>
            <w:tcW w:w="160" w:type="dxa"/>
            <w:vAlign w:val="bottom"/>
            <w:shd w:val="clear" w:color="auto" w:fill="CFF0FC"/>
          </w:tcPr>
          <w:p>
            <w:pPr>
              <w:spacing w:after="0"/>
              <w:rPr>
                <w:sz w:val="21"/>
                <w:szCs w:val="21"/>
                <w:color w:val="auto"/>
              </w:rPr>
            </w:pPr>
          </w:p>
        </w:tc>
        <w:tc>
          <w:tcPr>
            <w:tcW w:w="15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85%</w:t>
            </w:r>
          </w:p>
        </w:tc>
      </w:tr>
      <w:tr>
        <w:trPr>
          <w:trHeight w:val="243"/>
        </w:trPr>
        <w:tc>
          <w:tcPr>
            <w:tcW w:w="4480" w:type="dxa"/>
            <w:vAlign w:val="bottom"/>
          </w:tcPr>
          <w:p>
            <w:pPr>
              <w:spacing w:after="0"/>
              <w:rPr>
                <w:sz w:val="20"/>
                <w:szCs w:val="20"/>
                <w:color w:val="auto"/>
              </w:rPr>
            </w:pPr>
            <w:r>
              <w:rPr>
                <w:rFonts w:ascii="Arial" w:cs="Arial" w:eastAsia="Arial" w:hAnsi="Arial"/>
                <w:sz w:val="18"/>
                <w:szCs w:val="18"/>
                <w:color w:val="auto"/>
              </w:rPr>
              <w:t>Expected life (years)</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6.1</w:t>
            </w:r>
          </w:p>
        </w:tc>
        <w:tc>
          <w:tcPr>
            <w:tcW w:w="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4.6</w:t>
            </w: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6.1</w:t>
            </w:r>
          </w:p>
        </w:tc>
        <w:tc>
          <w:tcPr>
            <w:tcW w:w="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6.0</w:t>
            </w:r>
          </w:p>
        </w:tc>
        <w:tc>
          <w:tcPr>
            <w:tcW w:w="440" w:type="dxa"/>
            <w:vAlign w:val="bottom"/>
          </w:tcPr>
          <w:p>
            <w:pPr>
              <w:spacing w:after="0"/>
              <w:rPr>
                <w:sz w:val="21"/>
                <w:szCs w:val="21"/>
                <w:color w:val="auto"/>
              </w:rPr>
            </w:pPr>
          </w:p>
        </w:tc>
      </w:tr>
      <w:tr>
        <w:trPr>
          <w:trHeight w:val="243"/>
        </w:trPr>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 (%)</w:t>
            </w:r>
          </w:p>
        </w:tc>
        <w:tc>
          <w:tcPr>
            <w:tcW w:w="24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1.2%</w:t>
            </w:r>
          </w:p>
        </w:tc>
        <w:tc>
          <w:tcPr>
            <w:tcW w:w="20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0.8%</w:t>
            </w:r>
          </w:p>
        </w:tc>
        <w:tc>
          <w:tcPr>
            <w:tcW w:w="160" w:type="dxa"/>
            <w:vAlign w:val="bottom"/>
            <w:shd w:val="clear" w:color="auto" w:fill="CFF0FC"/>
          </w:tcPr>
          <w:p>
            <w:pPr>
              <w:spacing w:after="0"/>
              <w:rPr>
                <w:sz w:val="21"/>
                <w:szCs w:val="21"/>
                <w:color w:val="auto"/>
              </w:rPr>
            </w:pPr>
          </w:p>
        </w:tc>
        <w:tc>
          <w:tcPr>
            <w:tcW w:w="15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(0.6)%</w:t>
            </w:r>
          </w:p>
        </w:tc>
      </w:tr>
      <w:tr>
        <w:trPr>
          <w:trHeight w:val="243"/>
        </w:trPr>
        <w:tc>
          <w:tcPr>
            <w:tcW w:w="448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240" w:type="dxa"/>
            <w:vAlign w:val="bottom"/>
          </w:tcPr>
          <w:p>
            <w:pPr>
              <w:spacing w:after="0"/>
              <w:rPr>
                <w:sz w:val="21"/>
                <w:szCs w:val="21"/>
                <w:color w:val="auto"/>
              </w:rPr>
            </w:pPr>
          </w:p>
        </w:tc>
        <w:tc>
          <w:tcPr>
            <w:tcW w:w="15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5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Expected volatility is based on an evaluation of the historical volatilities of comparable listed biotech-companies over the most recent historical period that commensurate with the expected option life. The expected life is based on Management’s best estimate of when the options will be exercised. The risk-free interest rate is based on the yield on German government Strip bonds or US Governments bonds depending on whether the exercise price is in euros or in US Dollars, with tenure equal to the expected life. The expected dividend yield is zero considering the stage of the Group.</w:t>
      </w:r>
    </w:p>
    <w:p>
      <w:pPr>
        <w:spacing w:after="0" w:line="147"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On February 5, 2021, the Company’s ordinary shares began trading on the Nasdaq Stock Exchange. From that date, the shares of the Company were traded at a regulated stock exchange. For the determination of the fair value on the grant date, the closing price on the grant date is used.</w:t>
      </w:r>
    </w:p>
    <w:p>
      <w:pPr>
        <w:spacing w:after="0" w:line="106"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Reference is made to Note 5 for allocation of expenses in lines of the unaudited condensed consolidated statement of income or loss and other comprehensive income.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Basic and diluted loss per share</w:t>
      </w:r>
    </w:p>
    <w:p>
      <w:pPr>
        <w:spacing w:after="0" w:line="27" w:lineRule="exact"/>
        <w:rPr>
          <w:sz w:val="20"/>
          <w:szCs w:val="20"/>
          <w:color w:val="auto"/>
        </w:rPr>
      </w:pPr>
    </w:p>
    <w:p>
      <w:pPr>
        <w:ind w:right="120"/>
        <w:spacing w:after="0" w:line="250" w:lineRule="auto"/>
        <w:rPr>
          <w:sz w:val="20"/>
          <w:szCs w:val="20"/>
          <w:color w:val="auto"/>
        </w:rPr>
      </w:pPr>
      <w:r>
        <w:rPr>
          <w:rFonts w:ascii="Arial" w:cs="Arial" w:eastAsia="Arial" w:hAnsi="Arial"/>
          <w:sz w:val="18"/>
          <w:szCs w:val="18"/>
          <w:color w:val="auto"/>
        </w:rPr>
        <w:t>Basic and diluted loss per share is calculated by dividing the loss attributable to equity holders of the Company by the weighted average number of issued and outstanding ordinary shares during the three and six months ended June 30, 2021 and June 30, 2020.</w:t>
      </w:r>
    </w:p>
    <w:p>
      <w:pPr>
        <w:spacing w:after="0" w:line="1" w:lineRule="exact"/>
        <w:rPr>
          <w:sz w:val="20"/>
          <w:szCs w:val="20"/>
          <w:color w:val="auto"/>
        </w:rPr>
      </w:pPr>
    </w:p>
    <w:p>
      <w:pPr>
        <w:ind w:right="800"/>
        <w:spacing w:after="0" w:line="250" w:lineRule="auto"/>
        <w:rPr>
          <w:sz w:val="20"/>
          <w:szCs w:val="20"/>
          <w:color w:val="auto"/>
        </w:rPr>
      </w:pPr>
      <w:r>
        <w:rPr>
          <w:rFonts w:ascii="Arial" w:cs="Arial" w:eastAsia="Arial" w:hAnsi="Arial"/>
          <w:sz w:val="18"/>
          <w:szCs w:val="18"/>
          <w:color w:val="auto"/>
        </w:rPr>
        <w:t>The Company’s potential dilutive securities have been excluded from the computation of diluted net loss per share attributable to ordinary stockholders as the effect of including them would be antidilutive.</w:t>
      </w:r>
    </w:p>
    <w:p>
      <w:pPr>
        <w:spacing w:after="0" w:line="1"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Potentially dilutive shares that were not included in the diluted per share calculations because they would be anti-dilutive were 5,242,850 Series A preferred shared and 3,003,391 Series B preferred shares as of June 30, 2020. All the preferred shares were converted to common shares on the date that the Company completed its listing at Nasdaq. All the options outstanding as of June 30, 2021 and 2020 were anti-dilutive and were not included in the diluted per share calculations.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29"/>
        </w:trPr>
        <w:tc>
          <w:tcPr>
            <w:tcW w:w="6100" w:type="dxa"/>
            <w:vAlign w:val="bottom"/>
          </w:tcPr>
          <w:p>
            <w:pPr>
              <w:spacing w:after="0"/>
              <w:rPr>
                <w:sz w:val="19"/>
                <w:szCs w:val="19"/>
                <w:color w:val="auto"/>
              </w:rPr>
            </w:pPr>
          </w:p>
        </w:tc>
        <w:tc>
          <w:tcPr>
            <w:tcW w:w="2700" w:type="dxa"/>
            <w:vAlign w:val="bottom"/>
            <w:gridSpan w:val="3"/>
          </w:tcPr>
          <w:p>
            <w:pPr>
              <w:ind w:left="20"/>
              <w:spacing w:after="0"/>
              <w:rPr>
                <w:sz w:val="20"/>
                <w:szCs w:val="20"/>
                <w:color w:val="auto"/>
              </w:rPr>
            </w:pPr>
            <w:r>
              <w:rPr>
                <w:rFonts w:ascii="Arial" w:cs="Arial" w:eastAsia="Arial" w:hAnsi="Arial"/>
                <w:sz w:val="18"/>
                <w:szCs w:val="18"/>
                <w:color w:val="auto"/>
              </w:rPr>
              <w:t>For the three months ended</w:t>
            </w:r>
          </w:p>
        </w:tc>
        <w:tc>
          <w:tcPr>
            <w:tcW w:w="2440" w:type="dxa"/>
            <w:vAlign w:val="bottom"/>
            <w:gridSpan w:val="3"/>
          </w:tcPr>
          <w:p>
            <w:pPr>
              <w:ind w:left="20"/>
              <w:spacing w:after="0"/>
              <w:rPr>
                <w:sz w:val="20"/>
                <w:szCs w:val="20"/>
                <w:color w:val="auto"/>
              </w:rPr>
            </w:pPr>
            <w:r>
              <w:rPr>
                <w:rFonts w:ascii="Arial" w:cs="Arial" w:eastAsia="Arial" w:hAnsi="Arial"/>
                <w:sz w:val="18"/>
                <w:szCs w:val="18"/>
                <w:color w:val="auto"/>
                <w:w w:val="97"/>
              </w:rPr>
              <w:t>For the six months ended June</w:t>
            </w:r>
          </w:p>
        </w:tc>
      </w:tr>
      <w:tr>
        <w:trPr>
          <w:trHeight w:val="230"/>
        </w:trPr>
        <w:tc>
          <w:tcPr>
            <w:tcW w:w="6100" w:type="dxa"/>
            <w:vAlign w:val="bottom"/>
          </w:tcPr>
          <w:p>
            <w:pPr>
              <w:spacing w:after="0"/>
              <w:rPr>
                <w:sz w:val="20"/>
                <w:szCs w:val="20"/>
                <w:color w:val="auto"/>
              </w:rPr>
            </w:pPr>
          </w:p>
        </w:tc>
        <w:tc>
          <w:tcPr>
            <w:tcW w:w="14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June 30,</w:t>
            </w:r>
          </w:p>
        </w:tc>
        <w:tc>
          <w:tcPr>
            <w:tcW w:w="100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30,</w:t>
            </w: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6100" w:type="dxa"/>
            <w:vAlign w:val="bottom"/>
          </w:tcPr>
          <w:p>
            <w:pPr>
              <w:spacing w:after="0"/>
              <w:rPr>
                <w:sz w:val="20"/>
                <w:szCs w:val="20"/>
                <w:color w:val="auto"/>
              </w:rPr>
            </w:pPr>
          </w:p>
        </w:tc>
        <w:tc>
          <w:tcPr>
            <w:tcW w:w="14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rPr>
              <w:t>2021</w:t>
            </w:r>
          </w:p>
        </w:tc>
        <w:tc>
          <w:tcPr>
            <w:tcW w:w="10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2020</w:t>
            </w:r>
          </w:p>
        </w:tc>
        <w:tc>
          <w:tcPr>
            <w:tcW w:w="240" w:type="dxa"/>
            <w:vAlign w:val="bottom"/>
          </w:tcPr>
          <w:p>
            <w:pPr>
              <w:spacing w:after="0"/>
              <w:rPr>
                <w:sz w:val="20"/>
                <w:szCs w:val="20"/>
                <w:color w:val="auto"/>
              </w:rPr>
            </w:pPr>
          </w:p>
        </w:tc>
        <w:tc>
          <w:tcPr>
            <w:tcW w:w="13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2021</w:t>
            </w:r>
          </w:p>
        </w:tc>
        <w:tc>
          <w:tcPr>
            <w:tcW w:w="9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0"/>
                <w:szCs w:val="20"/>
                <w:color w:val="auto"/>
              </w:rPr>
            </w:pPr>
          </w:p>
        </w:tc>
      </w:tr>
      <w:tr>
        <w:trPr>
          <w:trHeight w:val="237"/>
        </w:trPr>
        <w:tc>
          <w:tcPr>
            <w:tcW w:w="6100" w:type="dxa"/>
            <w:vAlign w:val="bottom"/>
          </w:tcPr>
          <w:p>
            <w:pPr>
              <w:spacing w:after="0"/>
              <w:rPr>
                <w:sz w:val="20"/>
                <w:szCs w:val="20"/>
                <w:color w:val="auto"/>
              </w:rPr>
            </w:pPr>
          </w:p>
        </w:tc>
        <w:tc>
          <w:tcPr>
            <w:tcW w:w="14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6100" w:type="dxa"/>
            <w:vAlign w:val="bottom"/>
            <w:shd w:val="clear" w:color="auto" w:fill="CFF0FC"/>
          </w:tcPr>
          <w:p>
            <w:pPr>
              <w:spacing w:after="0"/>
              <w:rPr>
                <w:sz w:val="20"/>
                <w:szCs w:val="20"/>
                <w:color w:val="auto"/>
              </w:rPr>
            </w:pPr>
            <w:r>
              <w:rPr>
                <w:rFonts w:ascii="Arial" w:cs="Arial" w:eastAsia="Arial" w:hAnsi="Arial"/>
                <w:sz w:val="18"/>
                <w:szCs w:val="18"/>
                <w:color w:val="auto"/>
              </w:rPr>
              <w:t>Loss attributable to equity holders of the Company</w:t>
            </w:r>
          </w:p>
        </w:tc>
        <w:tc>
          <w:tcPr>
            <w:tcW w:w="146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(15,202,347)</w:t>
            </w: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(5,747,411)</w:t>
            </w:r>
          </w:p>
        </w:tc>
        <w:tc>
          <w:tcPr>
            <w:tcW w:w="136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(21,243,974)</w:t>
            </w: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(9,023,946)</w:t>
            </w:r>
          </w:p>
        </w:tc>
      </w:tr>
      <w:tr>
        <w:trPr>
          <w:trHeight w:val="243"/>
        </w:trPr>
        <w:tc>
          <w:tcPr>
            <w:tcW w:w="6100" w:type="dxa"/>
            <w:vAlign w:val="bottom"/>
          </w:tcPr>
          <w:p>
            <w:pPr>
              <w:spacing w:after="0"/>
              <w:rPr>
                <w:sz w:val="20"/>
                <w:szCs w:val="20"/>
                <w:color w:val="auto"/>
              </w:rPr>
            </w:pPr>
            <w:r>
              <w:rPr>
                <w:rFonts w:ascii="Arial" w:cs="Arial" w:eastAsia="Arial" w:hAnsi="Arial"/>
                <w:sz w:val="18"/>
                <w:szCs w:val="18"/>
                <w:color w:val="auto"/>
              </w:rPr>
              <w:t>Weighted average number of ordinary shares outstanding</w:t>
            </w:r>
          </w:p>
        </w:tc>
        <w:tc>
          <w:tcPr>
            <w:tcW w:w="1460" w:type="dxa"/>
            <w:vAlign w:val="bottom"/>
          </w:tcPr>
          <w:p>
            <w:pPr>
              <w:jc w:val="right"/>
              <w:ind w:right="190"/>
              <w:spacing w:after="0"/>
              <w:rPr>
                <w:sz w:val="20"/>
                <w:szCs w:val="20"/>
                <w:color w:val="auto"/>
              </w:rPr>
            </w:pPr>
            <w:r>
              <w:rPr>
                <w:rFonts w:ascii="Arial" w:cs="Arial" w:eastAsia="Arial" w:hAnsi="Arial"/>
                <w:sz w:val="18"/>
                <w:szCs w:val="18"/>
                <w:color w:val="auto"/>
              </w:rPr>
              <w:t>16,154,350</w:t>
            </w:r>
          </w:p>
        </w:tc>
        <w:tc>
          <w:tcPr>
            <w:tcW w:w="1000" w:type="dxa"/>
            <w:vAlign w:val="bottom"/>
          </w:tcPr>
          <w:p>
            <w:pPr>
              <w:jc w:val="right"/>
              <w:spacing w:after="0"/>
              <w:rPr>
                <w:sz w:val="20"/>
                <w:szCs w:val="20"/>
                <w:color w:val="auto"/>
              </w:rPr>
            </w:pPr>
            <w:r>
              <w:rPr>
                <w:rFonts w:ascii="Arial" w:cs="Arial" w:eastAsia="Arial" w:hAnsi="Arial"/>
                <w:sz w:val="18"/>
                <w:szCs w:val="18"/>
                <w:color w:val="auto"/>
              </w:rPr>
              <w:t>4,850,000</w:t>
            </w:r>
          </w:p>
        </w:tc>
        <w:tc>
          <w:tcPr>
            <w:tcW w:w="240" w:type="dxa"/>
            <w:vAlign w:val="bottom"/>
          </w:tcPr>
          <w:p>
            <w:pPr>
              <w:spacing w:after="0"/>
              <w:rPr>
                <w:sz w:val="21"/>
                <w:szCs w:val="21"/>
                <w:color w:val="auto"/>
              </w:rPr>
            </w:pPr>
          </w:p>
        </w:tc>
        <w:tc>
          <w:tcPr>
            <w:tcW w:w="1360" w:type="dxa"/>
            <w:vAlign w:val="bottom"/>
          </w:tcPr>
          <w:p>
            <w:pPr>
              <w:jc w:val="right"/>
              <w:ind w:right="230"/>
              <w:spacing w:after="0"/>
              <w:rPr>
                <w:sz w:val="20"/>
                <w:szCs w:val="20"/>
                <w:color w:val="auto"/>
              </w:rPr>
            </w:pPr>
            <w:r>
              <w:rPr>
                <w:rFonts w:ascii="Arial" w:cs="Arial" w:eastAsia="Arial" w:hAnsi="Arial"/>
                <w:sz w:val="18"/>
                <w:szCs w:val="18"/>
                <w:color w:val="auto"/>
              </w:rPr>
              <w:t>16,154,350</w:t>
            </w:r>
          </w:p>
        </w:tc>
        <w:tc>
          <w:tcPr>
            <w:tcW w:w="980" w:type="dxa"/>
            <w:vAlign w:val="bottom"/>
          </w:tcPr>
          <w:p>
            <w:pPr>
              <w:jc w:val="right"/>
              <w:spacing w:after="0"/>
              <w:rPr>
                <w:sz w:val="20"/>
                <w:szCs w:val="20"/>
                <w:color w:val="auto"/>
              </w:rPr>
            </w:pPr>
            <w:r>
              <w:rPr>
                <w:rFonts w:ascii="Arial" w:cs="Arial" w:eastAsia="Arial" w:hAnsi="Arial"/>
                <w:sz w:val="18"/>
                <w:szCs w:val="18"/>
                <w:color w:val="auto"/>
              </w:rPr>
              <w:t>4,850,000</w:t>
            </w:r>
          </w:p>
        </w:tc>
        <w:tc>
          <w:tcPr>
            <w:tcW w:w="100" w:type="dxa"/>
            <w:vAlign w:val="bottom"/>
          </w:tcPr>
          <w:p>
            <w:pPr>
              <w:spacing w:after="0"/>
              <w:rPr>
                <w:sz w:val="21"/>
                <w:szCs w:val="21"/>
                <w:color w:val="auto"/>
              </w:rPr>
            </w:pPr>
          </w:p>
        </w:tc>
      </w:tr>
      <w:tr>
        <w:trPr>
          <w:trHeight w:val="243"/>
        </w:trPr>
        <w:tc>
          <w:tcPr>
            <w:tcW w:w="6100" w:type="dxa"/>
            <w:vAlign w:val="bottom"/>
            <w:shd w:val="clear" w:color="auto" w:fill="CFF0FC"/>
          </w:tcPr>
          <w:p>
            <w:pPr>
              <w:spacing w:after="0"/>
              <w:rPr>
                <w:sz w:val="20"/>
                <w:szCs w:val="20"/>
                <w:color w:val="auto"/>
              </w:rPr>
            </w:pPr>
            <w:r>
              <w:rPr>
                <w:rFonts w:ascii="Arial" w:cs="Arial" w:eastAsia="Arial" w:hAnsi="Arial"/>
                <w:sz w:val="18"/>
                <w:szCs w:val="18"/>
                <w:color w:val="auto"/>
              </w:rPr>
              <w:t>Basic and diluted loss per share</w:t>
            </w:r>
          </w:p>
        </w:tc>
        <w:tc>
          <w:tcPr>
            <w:tcW w:w="146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(0.94)</w:t>
            </w: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(1.19)</w:t>
            </w:r>
          </w:p>
        </w:tc>
        <w:tc>
          <w:tcPr>
            <w:tcW w:w="136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(1.32)</w:t>
            </w: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(1.86)</w:t>
            </w:r>
          </w:p>
        </w:tc>
      </w:tr>
    </w:tbl>
    <w:p>
      <w:pPr>
        <w:spacing w:after="0" w:line="346" w:lineRule="exact"/>
        <w:rPr>
          <w:sz w:val="20"/>
          <w:szCs w:val="20"/>
          <w:color w:val="auto"/>
        </w:rPr>
      </w:pPr>
    </w:p>
    <w:p>
      <w:pPr>
        <w:ind w:right="8300" w:firstLine="8"/>
        <w:spacing w:after="0" w:line="282" w:lineRule="auto"/>
        <w:tabs>
          <w:tab w:leader="none" w:pos="284"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b w:val="1"/>
          <w:bCs w:val="1"/>
          <w:i w:val="1"/>
          <w:iCs w:val="1"/>
          <w:color w:val="auto"/>
        </w:rPr>
        <w:t>Claims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There are no material claims known to management related to the activities of the Group.</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w:t>
      </w:r>
    </w:p>
    <w:p>
      <w:pPr>
        <w:spacing w:after="0" w:line="181" w:lineRule="exact"/>
        <w:rPr>
          <w:sz w:val="20"/>
          <w:szCs w:val="20"/>
          <w:color w:val="auto"/>
        </w:rPr>
      </w:pPr>
    </w:p>
    <w:p>
      <w:pPr>
        <w:ind w:right="380" w:firstLine="319"/>
        <w:spacing w:after="0" w:line="295" w:lineRule="auto"/>
        <w:rPr>
          <w:sz w:val="20"/>
          <w:szCs w:val="20"/>
          <w:color w:val="auto"/>
        </w:rPr>
      </w:pPr>
      <w:r>
        <w:rPr>
          <w:rFonts w:ascii="Arial" w:cs="Arial" w:eastAsia="Arial" w:hAnsi="Arial"/>
          <w:sz w:val="17"/>
          <w:szCs w:val="17"/>
          <w:color w:val="auto"/>
        </w:rPr>
        <w:t>The Group’s contractual obligations and commitments as of June 30, 2021 amounted to €15,379,000, (December 31, 2020: €11,351,000) primarily related to research and development commitments. All of which are due within 3 years.</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Group had no contingent liabilities and no contingent assets as at June 30, 2021 and at June 30, 2020, respectively.</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Related parties</w:t>
      </w:r>
    </w:p>
    <w:p>
      <w:pPr>
        <w:spacing w:after="0" w:line="27" w:lineRule="exact"/>
        <w:rPr>
          <w:sz w:val="20"/>
          <w:szCs w:val="20"/>
          <w:color w:val="auto"/>
        </w:rPr>
      </w:pPr>
    </w:p>
    <w:p>
      <w:pPr>
        <w:ind w:right="260"/>
        <w:spacing w:after="0" w:line="260" w:lineRule="auto"/>
        <w:rPr>
          <w:sz w:val="20"/>
          <w:szCs w:val="20"/>
          <w:color w:val="auto"/>
        </w:rPr>
      </w:pPr>
      <w:r>
        <w:rPr>
          <w:rFonts w:ascii="Arial" w:cs="Arial" w:eastAsia="Arial" w:hAnsi="Arial"/>
          <w:sz w:val="18"/>
          <w:szCs w:val="18"/>
          <w:color w:val="auto"/>
        </w:rPr>
        <w:t>Note 1.2 provides information about the Group’s structure, including details of the subsidiaries and the holding company. The following provides the total amount of transactions that have been entered into with related parties for the relevant financial period.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Charité Research Organisation GmbH (Charité CRO)</w:t>
      </w:r>
    </w:p>
    <w:p>
      <w:pPr>
        <w:spacing w:after="0" w:line="27"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color w:val="auto"/>
        </w:rPr>
        <w:t>Dr Knolle, who has served as Chief Scientific Officer and Chief Operating Officer since its inception, is a member of the board of Charité CRO. The Group has entered into a service contract with Charité CRO according to which Charité CRO provides services supporting research for the Group. The aggregate transaction value of the transactions with Charité CRO during the six months ended June 30, 2021 and 2020 were €608 and €500,660, respectively. The outstanding balances with Charité CRO amounts to €nil and €3,692 on June 30, 2021 and December 31, 2020, respectively.</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management personnel compensation</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29"/>
        </w:trPr>
        <w:tc>
          <w:tcPr>
            <w:tcW w:w="4100" w:type="dxa"/>
            <w:vAlign w:val="bottom"/>
          </w:tcPr>
          <w:p>
            <w:pPr>
              <w:spacing w:after="0"/>
              <w:rPr>
                <w:sz w:val="19"/>
                <w:szCs w:val="19"/>
                <w:color w:val="auto"/>
              </w:rPr>
            </w:pPr>
          </w:p>
        </w:tc>
        <w:tc>
          <w:tcPr>
            <w:tcW w:w="4500" w:type="dxa"/>
            <w:vAlign w:val="bottom"/>
            <w:gridSpan w:val="4"/>
          </w:tcPr>
          <w:p>
            <w:pPr>
              <w:ind w:left="1860"/>
              <w:spacing w:after="0"/>
              <w:rPr>
                <w:sz w:val="20"/>
                <w:szCs w:val="20"/>
                <w:color w:val="auto"/>
              </w:rPr>
            </w:pPr>
            <w:r>
              <w:rPr>
                <w:rFonts w:ascii="Arial" w:cs="Arial" w:eastAsia="Arial" w:hAnsi="Arial"/>
                <w:sz w:val="18"/>
                <w:szCs w:val="18"/>
                <w:color w:val="auto"/>
                <w:w w:val="98"/>
              </w:rPr>
              <w:t>For the three months ended June</w:t>
            </w:r>
          </w:p>
        </w:tc>
        <w:tc>
          <w:tcPr>
            <w:tcW w:w="2640" w:type="dxa"/>
            <w:vAlign w:val="bottom"/>
            <w:gridSpan w:val="5"/>
          </w:tcPr>
          <w:p>
            <w:pPr>
              <w:ind w:left="120"/>
              <w:spacing w:after="0"/>
              <w:rPr>
                <w:sz w:val="20"/>
                <w:szCs w:val="20"/>
                <w:color w:val="auto"/>
              </w:rPr>
            </w:pPr>
            <w:r>
              <w:rPr>
                <w:rFonts w:ascii="Arial" w:cs="Arial" w:eastAsia="Arial" w:hAnsi="Arial"/>
                <w:sz w:val="18"/>
                <w:szCs w:val="18"/>
                <w:color w:val="auto"/>
              </w:rPr>
              <w:t>For the six months ended June</w:t>
            </w:r>
          </w:p>
        </w:tc>
      </w:tr>
      <w:tr>
        <w:trPr>
          <w:trHeight w:val="230"/>
        </w:trPr>
        <w:tc>
          <w:tcPr>
            <w:tcW w:w="41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30,</w:t>
            </w: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color w:val="auto"/>
              </w:rPr>
              <w:t>30,</w:t>
            </w:r>
          </w:p>
        </w:tc>
        <w:tc>
          <w:tcPr>
            <w:tcW w:w="1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6"/>
        </w:trPr>
        <w:tc>
          <w:tcPr>
            <w:tcW w:w="4100" w:type="dxa"/>
            <w:vAlign w:val="bottom"/>
            <w:tcBorders>
              <w:bottom w:val="single" w:sz="8" w:color="CFF0FC"/>
            </w:tcBorders>
          </w:tcPr>
          <w:p>
            <w:pPr>
              <w:spacing w:after="0"/>
              <w:rPr>
                <w:sz w:val="20"/>
                <w:szCs w:val="20"/>
                <w:color w:val="auto"/>
              </w:rPr>
            </w:pPr>
          </w:p>
        </w:tc>
        <w:tc>
          <w:tcPr>
            <w:tcW w:w="1860" w:type="dxa"/>
            <w:vAlign w:val="bottom"/>
            <w:tcBorders>
              <w:bottom w:val="single" w:sz="8" w:color="CFF0FC"/>
            </w:tcBorders>
          </w:tcPr>
          <w:p>
            <w:pPr>
              <w:spacing w:after="0"/>
              <w:rPr>
                <w:sz w:val="20"/>
                <w:szCs w:val="20"/>
                <w:color w:val="auto"/>
              </w:rPr>
            </w:pPr>
          </w:p>
        </w:tc>
        <w:tc>
          <w:tcPr>
            <w:tcW w:w="11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2021</w:t>
            </w:r>
          </w:p>
        </w:tc>
        <w:tc>
          <w:tcPr>
            <w:tcW w:w="200" w:type="dxa"/>
            <w:vAlign w:val="bottom"/>
            <w:tcBorders>
              <w:bottom w:val="single" w:sz="8" w:color="CFF0FC"/>
            </w:tcBorders>
          </w:tcPr>
          <w:p>
            <w:pPr>
              <w:spacing w:after="0"/>
              <w:rPr>
                <w:sz w:val="20"/>
                <w:szCs w:val="20"/>
                <w:color w:val="auto"/>
              </w:rPr>
            </w:pPr>
          </w:p>
        </w:tc>
        <w:tc>
          <w:tcPr>
            <w:tcW w:w="12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2020</w:t>
            </w:r>
          </w:p>
        </w:tc>
        <w:tc>
          <w:tcPr>
            <w:tcW w:w="120" w:type="dxa"/>
            <w:vAlign w:val="bottom"/>
            <w:tcBorders>
              <w:bottom w:val="single" w:sz="8" w:color="CFF0FC"/>
            </w:tcBorders>
          </w:tcPr>
          <w:p>
            <w:pPr>
              <w:spacing w:after="0"/>
              <w:rPr>
                <w:sz w:val="20"/>
                <w:szCs w:val="20"/>
                <w:color w:val="auto"/>
              </w:rPr>
            </w:pPr>
          </w:p>
        </w:tc>
        <w:tc>
          <w:tcPr>
            <w:tcW w:w="11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2021</w:t>
            </w:r>
          </w:p>
        </w:tc>
        <w:tc>
          <w:tcPr>
            <w:tcW w:w="140" w:type="dxa"/>
            <w:vAlign w:val="bottom"/>
            <w:tcBorders>
              <w:bottom w:val="single" w:sz="8" w:color="CFF0FC"/>
            </w:tcBorders>
          </w:tcPr>
          <w:p>
            <w:pPr>
              <w:spacing w:after="0"/>
              <w:rPr>
                <w:sz w:val="20"/>
                <w:szCs w:val="20"/>
                <w:color w:val="auto"/>
              </w:rPr>
            </w:pPr>
          </w:p>
        </w:tc>
        <w:tc>
          <w:tcPr>
            <w:tcW w:w="11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FF0FC"/>
            </w:tcBorders>
          </w:tcPr>
          <w:p>
            <w:pPr>
              <w:spacing w:after="0"/>
              <w:rPr>
                <w:sz w:val="20"/>
                <w:szCs w:val="20"/>
                <w:color w:val="auto"/>
              </w:rPr>
            </w:pPr>
          </w:p>
        </w:tc>
      </w:tr>
      <w:tr>
        <w:trPr>
          <w:trHeight w:val="237"/>
        </w:trPr>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Short term employee benefits</w:t>
            </w:r>
          </w:p>
        </w:tc>
        <w:tc>
          <w:tcPr>
            <w:tcW w:w="3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894,878</w:t>
            </w:r>
          </w:p>
        </w:tc>
        <w:tc>
          <w:tcPr>
            <w:tcW w:w="200" w:type="dxa"/>
            <w:vAlign w:val="bottom"/>
            <w:shd w:val="clear" w:color="auto" w:fill="CFF0FC"/>
          </w:tcPr>
          <w:p>
            <w:pPr>
              <w:spacing w:after="0"/>
              <w:rPr>
                <w:sz w:val="20"/>
                <w:szCs w:val="20"/>
                <w:color w:val="auto"/>
              </w:rPr>
            </w:pPr>
          </w:p>
        </w:tc>
        <w:tc>
          <w:tcPr>
            <w:tcW w:w="12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378,285</w:t>
            </w:r>
          </w:p>
        </w:tc>
        <w:tc>
          <w:tcPr>
            <w:tcW w:w="122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1,436,106</w:t>
            </w:r>
          </w:p>
        </w:tc>
        <w:tc>
          <w:tcPr>
            <w:tcW w:w="14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803,367</w:t>
            </w:r>
          </w:p>
        </w:tc>
        <w:tc>
          <w:tcPr>
            <w:tcW w:w="100" w:type="dxa"/>
            <w:vAlign w:val="bottom"/>
            <w:shd w:val="clear" w:color="auto" w:fill="CFF0FC"/>
          </w:tcPr>
          <w:p>
            <w:pPr>
              <w:spacing w:after="0"/>
              <w:rPr>
                <w:sz w:val="20"/>
                <w:szCs w:val="20"/>
                <w:color w:val="auto"/>
              </w:rPr>
            </w:pPr>
          </w:p>
        </w:tc>
      </w:tr>
      <w:tr>
        <w:trPr>
          <w:trHeight w:val="243"/>
        </w:trPr>
        <w:tc>
          <w:tcPr>
            <w:tcW w:w="4100" w:type="dxa"/>
            <w:vAlign w:val="bottom"/>
          </w:tcPr>
          <w:p>
            <w:pPr>
              <w:spacing w:after="0"/>
              <w:rPr>
                <w:sz w:val="20"/>
                <w:szCs w:val="20"/>
                <w:color w:val="auto"/>
              </w:rPr>
            </w:pPr>
            <w:r>
              <w:rPr>
                <w:rFonts w:ascii="Arial" w:cs="Arial" w:eastAsia="Arial" w:hAnsi="Arial"/>
                <w:sz w:val="18"/>
                <w:szCs w:val="18"/>
                <w:color w:val="auto"/>
              </w:rPr>
              <w:t>Post employee benefits</w:t>
            </w:r>
          </w:p>
        </w:tc>
        <w:tc>
          <w:tcPr>
            <w:tcW w:w="3020" w:type="dxa"/>
            <w:vAlign w:val="bottom"/>
            <w:gridSpan w:val="2"/>
          </w:tcPr>
          <w:p>
            <w:pPr>
              <w:jc w:val="right"/>
              <w:spacing w:after="0"/>
              <w:rPr>
                <w:sz w:val="20"/>
                <w:szCs w:val="20"/>
                <w:color w:val="auto"/>
              </w:rPr>
            </w:pPr>
            <w:r>
              <w:rPr>
                <w:rFonts w:ascii="Arial" w:cs="Arial" w:eastAsia="Arial" w:hAnsi="Arial"/>
                <w:sz w:val="18"/>
                <w:szCs w:val="18"/>
                <w:color w:val="auto"/>
              </w:rPr>
              <w:t>6,622</w:t>
            </w:r>
          </w:p>
        </w:tc>
        <w:tc>
          <w:tcPr>
            <w:tcW w:w="20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13,715</w:t>
            </w:r>
          </w:p>
        </w:tc>
        <w:tc>
          <w:tcPr>
            <w:tcW w:w="1220" w:type="dxa"/>
            <w:vAlign w:val="bottom"/>
            <w:gridSpan w:val="2"/>
          </w:tcPr>
          <w:p>
            <w:pPr>
              <w:jc w:val="right"/>
              <w:ind w:right="30"/>
              <w:spacing w:after="0"/>
              <w:rPr>
                <w:sz w:val="20"/>
                <w:szCs w:val="20"/>
                <w:color w:val="auto"/>
              </w:rPr>
            </w:pPr>
            <w:r>
              <w:rPr>
                <w:rFonts w:ascii="Arial" w:cs="Arial" w:eastAsia="Arial" w:hAnsi="Arial"/>
                <w:sz w:val="18"/>
                <w:szCs w:val="18"/>
                <w:color w:val="auto"/>
              </w:rPr>
              <w:t>22,099</w:t>
            </w:r>
          </w:p>
        </w:tc>
        <w:tc>
          <w:tcPr>
            <w:tcW w:w="1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13,715</w:t>
            </w:r>
          </w:p>
        </w:tc>
        <w:tc>
          <w:tcPr>
            <w:tcW w:w="100" w:type="dxa"/>
            <w:vAlign w:val="bottom"/>
          </w:tcPr>
          <w:p>
            <w:pPr>
              <w:spacing w:after="0"/>
              <w:rPr>
                <w:sz w:val="21"/>
                <w:szCs w:val="21"/>
                <w:color w:val="auto"/>
              </w:rPr>
            </w:pPr>
          </w:p>
        </w:tc>
      </w:tr>
      <w:tr>
        <w:trPr>
          <w:trHeight w:val="243"/>
        </w:trPr>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Share-based payments</w:t>
            </w:r>
          </w:p>
        </w:tc>
        <w:tc>
          <w:tcPr>
            <w:tcW w:w="1860" w:type="dxa"/>
            <w:vAlign w:val="bottom"/>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825,074</w:t>
            </w:r>
          </w:p>
        </w:tc>
        <w:tc>
          <w:tcPr>
            <w:tcW w:w="200" w:type="dxa"/>
            <w:vAlign w:val="bottom"/>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226,910</w:t>
            </w:r>
          </w:p>
        </w:tc>
        <w:tc>
          <w:tcPr>
            <w:tcW w:w="120" w:type="dxa"/>
            <w:vAlign w:val="bottom"/>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2,122,736</w:t>
            </w:r>
          </w:p>
        </w:tc>
        <w:tc>
          <w:tcPr>
            <w:tcW w:w="140" w:type="dxa"/>
            <w:vAlign w:val="bottom"/>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358,205</w:t>
            </w:r>
          </w:p>
        </w:tc>
        <w:tc>
          <w:tcPr>
            <w:tcW w:w="100" w:type="dxa"/>
            <w:vAlign w:val="bottom"/>
            <w:shd w:val="clear" w:color="auto" w:fill="CFF0FC"/>
          </w:tcPr>
          <w:p>
            <w:pPr>
              <w:spacing w:after="0"/>
              <w:rPr>
                <w:sz w:val="21"/>
                <w:szCs w:val="21"/>
                <w:color w:val="auto"/>
              </w:rPr>
            </w:pPr>
          </w:p>
        </w:tc>
      </w:tr>
      <w:tr>
        <w:trPr>
          <w:trHeight w:val="237"/>
        </w:trPr>
        <w:tc>
          <w:tcPr>
            <w:tcW w:w="4100" w:type="dxa"/>
            <w:vAlign w:val="bottom"/>
          </w:tcPr>
          <w:p>
            <w:pPr>
              <w:spacing w:after="0"/>
              <w:rPr>
                <w:sz w:val="20"/>
                <w:szCs w:val="20"/>
                <w:color w:val="auto"/>
              </w:rPr>
            </w:pPr>
            <w:r>
              <w:rPr>
                <w:rFonts w:ascii="Arial" w:cs="Arial" w:eastAsia="Arial" w:hAnsi="Arial"/>
                <w:sz w:val="18"/>
                <w:szCs w:val="18"/>
                <w:color w:val="auto"/>
              </w:rPr>
              <w:t>Total</w:t>
            </w:r>
          </w:p>
        </w:tc>
        <w:tc>
          <w:tcPr>
            <w:tcW w:w="3020" w:type="dxa"/>
            <w:vAlign w:val="bottom"/>
            <w:gridSpan w:val="2"/>
          </w:tcPr>
          <w:p>
            <w:pPr>
              <w:jc w:val="right"/>
              <w:spacing w:after="0"/>
              <w:rPr>
                <w:sz w:val="20"/>
                <w:szCs w:val="20"/>
                <w:color w:val="auto"/>
              </w:rPr>
            </w:pPr>
            <w:r>
              <w:rPr>
                <w:rFonts w:ascii="Arial" w:cs="Arial" w:eastAsia="Arial" w:hAnsi="Arial"/>
                <w:sz w:val="18"/>
                <w:szCs w:val="18"/>
                <w:color w:val="auto"/>
              </w:rPr>
              <w:t>1,726,574</w:t>
            </w:r>
          </w:p>
        </w:tc>
        <w:tc>
          <w:tcPr>
            <w:tcW w:w="200" w:type="dxa"/>
            <w:vAlign w:val="bottom"/>
          </w:tcPr>
          <w:p>
            <w:pPr>
              <w:spacing w:after="0"/>
              <w:rPr>
                <w:sz w:val="20"/>
                <w:szCs w:val="20"/>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618,910</w:t>
            </w:r>
          </w:p>
        </w:tc>
        <w:tc>
          <w:tcPr>
            <w:tcW w:w="1220" w:type="dxa"/>
            <w:vAlign w:val="bottom"/>
            <w:gridSpan w:val="2"/>
          </w:tcPr>
          <w:p>
            <w:pPr>
              <w:jc w:val="right"/>
              <w:ind w:right="30"/>
              <w:spacing w:after="0"/>
              <w:rPr>
                <w:sz w:val="20"/>
                <w:szCs w:val="20"/>
                <w:color w:val="auto"/>
              </w:rPr>
            </w:pPr>
            <w:r>
              <w:rPr>
                <w:rFonts w:ascii="Arial" w:cs="Arial" w:eastAsia="Arial" w:hAnsi="Arial"/>
                <w:sz w:val="18"/>
                <w:szCs w:val="18"/>
                <w:color w:val="auto"/>
              </w:rPr>
              <w:t>3,580,941</w:t>
            </w:r>
          </w:p>
        </w:tc>
        <w:tc>
          <w:tcPr>
            <w:tcW w:w="1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1,175,287</w:t>
            </w:r>
          </w:p>
        </w:tc>
        <w:tc>
          <w:tcPr>
            <w:tcW w:w="100" w:type="dxa"/>
            <w:vAlign w:val="bottom"/>
          </w:tcPr>
          <w:p>
            <w:pPr>
              <w:spacing w:after="0"/>
              <w:rPr>
                <w:sz w:val="20"/>
                <w:szCs w:val="20"/>
                <w:color w:val="auto"/>
              </w:rPr>
            </w:pPr>
          </w:p>
        </w:tc>
      </w:tr>
      <w:tr>
        <w:trPr>
          <w:trHeight w:val="20"/>
        </w:trPr>
        <w:tc>
          <w:tcPr>
            <w:tcW w:w="41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An amount of € 328,000 of the short-term employee benefits is capitalized in the unaudited condensed consolidated statements of financial position as at June 30, 2020 and is recognized in the Group’s statements of profit or loss and other comprehensive income in the period between July 2020 and June 2021.</w:t>
      </w:r>
    </w:p>
    <w:p>
      <w:pPr>
        <w:spacing w:after="0" w:line="14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 total of 994,000 stock options are granted to key management during the six months ended June 30, 2021. Refer to note 18 for disclosures on the share-based payments.</w:t>
      </w:r>
    </w:p>
    <w:p>
      <w:pPr>
        <w:spacing w:after="0" w:line="143"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The Group engages several management entities for the purpose of providing key management services to the Group. The aggregate value of transactions related to key management personnel, or entities which they control were €1,738,383 and €929,904 in the six months ended June 30, 2021 and 2020, respectively and €974,125 and €472,870 in the three months ended June 30, 2021 and 2020 respectively.</w:t>
      </w:r>
    </w:p>
    <w:p>
      <w:pPr>
        <w:spacing w:after="0" w:line="1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outstanding balances payable to key management personnel, or entities which they control, as per June 30, 2021 and December 31, 2020 were €362,489 and €57,920, respectively.</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 Events after the reporting period</w:t>
      </w:r>
    </w:p>
    <w:p>
      <w:pPr>
        <w:spacing w:after="0" w:line="27" w:lineRule="exact"/>
        <w:rPr>
          <w:sz w:val="20"/>
          <w:szCs w:val="20"/>
          <w:color w:val="auto"/>
        </w:rPr>
      </w:pPr>
    </w:p>
    <w:p>
      <w:pPr>
        <w:ind w:right="340"/>
        <w:spacing w:after="0" w:line="260" w:lineRule="auto"/>
        <w:rPr>
          <w:sz w:val="20"/>
          <w:szCs w:val="20"/>
          <w:color w:val="auto"/>
        </w:rPr>
      </w:pPr>
      <w:r>
        <w:rPr>
          <w:rFonts w:ascii="Arial" w:cs="Arial" w:eastAsia="Arial" w:hAnsi="Arial"/>
          <w:sz w:val="18"/>
          <w:szCs w:val="18"/>
          <w:color w:val="auto"/>
        </w:rPr>
        <w:t>The Company has evaluated subsequent events through July 30, 2021, which is the date the condensed consolidated interim financial statements were authorized for issuance, and did not identify any significant event after reporting period that needs to be disclosed.</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42" w:name="page43"/>
    <w:bookmarkEnd w:id="42"/>
    <w:p>
      <w:pPr>
        <w:ind w:right="3639"/>
        <w:spacing w:after="0" w:line="470" w:lineRule="auto"/>
        <w:rPr>
          <w:sz w:val="20"/>
          <w:szCs w:val="20"/>
          <w:color w:val="auto"/>
        </w:rPr>
      </w:pPr>
      <w:r>
        <w:rPr>
          <w:rFonts w:ascii="Arial" w:cs="Arial" w:eastAsia="Arial" w:hAnsi="Arial"/>
          <w:sz w:val="18"/>
          <w:szCs w:val="18"/>
          <w:b w:val="1"/>
          <w:bCs w:val="1"/>
          <w:color w:val="auto"/>
        </w:rPr>
        <w:t xml:space="preserve">Signatories to the unaudited condensed consolidated interim financial statements </w:t>
      </w:r>
      <w:r>
        <w:rPr>
          <w:rFonts w:ascii="Arial" w:cs="Arial" w:eastAsia="Arial" w:hAnsi="Arial"/>
          <w:sz w:val="18"/>
          <w:szCs w:val="18"/>
          <w:color w:val="auto"/>
        </w:rPr>
        <w:t>Leiden, July 30, 2021</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Pharvaris N.V.</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tabs>
          <w:tab w:leader="none" w:pos="4020" w:val="left"/>
        </w:tabs>
        <w:rPr>
          <w:sz w:val="20"/>
          <w:szCs w:val="20"/>
          <w:color w:val="auto"/>
        </w:rPr>
      </w:pPr>
      <w:r>
        <w:rPr>
          <w:rFonts w:ascii="Arial" w:cs="Arial" w:eastAsia="Arial" w:hAnsi="Arial"/>
          <w:sz w:val="18"/>
          <w:szCs w:val="18"/>
          <w:color w:val="auto"/>
        </w:rPr>
        <w:t>B.A.E. Modig</w:t>
      </w:r>
      <w:r>
        <w:rPr>
          <w:sz w:val="20"/>
          <w:szCs w:val="20"/>
          <w:color w:val="auto"/>
        </w:rPr>
        <w:tab/>
      </w:r>
      <w:r>
        <w:rPr>
          <w:rFonts w:ascii="Arial" w:cs="Arial" w:eastAsia="Arial" w:hAnsi="Arial"/>
          <w:sz w:val="18"/>
          <w:szCs w:val="18"/>
          <w:color w:val="auto"/>
        </w:rPr>
        <w:t>M. Kleijwegt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tabs>
          <w:tab w:leader="none" w:pos="4020" w:val="left"/>
        </w:tabs>
        <w:rPr>
          <w:sz w:val="20"/>
          <w:szCs w:val="20"/>
          <w:color w:val="auto"/>
        </w:rPr>
      </w:pPr>
      <w:r>
        <w:rPr>
          <w:rFonts w:ascii="Arial" w:cs="Arial" w:eastAsia="Arial" w:hAnsi="Arial"/>
          <w:sz w:val="18"/>
          <w:szCs w:val="18"/>
          <w:color w:val="auto"/>
        </w:rPr>
        <w:t>R.P.L. Droller</w:t>
      </w:r>
      <w:r>
        <w:rPr>
          <w:sz w:val="20"/>
          <w:szCs w:val="20"/>
          <w:color w:val="auto"/>
        </w:rPr>
        <w:tab/>
      </w:r>
      <w:r>
        <w:rPr>
          <w:rFonts w:ascii="Arial" w:cs="Arial" w:eastAsia="Arial" w:hAnsi="Arial"/>
          <w:sz w:val="16"/>
          <w:szCs w:val="16"/>
          <w:color w:val="auto"/>
        </w:rPr>
        <w:t>R.H. Glassman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tabs>
          <w:tab w:leader="none" w:pos="4020" w:val="left"/>
        </w:tabs>
        <w:rPr>
          <w:sz w:val="20"/>
          <w:szCs w:val="20"/>
          <w:color w:val="auto"/>
        </w:rPr>
      </w:pPr>
      <w:r>
        <w:rPr>
          <w:rFonts w:ascii="Arial" w:cs="Arial" w:eastAsia="Arial" w:hAnsi="Arial"/>
          <w:sz w:val="18"/>
          <w:szCs w:val="18"/>
          <w:color w:val="auto"/>
        </w:rPr>
        <w:t>D.P. Meeker</w:t>
      </w:r>
      <w:r>
        <w:rPr>
          <w:sz w:val="20"/>
          <w:szCs w:val="20"/>
          <w:color w:val="auto"/>
        </w:rPr>
        <w:tab/>
      </w:r>
      <w:r>
        <w:rPr>
          <w:rFonts w:ascii="Arial" w:cs="Arial" w:eastAsia="Arial" w:hAnsi="Arial"/>
          <w:sz w:val="16"/>
          <w:szCs w:val="16"/>
          <w:color w:val="auto"/>
        </w:rPr>
        <w:t>J.G.C.P. Schikan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V. Monges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22</w:t>
      </w:r>
    </w:p>
    <w:sectPr>
      <w:pgSz w:w="11900" w:h="16838" w:orient="portrait"/>
      <w:cols w:equalWidth="0" w:num="1">
        <w:col w:w="10139"/>
      </w:cols>
      <w:pgMar w:left="320" w:top="68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amp;"/>
      <w:numFmt w:val="bullet"/>
      <w:start w:val="1"/>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
      <w:numFmt w:val="bullet"/>
      <w:start w:val="1"/>
    </w:lvl>
  </w:abstractNum>
  <w:abstractNum w:abstractNumId="4">
    <w:nsid w:val="216231B"/>
    <w:multiLevelType w:val="hybridMultilevel"/>
    <w:lvl w:ilvl="0">
      <w:lvlJc w:val="left"/>
      <w:lvlText w:val="•"/>
      <w:numFmt w:val="bullet"/>
      <w:start w:val="1"/>
    </w:lvl>
  </w:abstractNum>
  <w:abstractNum w:abstractNumId="5">
    <w:nsid w:val="1F16E9E8"/>
    <w:multiLevelType w:val="hybridMultilevel"/>
    <w:lvl w:ilvl="0">
      <w:lvlJc w:val="left"/>
      <w:lvlText w:val="•"/>
      <w:numFmt w:val="bullet"/>
      <w:start w:val="1"/>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
      <w:numFmt w:val="bullet"/>
      <w:start w:val="1"/>
    </w:lvl>
  </w:abstractNum>
  <w:abstractNum w:abstractNumId="10">
    <w:nsid w:val="109CF92E"/>
    <w:multiLevelType w:val="hybridMultilevel"/>
    <w:lvl w:ilvl="0">
      <w:lvlJc w:val="left"/>
      <w:lvlText w:val="•"/>
      <w:numFmt w:val="bullet"/>
      <w:start w:val="1"/>
    </w:lvl>
  </w:abstractNum>
  <w:abstractNum w:abstractNumId="11">
    <w:nsid w:val="DED7263"/>
    <w:multiLevelType w:val="hybridMultilevel"/>
    <w:lvl w:ilvl="0">
      <w:lvlJc w:val="left"/>
      <w:lvlText w:val="•"/>
      <w:numFmt w:val="bullet"/>
      <w:start w:val="1"/>
    </w:lvl>
  </w:abstractNum>
  <w:abstractNum w:abstractNumId="12">
    <w:nsid w:val="7FDCC233"/>
    <w:multiLevelType w:val="hybridMultilevel"/>
    <w:lvl w:ilvl="0">
      <w:lvlJc w:val="left"/>
      <w:lvlText w:val="•"/>
      <w:numFmt w:val="bullet"/>
      <w:start w:val="1"/>
    </w:lvl>
  </w:abstractNum>
  <w:abstractNum w:abstractNumId="13">
    <w:nsid w:val="1BEFD79F"/>
    <w:multiLevelType w:val="hybridMultilevel"/>
    <w:lvl w:ilvl="0">
      <w:lvlJc w:val="left"/>
      <w:lvlText w:val="•"/>
      <w:numFmt w:val="bullet"/>
      <w:start w:val="1"/>
    </w:lvl>
  </w:abstractNum>
  <w:abstractNum w:abstractNumId="14">
    <w:nsid w:val="41A7C4C9"/>
    <w:multiLevelType w:val="hybridMultilevel"/>
    <w:lvl w:ilvl="0">
      <w:lvlJc w:val="left"/>
      <w:lvlText w:val="•"/>
      <w:numFmt w:val="bullet"/>
      <w:start w:val="1"/>
    </w:lvl>
  </w:abstractNum>
  <w:abstractNum w:abstractNumId="15">
    <w:nsid w:val="6B68079A"/>
    <w:multiLevelType w:val="hybridMultilevel"/>
    <w:lvl w:ilvl="0">
      <w:lvlJc w:val="left"/>
      <w:lvlText w:val="%1."/>
      <w:numFmt w:val="decimal"/>
      <w:start w:val="2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2021-07-30T07:47:21Z</dcterms:created>
  <dcterms:modified xsi:type="dcterms:W3CDTF">2021-07-30T07:47:21Z</dcterms:modified>
</cp:coreProperties>
</file>