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158750</wp:posOffset>
            </wp:positionV>
            <wp:extent cx="274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190500</wp:posOffset>
            </wp:positionV>
            <wp:extent cx="274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March 2022</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173990</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180340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681355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0"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29, 2022, Pharvaris N.V. issued a press release. A copy of the press release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8"/>
            <w:szCs w:val="18"/>
            <w:u w:val="single" w:color="auto"/>
            <w:color w:val="0000EE"/>
          </w:rPr>
          <w:t>Press Release, dated March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9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25"/>
        </w:trPr>
        <w:tc>
          <w:tcPr>
            <w:tcW w:w="3620" w:type="dxa"/>
            <w:vAlign w:val="bottom"/>
          </w:tcPr>
          <w:p>
            <w:pPr>
              <w:spacing w:after="0"/>
              <w:rPr>
                <w:sz w:val="19"/>
                <w:szCs w:val="19"/>
                <w:color w:val="auto"/>
              </w:rPr>
            </w:pP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620" w:type="dxa"/>
            <w:vAlign w:val="bottom"/>
          </w:tcPr>
          <w:p>
            <w:pPr>
              <w:spacing w:after="0"/>
              <w:rPr>
                <w:sz w:val="20"/>
                <w:szCs w:val="20"/>
                <w:color w:val="auto"/>
              </w:rPr>
            </w:pP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161925</wp:posOffset>
            </wp:positionV>
            <wp:extent cx="192024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Pharvaris Reports Fourth Quarter and Full Year 2021 Financial Results and Provides Business Highlights</w:t>
      </w:r>
    </w:p>
    <w:p>
      <w:pPr>
        <w:spacing w:after="0" w:line="138" w:lineRule="exact"/>
        <w:rPr>
          <w:sz w:val="20"/>
          <w:szCs w:val="20"/>
          <w:color w:val="auto"/>
        </w:rPr>
      </w:pPr>
    </w:p>
    <w:p>
      <w:pPr>
        <w:ind w:left="800" w:right="120" w:hanging="401"/>
        <w:spacing w:after="0" w:line="253"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Phase 1 pharmacokinetics study demonstrates PHVS719 well tolerated with extended-release profile supporting once-daily dosing</w:t>
      </w:r>
    </w:p>
    <w:p>
      <w:pPr>
        <w:ind w:left="800" w:hanging="401"/>
        <w:spacing w:after="0"/>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Orphan Drug Designation for PHA121 granted by FDA</w:t>
      </w:r>
    </w:p>
    <w:p>
      <w:pPr>
        <w:ind w:left="800" w:right="260" w:hanging="401"/>
        <w:spacing w:after="0" w:line="239"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RAPIDe-1, Phase 2 on-demand study of PHVS416 for the treatment of HAE attacks ongoing; top-line data anticipated in 4Q22</w:t>
      </w:r>
    </w:p>
    <w:p>
      <w:pPr>
        <w:ind w:left="800" w:right="240" w:hanging="401"/>
        <w:spacing w:after="0" w:line="239"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CHAPTER-1, Phase 2 prophylactic study of PHVS416 for the prevention of HAE attacks trial enrolling patients; top-line data anticipated in 4Q22</w:t>
      </w:r>
    </w:p>
    <w:p>
      <w:pPr>
        <w:ind w:left="800" w:right="460" w:hanging="401"/>
        <w:spacing w:after="0" w:line="246"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Executing from a strong financial position with cash and cash equivalents balance of €209.4 million as of December 31, 2021; runway expected into 1Q24</w:t>
      </w:r>
    </w:p>
    <w:p>
      <w:pPr>
        <w:spacing w:after="0" w:line="19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March 29, 2022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Pharvaris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PHVS), a clinical-stage company developing novel, oral bradykinin-B2-receptor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antagonists to treat and prevent HAE attacks, building on its deep-seated roots in hereditary angioedema (HAE), today reported financial results for the fourth quarter and year ended December 31, 2021 and provided recent business highlights.</w:t>
      </w:r>
    </w:p>
    <w:p>
      <w:pPr>
        <w:spacing w:after="0" w:line="18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“The time since our initial public offering in February 2021 has been transformational for Pharvaris, enabling us to reach clinical development milestones, including initiation and continued progress of our Phase 2 RAPIDe-1 on-demand study of PHVS416, the initiation and enrollment of our Phase 2 CHAPTER-1 prophylactic study of PHVS416, and the completion of our Phase 1 pharmacokinetics study for PHVS719,” said Berndt Modig, chief executive officer of Pharvaris. “We look forward to our next milestones, including announcing top-line data from our Phase 2 trials, RAPIDe-1 and CHAPTER-1. We will continue to execute our strategy efficiently in 2022 supporting our mission to provide individual choice for managing HAE through potent and convenient oral on-demand and prophylactic therapies.”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Highlights and Updates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Pipeline</w:t>
      </w:r>
    </w:p>
    <w:p>
      <w:pPr>
        <w:ind w:left="800" w:right="160" w:hanging="401"/>
        <w:spacing w:after="0" w:line="246" w:lineRule="auto"/>
        <w:tabs>
          <w:tab w:leader="none" w:pos="8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Top-line Phase 1 data demonstrate extended-release PHVS719 suitable for once-daily dosing. </w:t>
      </w:r>
      <w:r>
        <w:rPr>
          <w:rFonts w:ascii="Times New Roman" w:cs="Times New Roman" w:eastAsia="Times New Roman" w:hAnsi="Times New Roman"/>
          <w:sz w:val="20"/>
          <w:szCs w:val="20"/>
          <w:color w:val="auto"/>
        </w:rPr>
        <w:t>The Phase 1 pharmacokinetics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(PK) study of PHVS719 included 8 healthy volunteers dosed in an open-label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ind w:left="401" w:right="180"/>
        <w:spacing w:after="0" w:line="242" w:lineRule="auto"/>
        <w:rPr>
          <w:sz w:val="20"/>
          <w:szCs w:val="20"/>
          <w:color w:val="auto"/>
        </w:rPr>
      </w:pPr>
      <w:r>
        <w:rPr>
          <w:rFonts w:ascii="Times New Roman" w:cs="Times New Roman" w:eastAsia="Times New Roman" w:hAnsi="Times New Roman"/>
          <w:sz w:val="20"/>
          <w:szCs w:val="20"/>
          <w:color w:val="auto"/>
        </w:rPr>
        <w:t>randomized five-period crossover single-dose study to assess bioavailability of two different extended-release formulations with and without food, in comparison to a single dose of PHVS416 without food. The pharmacokinetics of a single dose of PHVS719 (40 mg) under fasted conditions yielded exposure above 13.8 ng/mL (the EC</w:t>
      </w:r>
      <w:r>
        <w:rPr>
          <w:rFonts w:ascii="Times New Roman" w:cs="Times New Roman" w:eastAsia="Times New Roman" w:hAnsi="Times New Roman"/>
          <w:sz w:val="16"/>
          <w:szCs w:val="16"/>
          <w:color w:val="auto"/>
        </w:rPr>
        <w:t>85</w:t>
      </w:r>
      <w:r>
        <w:rPr>
          <w:rFonts w:ascii="Times New Roman" w:cs="Times New Roman" w:eastAsia="Times New Roman" w:hAnsi="Times New Roman"/>
          <w:sz w:val="20"/>
          <w:szCs w:val="20"/>
          <w:color w:val="auto"/>
        </w:rPr>
        <w:t xml:space="preserve"> determined in a Phase 1 bradykinin challenge in healthy volunteers) by the two-hour timepoint and maintained this exposure for at least an additional 28 hours. The overall exposure was not affected by food. The 24-hour area-under-the-curve (AUC</w:t>
      </w:r>
      <w:r>
        <w:rPr>
          <w:rFonts w:ascii="Times New Roman" w:cs="Times New Roman" w:eastAsia="Times New Roman" w:hAnsi="Times New Roman"/>
          <w:sz w:val="16"/>
          <w:szCs w:val="16"/>
          <w:color w:val="auto"/>
        </w:rPr>
        <w:t>24h</w:t>
      </w:r>
      <w:r>
        <w:rPr>
          <w:rFonts w:ascii="Times New Roman" w:cs="Times New Roman" w:eastAsia="Times New Roman" w:hAnsi="Times New Roman"/>
          <w:sz w:val="20"/>
          <w:szCs w:val="20"/>
          <w:color w:val="auto"/>
        </w:rPr>
        <w:t>) exposure of PHA121 using PHVS719 (40 mg) is similar to that observed in Phase 1 studies with PHVS416 softgel capsules dosed 20 mg twice a day with food (one of the doses used in the CHAPTER-1 prophylactic proof-of-concept study). The study showed that PHVS416 and PHVS719 were well tolerated. During the study, there were no severe adverse events (SAEs) or severe treatment-emergent adverse events (TEAEs) reported.</w:t>
      </w:r>
    </w:p>
    <w:p>
      <w:pPr>
        <w:ind w:left="401" w:right="20"/>
        <w:spacing w:after="0" w:line="239" w:lineRule="auto"/>
        <w:rPr>
          <w:sz w:val="20"/>
          <w:szCs w:val="20"/>
          <w:color w:val="auto"/>
        </w:rPr>
      </w:pPr>
      <w:r>
        <w:rPr>
          <w:rFonts w:ascii="Times New Roman" w:cs="Times New Roman" w:eastAsia="Times New Roman" w:hAnsi="Times New Roman"/>
          <w:sz w:val="20"/>
          <w:szCs w:val="20"/>
          <w:color w:val="auto"/>
        </w:rPr>
        <w:t>“We are thrilled to have achieved with the PHVS719 extended-release formulation for the first time the possibility of a once-daily oral bradykinin receptor antagonist for prevention of hereditary angioedema attacks,” said Jochen Knolle, CSO of Pharvaris. “The versatile properties of PHA121, in this case the ability to be absorbed through the colon, combined with the appropriate slow-release technologies, has enabled a release profile well-suited to all-day exposure of compound. This single-dose study showed that PHVS719 (40 mg) maintained PHA121 exposure for a full day above the levels that prevented the effects of a surge of bradykinin as shown in our mechanistic study in healthy volunteers. We look forward to confirming these results in an upcoming multi-dose PK study, to support use of PHVS719 in a future pivotal clinical study when combined with the anticipated results of our CHAPTER-1 proof-of-concept study.”</w:t>
      </w:r>
    </w:p>
    <w:p>
      <w:pPr>
        <w:spacing w:after="0" w:line="4" w:lineRule="exact"/>
        <w:rPr>
          <w:sz w:val="20"/>
          <w:szCs w:val="20"/>
          <w:color w:val="auto"/>
        </w:rPr>
      </w:pPr>
    </w:p>
    <w:p>
      <w:pPr>
        <w:ind w:left="401" w:right="480" w:hanging="401"/>
        <w:spacing w:after="0" w:line="239" w:lineRule="auto"/>
        <w:tabs>
          <w:tab w:leader="none" w:pos="40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Orphan Drug Designation granted by FDA. </w:t>
      </w:r>
      <w:r>
        <w:rPr>
          <w:rFonts w:ascii="Times New Roman" w:cs="Times New Roman" w:eastAsia="Times New Roman" w:hAnsi="Times New Roman"/>
          <w:sz w:val="20"/>
          <w:szCs w:val="20"/>
          <w:color w:val="auto"/>
        </w:rPr>
        <w:t>On March 18, 2022, the FDA granted orphan drug designation to PHA121,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active ingredient in our PHVS416 and PHVS719 product candidates, for treatment of bradykinin-mediated angioedema.</w:t>
      </w:r>
    </w:p>
    <w:p>
      <w:pPr>
        <w:ind w:left="401" w:right="200" w:hanging="401"/>
        <w:spacing w:after="0" w:line="239" w:lineRule="auto"/>
        <w:tabs>
          <w:tab w:leader="none" w:pos="40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Phase 2 on-demand study (RAPIDe-1) of PHVS416 ongoing. </w:t>
      </w:r>
      <w:r>
        <w:rPr>
          <w:rFonts w:ascii="Times New Roman" w:cs="Times New Roman" w:eastAsia="Times New Roman" w:hAnsi="Times New Roman"/>
          <w:sz w:val="20"/>
          <w:szCs w:val="20"/>
          <w:color w:val="auto"/>
        </w:rPr>
        <w:t>RAPIDe-1, a Phase 2 clinical study of PHVS416 for the on-demand treatment of HAE attacks, continues enrollment and attack surveillance across 33 clinical sites in Canada, Europe, Israel, the UK and the U.S. Top-line data from the study is anticipated to be available in the fourth quarter of 2022.</w:t>
      </w:r>
    </w:p>
    <w:p>
      <w:pPr>
        <w:spacing w:after="0" w:line="1" w:lineRule="exact"/>
        <w:rPr>
          <w:rFonts w:ascii="Times New Roman" w:cs="Times New Roman" w:eastAsia="Times New Roman" w:hAnsi="Times New Roman"/>
          <w:sz w:val="20"/>
          <w:szCs w:val="20"/>
          <w:color w:val="auto"/>
        </w:rPr>
      </w:pPr>
    </w:p>
    <w:p>
      <w:pPr>
        <w:ind w:left="401" w:hanging="401"/>
        <w:spacing w:after="0" w:line="239" w:lineRule="auto"/>
        <w:tabs>
          <w:tab w:leader="none" w:pos="40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Phase 2 prophylactic study (HAE CHAPTER-1) of PHVS416 enrollment ongoing. </w:t>
      </w:r>
      <w:r>
        <w:rPr>
          <w:rFonts w:ascii="Times New Roman" w:cs="Times New Roman" w:eastAsia="Times New Roman" w:hAnsi="Times New Roman"/>
          <w:sz w:val="20"/>
          <w:szCs w:val="20"/>
          <w:color w:val="auto"/>
        </w:rPr>
        <w:t>CHAPTER-1, a Phase 2 clinical trial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PHVS416 for the prophylactic treatment of HAE attacks, is enrolling patients across clinical sites in Canada, Europe, Israel, the UK and the U.S. Top-line data from the study is anticipated to be available in the fourth quarter of 2022.</w:t>
      </w:r>
    </w:p>
    <w:p>
      <w:pPr>
        <w:spacing w:after="0" w:line="1" w:lineRule="exact"/>
        <w:rPr>
          <w:rFonts w:ascii="Times New Roman" w:cs="Times New Roman" w:eastAsia="Times New Roman" w:hAnsi="Times New Roman"/>
          <w:sz w:val="20"/>
          <w:szCs w:val="20"/>
          <w:color w:val="auto"/>
        </w:rPr>
      </w:pPr>
    </w:p>
    <w:p>
      <w:pPr>
        <w:ind w:left="401" w:right="620" w:hanging="401"/>
        <w:spacing w:after="0" w:line="246" w:lineRule="auto"/>
        <w:tabs>
          <w:tab w:leader="none" w:pos="40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RAPIDe-2 expected to initiate in 2022. </w:t>
      </w:r>
      <w:r>
        <w:rPr>
          <w:rFonts w:ascii="Times New Roman" w:cs="Times New Roman" w:eastAsia="Times New Roman" w:hAnsi="Times New Roman"/>
          <w:sz w:val="20"/>
          <w:szCs w:val="20"/>
          <w:color w:val="auto"/>
        </w:rPr>
        <w:t>RAPIDe-2, an open-label extension study evaluating PHVS416 for the on-demand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of people with HAE, is expected to initiate in the second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537210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266700</wp:posOffset>
            </wp:positionV>
            <wp:extent cx="149987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0841"/>
          </w:cols>
          <w:pgMar w:left="719" w:top="346" w:right="339" w:bottom="1440" w:gutter="0" w:footer="0" w:header="0"/>
        </w:sectPr>
      </w:pPr>
    </w:p>
    <w:bookmarkStart w:id="6" w:name="page7"/>
    <w:bookmarkEnd w:id="6"/>
    <w:p>
      <w:pPr>
        <w:ind w:left="800" w:right="240" w:hanging="401"/>
        <w:spacing w:after="0" w:line="256"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Preclinical data of PHA121 published in </w:t>
      </w:r>
      <w:r>
        <w:rPr>
          <w:rFonts w:ascii="Times New Roman" w:cs="Times New Roman" w:eastAsia="Times New Roman" w:hAnsi="Times New Roman"/>
          <w:sz w:val="20"/>
          <w:szCs w:val="20"/>
          <w:b w:val="1"/>
          <w:bCs w:val="1"/>
          <w:i w:val="1"/>
          <w:iCs w:val="1"/>
          <w:color w:val="auto"/>
        </w:rPr>
        <w:t>International Immunopharmacology.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March 2022, Pharvaris announced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publication of preclinical data in </w:t>
      </w:r>
      <w:r>
        <w:rPr>
          <w:rFonts w:ascii="Times New Roman" w:cs="Times New Roman" w:eastAsia="Times New Roman" w:hAnsi="Times New Roman"/>
          <w:sz w:val="20"/>
          <w:szCs w:val="20"/>
          <w:i w:val="1"/>
          <w:iCs w:val="1"/>
          <w:u w:val="single" w:color="auto"/>
          <w:color w:val="auto"/>
        </w:rPr>
        <w:t>International Immunopharmacology</w:t>
      </w:r>
      <w:r>
        <w:rPr>
          <w:rFonts w:ascii="Times New Roman" w:cs="Times New Roman" w:eastAsia="Times New Roman" w:hAnsi="Times New Roman"/>
          <w:sz w:val="20"/>
          <w:szCs w:val="20"/>
          <w:color w:val="auto"/>
        </w:rPr>
        <w:t xml:space="preserve"> demonstrating the specificity and potency of PHA121, the active ingredient in our PHVS416 and PHVS719 product candidates.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w:t>
      </w:r>
    </w:p>
    <w:p>
      <w:pPr>
        <w:spacing w:after="0" w:line="26" w:lineRule="exact"/>
        <w:rPr>
          <w:sz w:val="20"/>
          <w:szCs w:val="20"/>
          <w:color w:val="auto"/>
        </w:rPr>
      </w:pPr>
    </w:p>
    <w:p>
      <w:pPr>
        <w:ind w:left="800" w:right="20" w:hanging="401"/>
        <w:spacing w:after="0" w:line="241" w:lineRule="auto"/>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Board of Directors. </w:t>
      </w:r>
      <w:r>
        <w:rPr>
          <w:rFonts w:ascii="Times New Roman" w:cs="Times New Roman" w:eastAsia="Times New Roman" w:hAnsi="Times New Roman"/>
          <w:sz w:val="20"/>
          <w:szCs w:val="20"/>
          <w:color w:val="auto"/>
        </w:rPr>
        <w:t>In December 2021, Pharvaris announced the appointments of Elisabeth Björk, M.D., and Anne Marie 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Jonge Schuermans, Ph.D., to the board of directors with expected confirmation at the company’s upcoming 2022 annual general meeting of shareholders. Dr. Björk and Dr. de Jonge Schuermans have replaced Martijn Kleijwegt and Rémi Droller, both of whom stepped down from the board in December 2021 to focus on new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End 2021 Financial Results</w:t>
      </w:r>
    </w:p>
    <w:p>
      <w:pPr>
        <w:spacing w:after="0" w:line="26" w:lineRule="exact"/>
        <w:rPr>
          <w:sz w:val="20"/>
          <w:szCs w:val="20"/>
          <w:color w:val="auto"/>
        </w:rPr>
      </w:pPr>
    </w:p>
    <w:p>
      <w:pPr>
        <w:ind w:left="800" w:right="540" w:hanging="401"/>
        <w:spacing w:after="0" w:line="239"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€209.4 million as of December 31, 2021, compared to €98.6 million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2020.</w:t>
      </w:r>
    </w:p>
    <w:p>
      <w:pPr>
        <w:ind w:left="800" w:right="60" w:hanging="401"/>
        <w:spacing w:after="0" w:line="239"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€10.7 million for the fourth quarter and €35.8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2021, compared to €7.7 million for the fourth quarter and €19.5 million for the full year of 2020.</w:t>
      </w:r>
    </w:p>
    <w:p>
      <w:pPr>
        <w:ind w:left="800" w:right="80" w:hanging="401"/>
        <w:spacing w:after="0" w:line="239"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and Administrative (G&amp;A) Expenses</w:t>
      </w:r>
      <w:r>
        <w:rPr>
          <w:rFonts w:ascii="Times New Roman" w:cs="Times New Roman" w:eastAsia="Times New Roman" w:hAnsi="Times New Roman"/>
          <w:sz w:val="20"/>
          <w:szCs w:val="20"/>
          <w:color w:val="auto"/>
        </w:rPr>
        <w:t>. G&amp;A expenses were €5.5 million for the fourth quarter and €18.3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2021, compared to €2.1 million for the fourth quarter and €5.5 million for the full year of 2020.</w:t>
      </w:r>
    </w:p>
    <w:p>
      <w:pPr>
        <w:ind w:left="800" w:right="140" w:hanging="401"/>
        <w:spacing w:after="0" w:line="241"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fourth quarter was €12.3 million, resulting in basic and diluted loss per share of €0.41. For the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loss was €42.7 million, resulting in basic and diluted loss per share of €1.40 per share. This compares to €10.6 million, or basic and diluted loss per share of €2.18, for the fourth quarter and €26.0 million, or basic and diluted loss per share of €5.36, for the full year of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RAPIDe-1</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RAPIDe-1 study is a clinical research study for people who have been diagnosed with HAE. The main purpose of the study is to find out how effective three different doses of the study drug, PHVS416, are in relieving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266700</wp:posOffset>
            </wp:positionV>
            <wp:extent cx="149987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7" w:name="page8"/>
    <w:bookmarkEnd w:id="7"/>
    <w:p>
      <w:pPr>
        <w:jc w:val="both"/>
        <w:ind w:right="340"/>
        <w:spacing w:after="0" w:line="254" w:lineRule="auto"/>
        <w:rPr>
          <w:sz w:val="20"/>
          <w:szCs w:val="20"/>
          <w:color w:val="auto"/>
        </w:rPr>
      </w:pPr>
      <w:r>
        <w:rPr>
          <w:rFonts w:ascii="Times New Roman" w:cs="Times New Roman" w:eastAsia="Times New Roman" w:hAnsi="Times New Roman"/>
          <w:sz w:val="20"/>
          <w:szCs w:val="20"/>
          <w:color w:val="auto"/>
        </w:rPr>
        <w:t xml:space="preserve">symptoms associated with HAE attacks. Researchers developed the study drug in the form of softgel capsules which are taken orally and could be a more convenient alternative to an injection into a vein or under the skin for resolving HAE attacks. For more information, visit </w:t>
      </w:r>
      <w:r>
        <w:rPr>
          <w:rFonts w:ascii="Times New Roman" w:cs="Times New Roman" w:eastAsia="Times New Roman" w:hAnsi="Times New Roman"/>
          <w:sz w:val="20"/>
          <w:szCs w:val="20"/>
          <w:u w:val="single" w:color="auto"/>
          <w:color w:val="auto"/>
        </w:rPr>
        <w:t>https://hae-rapide.com/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https://hae-rapide.us/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https://clinicaltrials.gov/ct2/show/NCT04618211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HAE CHAPTER-1</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The HAE CHAPTER-1 study is a clinical research study for people who have been diagnosed with HAE. The main purpose of the study is to evaluate two different doses of the study drug, PHVS416, in preventing HAE attacks. Researchers developed the study drug in the form of softgel capsules which are taken orally and could be a more convenient alternative to an injection into a vein or under the skin for preventing HAE attacks. For more information, visit </w:t>
      </w:r>
      <w:r>
        <w:rPr>
          <w:rFonts w:ascii="Times New Roman" w:cs="Times New Roman" w:eastAsia="Times New Roman" w:hAnsi="Times New Roman"/>
          <w:sz w:val="20"/>
          <w:szCs w:val="20"/>
          <w:u w:val="single" w:color="auto"/>
          <w:color w:val="auto"/>
        </w:rPr>
        <w:t>https://haechapter-1.com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https://clinicaltrials.gov/show/NCT05047185</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PHVS416</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PHVS416 is a softgel capsule formulation containing PHA121, a highly potent, specific, and orally bioavailable competitive antagonist of the bradykinin B2 receptor. Pharvaris is developing this formulation to provide fast and reliable symptom relief when patients want, through rapid exposure of attack-mitigating medicine in a convenient, small oral dosage form. PHVS416 is currently in Phase 2 clinical development for the on-demand treatment of HAE.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PHVS719</w:t>
      </w:r>
    </w:p>
    <w:p>
      <w:pPr>
        <w:spacing w:after="0" w:line="2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0"/>
          <w:szCs w:val="20"/>
          <w:color w:val="auto"/>
        </w:rPr>
        <w:t>PHVS719 is an extended-release tablet formulation containing PHA121, a highly potent, specific, and orally bioavailable competitive antagonist of the bradykinin B2 receptor. Pharvaris is developing this formulation to provide an easy way to prevent attacks with sustained exposure of attack-preventing medicine in a convenient, small oral dosage form. PHVS719 is currently in Phase 1 clinical development for the prophylactic treatment of HAE.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PHA121</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PHA121 (PHA-022121) is a highly potent, specific, and orally bioavailable competitive antagonist of the bradykinin B2 receptor that has completed Phase 1 clinical development for the treatment of HAE.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linear pharmacokinetics at doses up to 50 mg. In a bradykinin-challenge study in healthy volunteers, PHA121 showed significant inhibition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273050</wp:posOffset>
            </wp:positionV>
            <wp:extent cx="149987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ind w:right="100"/>
        <w:spacing w:after="0" w:line="249" w:lineRule="auto"/>
        <w:rPr>
          <w:sz w:val="20"/>
          <w:szCs w:val="20"/>
          <w:color w:val="auto"/>
        </w:rPr>
      </w:pPr>
      <w:r>
        <w:rPr>
          <w:rFonts w:ascii="Times New Roman" w:cs="Times New Roman" w:eastAsia="Times New Roman" w:hAnsi="Times New Roman"/>
          <w:sz w:val="20"/>
          <w:szCs w:val="20"/>
          <w:color w:val="auto"/>
        </w:rPr>
        <w:t>bradykinin-induced hemodynamic changes with an average composite EC</w:t>
      </w:r>
      <w:r>
        <w:rPr>
          <w:rFonts w:ascii="Times New Roman" w:cs="Times New Roman" w:eastAsia="Times New Roman" w:hAnsi="Times New Roman"/>
          <w:sz w:val="16"/>
          <w:szCs w:val="16"/>
          <w:color w:val="auto"/>
        </w:rPr>
        <w:t>50</w:t>
      </w:r>
      <w:r>
        <w:rPr>
          <w:rFonts w:ascii="Times New Roman" w:cs="Times New Roman" w:eastAsia="Times New Roman" w:hAnsi="Times New Roman"/>
          <w:sz w:val="20"/>
          <w:szCs w:val="20"/>
          <w:color w:val="auto"/>
        </w:rPr>
        <w:t xml:space="preserve"> of 2.4 ng/mL and EC</w:t>
      </w:r>
      <w:r>
        <w:rPr>
          <w:rFonts w:ascii="Times New Roman" w:cs="Times New Roman" w:eastAsia="Times New Roman" w:hAnsi="Times New Roman"/>
          <w:sz w:val="16"/>
          <w:szCs w:val="16"/>
          <w:color w:val="auto"/>
        </w:rPr>
        <w:t>85</w:t>
      </w:r>
      <w:r>
        <w:rPr>
          <w:rFonts w:ascii="Times New Roman" w:cs="Times New Roman" w:eastAsia="Times New Roman" w:hAnsi="Times New Roman"/>
          <w:sz w:val="20"/>
          <w:szCs w:val="20"/>
          <w:color w:val="auto"/>
        </w:rPr>
        <w:t xml:space="preserve"> of 13.8 ng/mL, approximately four-fold more potent than historical data for icatibant. Quantitative modeling indicates that single oral doses of PHA121 will maintain pharmacological effectiveness for a substantially longer time than 30 mg of subcutaneous icatibant. PHA121 has been observed to be well-tolerated at all doses studied to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more effective and convenient alternatives to treat attacks,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20"/>
          <w:szCs w:val="20"/>
          <w:u w:val="single" w:color="auto"/>
          <w:color w:val="auto"/>
        </w:rPr>
        <w:t>https://pharvaris.com/</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266700</wp:posOffset>
            </wp:positionV>
            <wp:extent cx="149987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ind w:right="180"/>
        <w:spacing w:after="0" w:line="246" w:lineRule="auto"/>
        <w:rPr>
          <w:sz w:val="20"/>
          <w:szCs w:val="20"/>
          <w:color w:val="auto"/>
        </w:rPr>
      </w:pPr>
      <w:r>
        <w:rPr>
          <w:rFonts w:ascii="Times New Roman" w:cs="Times New Roman" w:eastAsia="Times New Roman" w:hAnsi="Times New Roman"/>
          <w:sz w:val="20"/>
          <w:szCs w:val="20"/>
          <w:color w:val="auto"/>
        </w:rPr>
        <w:t>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w:t>
      </w:r>
      <w:r>
        <w:rPr>
          <w:rFonts w:ascii="Arial" w:cs="Arial" w:eastAsia="Arial" w:hAnsi="Arial"/>
          <w:sz w:val="16"/>
          <w:szCs w:val="16"/>
          <w:color w:val="auto"/>
        </w:rPr>
        <w:t>—</w:t>
      </w:r>
      <w:r>
        <w:rPr>
          <w:rFonts w:ascii="Times New Roman" w:cs="Times New Roman" w:eastAsia="Times New Roman" w:hAnsi="Times New Roman"/>
          <w:sz w:val="20"/>
          <w:szCs w:val="20"/>
          <w:color w:val="auto"/>
        </w:rPr>
        <w:t>D. Risk Factors” in our Annual Report on Form 20-F and other periodic filings with the Securities and Exchange Commission.</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Pharvaris</w:t>
      </w:r>
    </w:p>
    <w:p>
      <w:pPr>
        <w:spacing w:after="0"/>
        <w:rPr>
          <w:sz w:val="20"/>
          <w:szCs w:val="20"/>
          <w:color w:val="auto"/>
        </w:rPr>
      </w:pPr>
      <w:r>
        <w:rPr>
          <w:rFonts w:ascii="Times New Roman" w:cs="Times New Roman" w:eastAsia="Times New Roman" w:hAnsi="Times New Roman"/>
          <w:sz w:val="20"/>
          <w:szCs w:val="20"/>
          <w:color w:val="auto"/>
        </w:rPr>
        <w:t>Maryann Cimino</w:t>
      </w:r>
    </w:p>
    <w:p>
      <w:pPr>
        <w:spacing w:after="0"/>
        <w:rPr>
          <w:sz w:val="20"/>
          <w:szCs w:val="20"/>
          <w:color w:val="auto"/>
        </w:rPr>
      </w:pPr>
      <w:r>
        <w:rPr>
          <w:rFonts w:ascii="Times New Roman" w:cs="Times New Roman" w:eastAsia="Times New Roman" w:hAnsi="Times New Roman"/>
          <w:sz w:val="20"/>
          <w:szCs w:val="20"/>
          <w:color w:val="auto"/>
        </w:rPr>
        <w:t>Director of Corporate Relations</w:t>
      </w:r>
    </w:p>
    <w:p>
      <w:pPr>
        <w:spacing w:after="0"/>
        <w:rPr>
          <w:sz w:val="20"/>
          <w:szCs w:val="20"/>
          <w:color w:val="auto"/>
        </w:rPr>
      </w:pPr>
      <w:r>
        <w:rPr>
          <w:rFonts w:ascii="Times New Roman" w:cs="Times New Roman" w:eastAsia="Times New Roman" w:hAnsi="Times New Roman"/>
          <w:sz w:val="20"/>
          <w:szCs w:val="20"/>
          <w:color w:val="auto"/>
        </w:rPr>
        <w:t>+1-617-710-7305</w:t>
      </w:r>
    </w:p>
    <w:p>
      <w:pPr>
        <w:spacing w:after="0"/>
        <w:rPr>
          <w:sz w:val="20"/>
          <w:szCs w:val="20"/>
          <w:color w:val="auto"/>
        </w:rPr>
      </w:pPr>
      <w:r>
        <w:rPr>
          <w:rFonts w:ascii="Times New Roman" w:cs="Times New Roman" w:eastAsia="Times New Roman" w:hAnsi="Times New Roman"/>
          <w:sz w:val="20"/>
          <w:szCs w:val="20"/>
          <w:u w:val="single" w:color="auto"/>
          <w:color w:val="auto"/>
        </w:rPr>
        <w:t>maryann.cimino@pharvaris.com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Sarah McCabe</w:t>
      </w:r>
    </w:p>
    <w:p>
      <w:pPr>
        <w:spacing w:after="0"/>
        <w:rPr>
          <w:sz w:val="20"/>
          <w:szCs w:val="20"/>
          <w:color w:val="auto"/>
        </w:rPr>
      </w:pPr>
      <w:r>
        <w:rPr>
          <w:rFonts w:ascii="Times New Roman" w:cs="Times New Roman" w:eastAsia="Times New Roman" w:hAnsi="Times New Roman"/>
          <w:sz w:val="20"/>
          <w:szCs w:val="20"/>
          <w:u w:val="single" w:color="auto"/>
          <w:color w:val="auto"/>
        </w:rPr>
        <w:t>sarah.mccabe@sternir.com</w:t>
      </w:r>
    </w:p>
    <w:p>
      <w:pPr>
        <w:spacing w:after="0"/>
        <w:rPr>
          <w:sz w:val="20"/>
          <w:szCs w:val="20"/>
          <w:color w:val="auto"/>
        </w:rPr>
      </w:pPr>
      <w:r>
        <w:rPr>
          <w:rFonts w:ascii="Times New Roman" w:cs="Times New Roman" w:eastAsia="Times New Roman" w:hAnsi="Times New Roman"/>
          <w:sz w:val="20"/>
          <w:szCs w:val="20"/>
          <w:color w:val="auto"/>
        </w:rPr>
        <w:t>+1-212-362-1200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 Russo Partners, LLC</w:t>
      </w:r>
    </w:p>
    <w:p>
      <w:pPr>
        <w:spacing w:after="0"/>
        <w:rPr>
          <w:sz w:val="20"/>
          <w:szCs w:val="20"/>
          <w:color w:val="auto"/>
        </w:rPr>
      </w:pPr>
      <w:r>
        <w:rPr>
          <w:rFonts w:ascii="Times New Roman" w:cs="Times New Roman" w:eastAsia="Times New Roman" w:hAnsi="Times New Roman"/>
          <w:sz w:val="20"/>
          <w:szCs w:val="20"/>
          <w:u w:val="single" w:color="auto"/>
          <w:color w:val="auto"/>
        </w:rPr>
        <w:t>maggie.beller@russopartnersllc.com</w:t>
      </w:r>
    </w:p>
    <w:p>
      <w:pPr>
        <w:spacing w:after="0"/>
        <w:rPr>
          <w:sz w:val="20"/>
          <w:szCs w:val="20"/>
          <w:color w:val="auto"/>
        </w:rPr>
      </w:pPr>
      <w:r>
        <w:rPr>
          <w:rFonts w:ascii="Times New Roman" w:cs="Times New Roman" w:eastAsia="Times New Roman" w:hAnsi="Times New Roman"/>
          <w:sz w:val="20"/>
          <w:szCs w:val="20"/>
          <w:color w:val="auto"/>
        </w:rPr>
        <w:t>+1-646-942-5631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274320</wp:posOffset>
            </wp:positionV>
            <wp:extent cx="149987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sectPr>
      <w:pgSz w:w="11900" w:h="16838" w:orient="portrait"/>
      <w:cols w:equalWidth="0" w:num="1">
        <w:col w:w="11200"/>
      </w:cols>
      <w:pgMar w:left="320" w:top="34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2022-03-29T07:12:25Z</dcterms:created>
  <dcterms:modified xsi:type="dcterms:W3CDTF">2022-03-29T07:12:25Z</dcterms:modified>
</cp:coreProperties>
</file>